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F9AE47" w14:textId="2821A07B" w:rsidR="004A4889" w:rsidRDefault="00015D14" w:rsidP="004A4889">
      <w:pPr>
        <w:pStyle w:val="NormalWeb"/>
        <w:spacing w:before="0" w:beforeAutospacing="0" w:after="0" w:afterAutospacing="0"/>
        <w:jc w:val="right"/>
        <w:rPr>
          <w:rFonts w:ascii="Book Antiqua" w:hAnsi="Book Antiqua"/>
          <w:color w:val="000000"/>
        </w:rPr>
      </w:pPr>
      <w:r>
        <w:rPr>
          <w:rFonts w:ascii="Book Antiqua" w:hAnsi="Book Antiqua"/>
          <w:color w:val="000000"/>
        </w:rPr>
        <w:t>281</w:t>
      </w:r>
      <w:r w:rsidR="00C763CC" w:rsidRPr="004A4889">
        <w:rPr>
          <w:rFonts w:ascii="Book Antiqua" w:hAnsi="Book Antiqua"/>
          <w:color w:val="000000"/>
        </w:rPr>
        <w:t>-PLA-RH-</w:t>
      </w:r>
      <w:r w:rsidRPr="004A4889">
        <w:rPr>
          <w:rFonts w:ascii="Book Antiqua" w:hAnsi="Book Antiqua"/>
          <w:color w:val="000000"/>
        </w:rPr>
        <w:t xml:space="preserve">MI(NPL)- </w:t>
      </w:r>
      <w:r w:rsidR="00C763CC" w:rsidRPr="004A4889">
        <w:rPr>
          <w:rFonts w:ascii="Book Antiqua" w:hAnsi="Book Antiqua"/>
          <w:color w:val="000000"/>
        </w:rPr>
        <w:t>2023</w:t>
      </w:r>
      <w:r w:rsidR="004A4889" w:rsidRPr="004A4889">
        <w:rPr>
          <w:rFonts w:ascii="Book Antiqua" w:hAnsi="Book Antiqua"/>
          <w:color w:val="000000"/>
        </w:rPr>
        <w:t xml:space="preserve"> </w:t>
      </w:r>
    </w:p>
    <w:p w14:paraId="48785016" w14:textId="03F173F2" w:rsidR="004A4889" w:rsidRPr="004A4889" w:rsidRDefault="004A4889" w:rsidP="004A4889">
      <w:pPr>
        <w:pStyle w:val="NormalWeb"/>
        <w:spacing w:before="0" w:beforeAutospacing="0" w:after="0" w:afterAutospacing="0"/>
        <w:jc w:val="right"/>
        <w:rPr>
          <w:rFonts w:ascii="Book Antiqua" w:hAnsi="Book Antiqua"/>
          <w:color w:val="000000"/>
        </w:rPr>
      </w:pPr>
      <w:r w:rsidRPr="004A4889">
        <w:rPr>
          <w:rFonts w:ascii="Book Antiqua" w:hAnsi="Book Antiqua"/>
          <w:color w:val="000000"/>
        </w:rPr>
        <w:t>Ref. SICE: Ref. 107-2023</w:t>
      </w:r>
    </w:p>
    <w:p w14:paraId="5A8F7AAF" w14:textId="4AA53FA6" w:rsidR="004A4889" w:rsidRDefault="004A4889" w:rsidP="004A4889">
      <w:pPr>
        <w:pStyle w:val="NormalWeb"/>
        <w:spacing w:before="240" w:beforeAutospacing="0"/>
        <w:jc w:val="right"/>
        <w:rPr>
          <w:rFonts w:ascii="Book Antiqua" w:hAnsi="Book Antiqua"/>
          <w:color w:val="000000"/>
        </w:rPr>
      </w:pPr>
    </w:p>
    <w:p w14:paraId="067860D6" w14:textId="3B08ED2B" w:rsidR="004A4889" w:rsidRDefault="004A4889" w:rsidP="004A4889">
      <w:pPr>
        <w:pStyle w:val="NormalWeb"/>
        <w:spacing w:before="240" w:beforeAutospacing="0"/>
        <w:rPr>
          <w:rFonts w:ascii="Book Antiqua" w:hAnsi="Book Antiqua"/>
          <w:color w:val="000000"/>
        </w:rPr>
      </w:pPr>
      <w:r>
        <w:rPr>
          <w:rFonts w:ascii="Book Antiqua" w:hAnsi="Book Antiqua"/>
          <w:color w:val="000000"/>
        </w:rPr>
        <w:t>1</w:t>
      </w:r>
      <w:r w:rsidR="009E1AF7">
        <w:rPr>
          <w:rFonts w:ascii="Book Antiqua" w:hAnsi="Book Antiqua"/>
          <w:color w:val="000000"/>
        </w:rPr>
        <w:t>8</w:t>
      </w:r>
      <w:r w:rsidRPr="004A4889">
        <w:rPr>
          <w:rFonts w:ascii="Book Antiqua" w:hAnsi="Book Antiqua"/>
          <w:color w:val="000000"/>
        </w:rPr>
        <w:t xml:space="preserve"> de </w:t>
      </w:r>
      <w:r>
        <w:rPr>
          <w:rFonts w:ascii="Book Antiqua" w:hAnsi="Book Antiqua"/>
          <w:color w:val="000000"/>
        </w:rPr>
        <w:t>abril</w:t>
      </w:r>
      <w:r w:rsidRPr="004A4889">
        <w:rPr>
          <w:rFonts w:ascii="Book Antiqua" w:hAnsi="Book Antiqua"/>
          <w:color w:val="000000"/>
        </w:rPr>
        <w:t xml:space="preserve"> de 202</w:t>
      </w:r>
      <w:r>
        <w:rPr>
          <w:rFonts w:ascii="Book Antiqua" w:hAnsi="Book Antiqua"/>
          <w:color w:val="000000"/>
        </w:rPr>
        <w:t>3</w:t>
      </w:r>
    </w:p>
    <w:p w14:paraId="545FF1B9" w14:textId="77777777" w:rsidR="005E63FE" w:rsidRPr="004A4889" w:rsidRDefault="005E63FE" w:rsidP="004A4889">
      <w:pPr>
        <w:pStyle w:val="NormalWeb"/>
        <w:spacing w:before="240" w:beforeAutospacing="0"/>
        <w:rPr>
          <w:rFonts w:ascii="Book Antiqua" w:hAnsi="Book Antiqua"/>
          <w:color w:val="000000"/>
        </w:rPr>
      </w:pPr>
    </w:p>
    <w:p w14:paraId="1D4F6BD5" w14:textId="2AC2957F" w:rsidR="00EF1220" w:rsidRPr="004A4889" w:rsidRDefault="00EF1220" w:rsidP="004A4889">
      <w:pPr>
        <w:pStyle w:val="NormalWeb"/>
        <w:spacing w:before="0" w:beforeAutospacing="0" w:after="0" w:afterAutospacing="0"/>
        <w:rPr>
          <w:rFonts w:ascii="Book Antiqua" w:hAnsi="Book Antiqua"/>
          <w:color w:val="000000"/>
        </w:rPr>
      </w:pPr>
      <w:r w:rsidRPr="004A4889">
        <w:rPr>
          <w:rFonts w:ascii="Book Antiqua" w:hAnsi="Book Antiqua"/>
          <w:color w:val="000000"/>
        </w:rPr>
        <w:t xml:space="preserve">Señores </w:t>
      </w:r>
    </w:p>
    <w:p w14:paraId="2808BBDC" w14:textId="0D2EB2CC" w:rsidR="006600A7" w:rsidRPr="004A4889" w:rsidRDefault="004A4889" w:rsidP="004A4889">
      <w:pPr>
        <w:pStyle w:val="NormalWeb"/>
        <w:spacing w:before="0" w:beforeAutospacing="0" w:after="0" w:afterAutospacing="0"/>
        <w:rPr>
          <w:rFonts w:ascii="Book Antiqua" w:hAnsi="Book Antiqua"/>
          <w:color w:val="000000"/>
        </w:rPr>
      </w:pPr>
      <w:r w:rsidRPr="004A4889">
        <w:rPr>
          <w:rFonts w:ascii="Book Antiqua" w:hAnsi="Book Antiqua"/>
          <w:color w:val="000000"/>
        </w:rPr>
        <w:t xml:space="preserve">Integrantes </w:t>
      </w:r>
    </w:p>
    <w:p w14:paraId="538DEF49" w14:textId="7C3F809A" w:rsidR="004A4889" w:rsidRPr="004A4889" w:rsidRDefault="004A4889" w:rsidP="004A4889">
      <w:pPr>
        <w:pStyle w:val="NormalWeb"/>
        <w:spacing w:before="0" w:beforeAutospacing="0" w:after="0" w:afterAutospacing="0"/>
        <w:rPr>
          <w:rFonts w:ascii="Book Antiqua" w:hAnsi="Book Antiqua"/>
          <w:color w:val="000000"/>
        </w:rPr>
      </w:pPr>
      <w:r w:rsidRPr="004A4889">
        <w:rPr>
          <w:rFonts w:ascii="Book Antiqua" w:hAnsi="Book Antiqua"/>
          <w:color w:val="000000"/>
        </w:rPr>
        <w:t xml:space="preserve">Consejo Superior </w:t>
      </w:r>
    </w:p>
    <w:p w14:paraId="5398F885" w14:textId="77777777" w:rsidR="00EF1220" w:rsidRPr="004A4889" w:rsidRDefault="00EF1220" w:rsidP="006600A7">
      <w:pPr>
        <w:pStyle w:val="NormalWeb"/>
        <w:ind w:left="720"/>
        <w:rPr>
          <w:rFonts w:ascii="Book Antiqua" w:hAnsi="Book Antiqua"/>
          <w:color w:val="000000"/>
        </w:rPr>
      </w:pPr>
    </w:p>
    <w:p w14:paraId="4546FB9C" w14:textId="5327B135" w:rsidR="6E13727C" w:rsidRPr="004A4889" w:rsidRDefault="00C763CC" w:rsidP="6E13727C">
      <w:pPr>
        <w:pStyle w:val="NormalWeb"/>
        <w:spacing w:line="276" w:lineRule="auto"/>
        <w:jc w:val="both"/>
        <w:rPr>
          <w:rFonts w:ascii="Book Antiqua" w:hAnsi="Book Antiqua"/>
          <w:color w:val="000000"/>
        </w:rPr>
      </w:pPr>
      <w:r w:rsidRPr="004A4889">
        <w:rPr>
          <w:rFonts w:ascii="Book Antiqua" w:hAnsi="Book Antiqua"/>
          <w:color w:val="000000" w:themeColor="text1"/>
        </w:rPr>
        <w:t>Estimadas(os) señoras(es):</w:t>
      </w:r>
    </w:p>
    <w:p w14:paraId="20C51AFE" w14:textId="3DC9D7F7" w:rsidR="005E63FE" w:rsidRDefault="00C763CC" w:rsidP="005E63FE">
      <w:pPr>
        <w:pStyle w:val="NormalWeb"/>
        <w:spacing w:line="276" w:lineRule="auto"/>
        <w:ind w:firstLine="708"/>
        <w:jc w:val="both"/>
        <w:rPr>
          <w:rFonts w:ascii="Book Antiqua" w:hAnsi="Book Antiqua"/>
          <w:color w:val="000000"/>
        </w:rPr>
      </w:pPr>
      <w:r w:rsidRPr="004A4889">
        <w:rPr>
          <w:rFonts w:ascii="Book Antiqua" w:hAnsi="Book Antiqua"/>
          <w:color w:val="000000"/>
        </w:rPr>
        <w:t>Les remito el informe suscrito por el Subproceso de Modernización Institucional-</w:t>
      </w:r>
      <w:r w:rsidR="005E63FE">
        <w:rPr>
          <w:rFonts w:ascii="Book Antiqua" w:hAnsi="Book Antiqua"/>
          <w:color w:val="000000"/>
        </w:rPr>
        <w:t>N</w:t>
      </w:r>
      <w:r w:rsidRPr="004A4889">
        <w:rPr>
          <w:rFonts w:ascii="Book Antiqua" w:hAnsi="Book Antiqua"/>
          <w:color w:val="000000"/>
        </w:rPr>
        <w:t xml:space="preserve">o </w:t>
      </w:r>
      <w:r w:rsidR="005E63FE">
        <w:rPr>
          <w:rFonts w:ascii="Book Antiqua" w:hAnsi="Book Antiqua"/>
          <w:color w:val="000000"/>
        </w:rPr>
        <w:t>P</w:t>
      </w:r>
      <w:r w:rsidRPr="004A4889">
        <w:rPr>
          <w:rFonts w:ascii="Book Antiqua" w:hAnsi="Book Antiqua"/>
          <w:color w:val="000000"/>
        </w:rPr>
        <w:t xml:space="preserve">enal, relacionado con el Impacto organizacional y presupuestario en el Poder Judicial a partir de la promulgación </w:t>
      </w:r>
      <w:r w:rsidR="00283CBB" w:rsidRPr="004A4889">
        <w:rPr>
          <w:rFonts w:ascii="Book Antiqua" w:hAnsi="Book Antiqua"/>
          <w:color w:val="000000"/>
        </w:rPr>
        <w:t>del Nuevo Código Procesal Agrario para el 2023 (Ley 2024)</w:t>
      </w:r>
      <w:r w:rsidR="006D3C77" w:rsidRPr="004A4889">
        <w:rPr>
          <w:rFonts w:ascii="Book Antiqua" w:hAnsi="Book Antiqua"/>
          <w:color w:val="000000"/>
        </w:rPr>
        <w:t>.</w:t>
      </w:r>
    </w:p>
    <w:p w14:paraId="78C69050" w14:textId="3E885A07" w:rsidR="005E63FE" w:rsidRDefault="005E63FE" w:rsidP="005E63FE">
      <w:pPr>
        <w:widowControl w:val="0"/>
        <w:rPr>
          <w:rFonts w:cs="Book Antiqua"/>
          <w:snapToGrid w:val="0"/>
          <w:sz w:val="24"/>
          <w:szCs w:val="24"/>
          <w:lang w:val="pt-BR"/>
        </w:rPr>
      </w:pPr>
      <w:r w:rsidRPr="00497441">
        <w:rPr>
          <w:rFonts w:cs="Book Antiqua"/>
          <w:snapToGrid w:val="0"/>
          <w:sz w:val="24"/>
          <w:szCs w:val="24"/>
          <w:lang w:val="pt-BR"/>
        </w:rPr>
        <w:t>Atentamente</w:t>
      </w:r>
      <w:r>
        <w:rPr>
          <w:rFonts w:cs="Book Antiqua"/>
          <w:snapToGrid w:val="0"/>
          <w:sz w:val="24"/>
          <w:szCs w:val="24"/>
          <w:lang w:val="pt-BR"/>
        </w:rPr>
        <w:t>,</w:t>
      </w:r>
    </w:p>
    <w:p w14:paraId="0FF2892D" w14:textId="66853386" w:rsidR="005E63FE" w:rsidRDefault="005E63FE" w:rsidP="005E63FE">
      <w:pPr>
        <w:widowControl w:val="0"/>
        <w:rPr>
          <w:rFonts w:cs="Book Antiqua"/>
          <w:snapToGrid w:val="0"/>
          <w:sz w:val="24"/>
          <w:szCs w:val="24"/>
          <w:lang w:val="pt-BR"/>
        </w:rPr>
      </w:pPr>
    </w:p>
    <w:p w14:paraId="1F169404" w14:textId="77777777" w:rsidR="005E63FE" w:rsidRPr="00497441" w:rsidRDefault="005E63FE" w:rsidP="005E63FE">
      <w:pPr>
        <w:widowControl w:val="0"/>
        <w:rPr>
          <w:rFonts w:cs="Book Antiqua"/>
          <w:snapToGrid w:val="0"/>
          <w:sz w:val="24"/>
          <w:szCs w:val="24"/>
          <w:lang w:val="pt-BR"/>
        </w:rPr>
      </w:pPr>
    </w:p>
    <w:p w14:paraId="749B4851" w14:textId="77777777" w:rsidR="005E63FE" w:rsidRPr="00497441" w:rsidRDefault="005E63FE" w:rsidP="005E63FE">
      <w:pPr>
        <w:spacing w:before="0" w:after="0"/>
        <w:rPr>
          <w:rFonts w:cs="Book Antiqua"/>
          <w:snapToGrid w:val="0"/>
          <w:sz w:val="24"/>
          <w:szCs w:val="24"/>
          <w:lang w:val="pt-BR"/>
        </w:rPr>
      </w:pPr>
      <w:r w:rsidRPr="00497441">
        <w:rPr>
          <w:rFonts w:cs="Book Antiqua"/>
          <w:snapToGrid w:val="0"/>
          <w:sz w:val="24"/>
          <w:szCs w:val="24"/>
          <w:lang w:val="pt-BR"/>
        </w:rPr>
        <w:t>Nacira Valverde Bermúdez</w:t>
      </w:r>
    </w:p>
    <w:p w14:paraId="043243FD" w14:textId="77777777" w:rsidR="005E63FE" w:rsidRDefault="005E63FE" w:rsidP="005E63FE">
      <w:pPr>
        <w:spacing w:before="0" w:after="0"/>
        <w:rPr>
          <w:rFonts w:cs="Book Antiqua"/>
          <w:snapToGrid w:val="0"/>
          <w:sz w:val="24"/>
          <w:szCs w:val="24"/>
          <w:lang w:val="pt-BR"/>
        </w:rPr>
      </w:pPr>
      <w:r w:rsidRPr="00497441">
        <w:rPr>
          <w:rFonts w:cs="Book Antiqua"/>
          <w:snapToGrid w:val="0"/>
          <w:sz w:val="24"/>
          <w:szCs w:val="24"/>
          <w:lang w:val="pt-BR"/>
        </w:rPr>
        <w:t>Directora a.í. de Planificación</w:t>
      </w:r>
    </w:p>
    <w:p w14:paraId="1766FE6E" w14:textId="77777777" w:rsidR="005E63FE" w:rsidRPr="0067596D" w:rsidRDefault="005E63FE" w:rsidP="005E63FE">
      <w:pPr>
        <w:rPr>
          <w:rFonts w:cs="Book Antiqua"/>
          <w:snapToGrid w:val="0"/>
          <w:sz w:val="24"/>
          <w:szCs w:val="24"/>
          <w:lang w:val="pt-BR"/>
        </w:rPr>
      </w:pPr>
    </w:p>
    <w:p w14:paraId="653B7A4E" w14:textId="77777777" w:rsidR="005E63FE" w:rsidRDefault="005E63FE" w:rsidP="005E63FE">
      <w:pPr>
        <w:rPr>
          <w:rFonts w:cs="Book Antiqua"/>
          <w:sz w:val="24"/>
          <w:szCs w:val="24"/>
        </w:rPr>
      </w:pPr>
      <w:r w:rsidRPr="00497441">
        <w:rPr>
          <w:rFonts w:cs="Book Antiqua"/>
          <w:sz w:val="24"/>
          <w:szCs w:val="24"/>
        </w:rPr>
        <w:t>Copia</w:t>
      </w:r>
      <w:r>
        <w:rPr>
          <w:rFonts w:cs="Book Antiqua"/>
          <w:sz w:val="24"/>
          <w:szCs w:val="24"/>
        </w:rPr>
        <w:t>s</w:t>
      </w:r>
      <w:r w:rsidRPr="00497441">
        <w:rPr>
          <w:rFonts w:cs="Book Antiqua"/>
          <w:sz w:val="24"/>
          <w:szCs w:val="24"/>
        </w:rPr>
        <w:t xml:space="preserve">: </w:t>
      </w:r>
    </w:p>
    <w:p w14:paraId="35CFF2F4" w14:textId="77777777" w:rsidR="005E63FE" w:rsidRPr="00BB7861" w:rsidRDefault="005E63FE" w:rsidP="005E63FE">
      <w:pPr>
        <w:pStyle w:val="Prrafodelista"/>
        <w:numPr>
          <w:ilvl w:val="0"/>
          <w:numId w:val="69"/>
        </w:numPr>
        <w:spacing w:after="240" w:line="276" w:lineRule="auto"/>
        <w:rPr>
          <w:rFonts w:cs="Book Antiqua"/>
          <w:sz w:val="24"/>
          <w:szCs w:val="24"/>
        </w:rPr>
      </w:pPr>
      <w:r w:rsidRPr="00BB7861">
        <w:rPr>
          <w:rFonts w:cs="Book Antiqua"/>
          <w:sz w:val="24"/>
          <w:szCs w:val="24"/>
        </w:rPr>
        <w:t>Archivo</w:t>
      </w:r>
    </w:p>
    <w:p w14:paraId="05A854B5" w14:textId="77777777" w:rsidR="005E63FE" w:rsidRPr="00497441" w:rsidRDefault="005E63FE" w:rsidP="005E63FE">
      <w:pPr>
        <w:rPr>
          <w:rFonts w:cs="Book Antiqua"/>
          <w:sz w:val="24"/>
          <w:szCs w:val="24"/>
          <w:lang w:val="es-ES"/>
        </w:rPr>
      </w:pPr>
      <w:r>
        <w:rPr>
          <w:rFonts w:cs="Book Antiqua"/>
          <w:sz w:val="24"/>
          <w:szCs w:val="24"/>
          <w:lang w:val="es-ES"/>
        </w:rPr>
        <w:t>hca</w:t>
      </w:r>
    </w:p>
    <w:p w14:paraId="70FB8048" w14:textId="77777777" w:rsidR="005E63FE" w:rsidRDefault="005E63FE" w:rsidP="005E63FE">
      <w:pPr>
        <w:pStyle w:val="NormalWeb"/>
        <w:spacing w:line="276" w:lineRule="auto"/>
        <w:jc w:val="both"/>
        <w:rPr>
          <w:rFonts w:ascii="Book Antiqua" w:hAnsi="Book Antiqua"/>
          <w:color w:val="000000"/>
        </w:rPr>
      </w:pPr>
    </w:p>
    <w:p w14:paraId="375B0D16" w14:textId="3B11D7CA" w:rsidR="005E63FE" w:rsidRDefault="005E63FE">
      <w:pPr>
        <w:spacing w:before="0" w:after="160" w:line="259" w:lineRule="auto"/>
        <w:jc w:val="left"/>
        <w:rPr>
          <w:color w:val="000000"/>
          <w:sz w:val="24"/>
          <w:szCs w:val="24"/>
          <w:lang w:eastAsia="es-CR"/>
        </w:rPr>
      </w:pPr>
      <w:r>
        <w:rPr>
          <w:color w:val="000000"/>
        </w:rPr>
        <w:br w:type="page"/>
      </w:r>
    </w:p>
    <w:p w14:paraId="47EF5227" w14:textId="77777777" w:rsidR="005E63FE" w:rsidRDefault="005E63FE" w:rsidP="004A4889">
      <w:pPr>
        <w:pStyle w:val="NormalWeb"/>
        <w:rPr>
          <w:rFonts w:ascii="Book Antiqua" w:hAnsi="Book Antiqua"/>
          <w:color w:val="000000"/>
        </w:rPr>
      </w:pPr>
    </w:p>
    <w:p w14:paraId="7C1BE4FE" w14:textId="1226D594" w:rsidR="00C763CC" w:rsidRDefault="005E63FE" w:rsidP="004A4889">
      <w:pPr>
        <w:pStyle w:val="NormalWeb"/>
        <w:rPr>
          <w:rFonts w:ascii="Book Antiqua" w:hAnsi="Book Antiqua"/>
          <w:color w:val="000000"/>
        </w:rPr>
      </w:pPr>
      <w:r>
        <w:rPr>
          <w:rFonts w:ascii="Book Antiqua" w:hAnsi="Book Antiqua"/>
          <w:color w:val="000000"/>
        </w:rPr>
        <w:t>1</w:t>
      </w:r>
      <w:r w:rsidR="009E1AF7">
        <w:rPr>
          <w:rFonts w:ascii="Book Antiqua" w:hAnsi="Book Antiqua"/>
          <w:color w:val="000000"/>
        </w:rPr>
        <w:t>8</w:t>
      </w:r>
      <w:r w:rsidR="00C763CC" w:rsidRPr="004A4889">
        <w:rPr>
          <w:rFonts w:ascii="Book Antiqua" w:hAnsi="Book Antiqua"/>
          <w:color w:val="000000"/>
        </w:rPr>
        <w:t xml:space="preserve"> de </w:t>
      </w:r>
      <w:r>
        <w:rPr>
          <w:rFonts w:ascii="Book Antiqua" w:hAnsi="Book Antiqua"/>
          <w:color w:val="000000"/>
        </w:rPr>
        <w:t>abril</w:t>
      </w:r>
      <w:r w:rsidR="00C763CC" w:rsidRPr="004A4889">
        <w:rPr>
          <w:rFonts w:ascii="Book Antiqua" w:hAnsi="Book Antiqua"/>
          <w:color w:val="000000"/>
        </w:rPr>
        <w:t xml:space="preserve"> de 2023</w:t>
      </w:r>
    </w:p>
    <w:p w14:paraId="0E9F3712" w14:textId="77777777" w:rsidR="005E63FE" w:rsidRPr="004A4889" w:rsidRDefault="005E63FE" w:rsidP="004A4889">
      <w:pPr>
        <w:pStyle w:val="NormalWeb"/>
        <w:rPr>
          <w:rFonts w:ascii="Book Antiqua" w:hAnsi="Book Antiqua"/>
          <w:color w:val="000000"/>
        </w:rPr>
      </w:pPr>
    </w:p>
    <w:p w14:paraId="552CEB12" w14:textId="77777777" w:rsidR="00C763CC" w:rsidRPr="004A4889" w:rsidRDefault="00C763CC" w:rsidP="007D0B11">
      <w:pPr>
        <w:pStyle w:val="NormalWeb"/>
        <w:spacing w:before="0" w:beforeAutospacing="0" w:after="0" w:afterAutospacing="0" w:line="276" w:lineRule="auto"/>
        <w:rPr>
          <w:rFonts w:ascii="Book Antiqua" w:hAnsi="Book Antiqua"/>
          <w:color w:val="000000"/>
        </w:rPr>
      </w:pPr>
      <w:r w:rsidRPr="004A4889">
        <w:rPr>
          <w:rFonts w:ascii="Book Antiqua" w:hAnsi="Book Antiqua"/>
          <w:color w:val="000000"/>
        </w:rPr>
        <w:t>Licenciada</w:t>
      </w:r>
    </w:p>
    <w:p w14:paraId="3742E2B0" w14:textId="77777777" w:rsidR="00C763CC" w:rsidRPr="004A4889" w:rsidRDefault="00C763CC" w:rsidP="007D0B11">
      <w:pPr>
        <w:pStyle w:val="NormalWeb"/>
        <w:spacing w:before="0" w:beforeAutospacing="0" w:after="0" w:afterAutospacing="0" w:line="276" w:lineRule="auto"/>
        <w:rPr>
          <w:rFonts w:ascii="Book Antiqua" w:hAnsi="Book Antiqua"/>
          <w:color w:val="000000"/>
        </w:rPr>
      </w:pPr>
      <w:r w:rsidRPr="004A4889">
        <w:rPr>
          <w:rFonts w:ascii="Book Antiqua" w:hAnsi="Book Antiqua"/>
          <w:color w:val="000000"/>
        </w:rPr>
        <w:t>Nacira Valverde Bermúdez</w:t>
      </w:r>
    </w:p>
    <w:p w14:paraId="5B20BF9E" w14:textId="6DEDB63A" w:rsidR="007D0B11" w:rsidRDefault="00C763CC" w:rsidP="005E63FE">
      <w:pPr>
        <w:pStyle w:val="NormalWeb"/>
        <w:spacing w:before="0" w:beforeAutospacing="0" w:after="0" w:afterAutospacing="0" w:line="276" w:lineRule="auto"/>
        <w:rPr>
          <w:rFonts w:ascii="Book Antiqua" w:hAnsi="Book Antiqua"/>
          <w:color w:val="000000"/>
        </w:rPr>
      </w:pPr>
      <w:r w:rsidRPr="004A4889">
        <w:rPr>
          <w:rFonts w:ascii="Book Antiqua" w:hAnsi="Book Antiqua"/>
          <w:color w:val="000000"/>
        </w:rPr>
        <w:t xml:space="preserve">Directora </w:t>
      </w:r>
      <w:r w:rsidR="005E63FE" w:rsidRPr="004A4889">
        <w:rPr>
          <w:rFonts w:ascii="Book Antiqua" w:hAnsi="Book Antiqua"/>
          <w:color w:val="000000"/>
        </w:rPr>
        <w:t>a.í</w:t>
      </w:r>
      <w:r w:rsidRPr="004A4889">
        <w:rPr>
          <w:rFonts w:ascii="Book Antiqua" w:hAnsi="Book Antiqua"/>
          <w:color w:val="000000"/>
        </w:rPr>
        <w:t xml:space="preserve"> de Planificación</w:t>
      </w:r>
    </w:p>
    <w:p w14:paraId="5374BE7D" w14:textId="6BFE4550" w:rsidR="005E63FE" w:rsidRDefault="005E63FE" w:rsidP="005E63FE">
      <w:pPr>
        <w:pStyle w:val="NormalWeb"/>
        <w:spacing w:before="0" w:beforeAutospacing="0" w:after="0" w:afterAutospacing="0" w:line="276" w:lineRule="auto"/>
        <w:rPr>
          <w:rFonts w:ascii="Book Antiqua" w:hAnsi="Book Antiqua"/>
          <w:color w:val="000000"/>
        </w:rPr>
      </w:pPr>
    </w:p>
    <w:p w14:paraId="14B5FA30" w14:textId="77777777" w:rsidR="005E63FE" w:rsidRPr="004A4889" w:rsidRDefault="005E63FE" w:rsidP="005E63FE">
      <w:pPr>
        <w:pStyle w:val="NormalWeb"/>
        <w:spacing w:before="0" w:beforeAutospacing="0" w:after="0" w:afterAutospacing="0" w:line="276" w:lineRule="auto"/>
        <w:rPr>
          <w:rFonts w:ascii="Book Antiqua" w:hAnsi="Book Antiqua"/>
          <w:color w:val="000000"/>
        </w:rPr>
      </w:pPr>
    </w:p>
    <w:p w14:paraId="261E2987" w14:textId="6E2BE666" w:rsidR="005E63FE" w:rsidRPr="004A4889" w:rsidRDefault="00C763CC" w:rsidP="007D0B11">
      <w:pPr>
        <w:pStyle w:val="NormalWeb"/>
        <w:spacing w:line="360" w:lineRule="auto"/>
        <w:rPr>
          <w:rFonts w:ascii="Book Antiqua" w:hAnsi="Book Antiqua"/>
          <w:color w:val="000000"/>
        </w:rPr>
      </w:pPr>
      <w:r w:rsidRPr="004A4889">
        <w:rPr>
          <w:rFonts w:ascii="Book Antiqua" w:hAnsi="Book Antiqua"/>
          <w:color w:val="000000"/>
        </w:rPr>
        <w:t>Estima</w:t>
      </w:r>
      <w:r w:rsidR="005E63FE">
        <w:rPr>
          <w:rFonts w:ascii="Book Antiqua" w:hAnsi="Book Antiqua"/>
          <w:color w:val="000000"/>
        </w:rPr>
        <w:t>d</w:t>
      </w:r>
      <w:r w:rsidRPr="004A4889">
        <w:rPr>
          <w:rFonts w:ascii="Book Antiqua" w:hAnsi="Book Antiqua"/>
          <w:color w:val="000000"/>
        </w:rPr>
        <w:t>a señora:</w:t>
      </w:r>
    </w:p>
    <w:p w14:paraId="515E7E0B" w14:textId="5FCC3374" w:rsidR="00201698" w:rsidRDefault="00C763CC" w:rsidP="005E63FE">
      <w:pPr>
        <w:pStyle w:val="NormalWeb"/>
        <w:spacing w:line="360" w:lineRule="auto"/>
        <w:ind w:firstLine="708"/>
        <w:jc w:val="both"/>
        <w:rPr>
          <w:rFonts w:ascii="Book Antiqua" w:hAnsi="Book Antiqua"/>
          <w:color w:val="000000"/>
        </w:rPr>
      </w:pPr>
      <w:r w:rsidRPr="004A4889">
        <w:rPr>
          <w:rFonts w:ascii="Book Antiqua" w:hAnsi="Book Antiqua"/>
          <w:color w:val="000000"/>
        </w:rPr>
        <w:t xml:space="preserve">Le remito el informe suscrito por la Inga. Yesenia Salazar Guzmán, Jefe </w:t>
      </w:r>
      <w:r w:rsidR="005E63FE" w:rsidRPr="004A4889">
        <w:rPr>
          <w:rFonts w:ascii="Book Antiqua" w:hAnsi="Book Antiqua"/>
          <w:color w:val="000000"/>
        </w:rPr>
        <w:t>a.í</w:t>
      </w:r>
      <w:r w:rsidRPr="004A4889">
        <w:rPr>
          <w:rFonts w:ascii="Book Antiqua" w:hAnsi="Book Antiqua"/>
          <w:color w:val="000000"/>
        </w:rPr>
        <w:t xml:space="preserve"> del Subproceso de Modernización Institucional-no penal, relacionado con el impacto organizacional y presupuestario en el Poder Judicial a partir de la promulgación </w:t>
      </w:r>
      <w:r w:rsidR="00AF3382" w:rsidRPr="004A4889">
        <w:rPr>
          <w:rFonts w:ascii="Book Antiqua" w:hAnsi="Book Antiqua"/>
        </w:rPr>
        <w:t>del Nuevo Código Procesal Agrario para el 2023 (Ley 2024)</w:t>
      </w:r>
      <w:r w:rsidRPr="004A4889">
        <w:rPr>
          <w:rFonts w:ascii="Book Antiqua" w:hAnsi="Book Antiqua"/>
          <w:color w:val="000000"/>
        </w:rPr>
        <w:t>.</w:t>
      </w:r>
    </w:p>
    <w:p w14:paraId="37DEDF4E" w14:textId="77777777" w:rsidR="005E63FE" w:rsidRPr="005E63FE" w:rsidRDefault="005E63FE" w:rsidP="005E63FE">
      <w:pPr>
        <w:pStyle w:val="NormalWeb"/>
        <w:spacing w:line="360" w:lineRule="auto"/>
        <w:ind w:firstLine="708"/>
        <w:jc w:val="both"/>
        <w:rPr>
          <w:rFonts w:ascii="Book Antiqua" w:hAnsi="Book Antiqua"/>
        </w:rPr>
      </w:pPr>
    </w:p>
    <w:p w14:paraId="5C4F1213" w14:textId="2333FFB9" w:rsidR="005E63FE" w:rsidRPr="004A4889" w:rsidRDefault="005E63FE" w:rsidP="005E63FE">
      <w:pPr>
        <w:pStyle w:val="NormalWeb"/>
        <w:spacing w:line="360" w:lineRule="auto"/>
        <w:jc w:val="both"/>
        <w:rPr>
          <w:rFonts w:ascii="Book Antiqua" w:hAnsi="Book Antiqua"/>
          <w:color w:val="000000"/>
        </w:rPr>
      </w:pPr>
      <w:r>
        <w:rPr>
          <w:rFonts w:ascii="Book Antiqua" w:hAnsi="Book Antiqua"/>
          <w:color w:val="000000"/>
        </w:rPr>
        <w:t>Atentamente,</w:t>
      </w:r>
    </w:p>
    <w:p w14:paraId="3F56AAD8" w14:textId="77777777" w:rsidR="00201698" w:rsidRPr="004A4889" w:rsidRDefault="00201698" w:rsidP="00201698">
      <w:pPr>
        <w:pStyle w:val="NormalWeb"/>
        <w:spacing w:before="0" w:beforeAutospacing="0" w:after="0" w:afterAutospacing="0" w:line="360" w:lineRule="auto"/>
        <w:rPr>
          <w:rFonts w:ascii="Book Antiqua" w:hAnsi="Book Antiqua"/>
          <w:color w:val="000000"/>
        </w:rPr>
      </w:pPr>
    </w:p>
    <w:p w14:paraId="24151DDA" w14:textId="7C0C6295" w:rsidR="00201698" w:rsidRPr="004A4889" w:rsidRDefault="00201698" w:rsidP="00201698">
      <w:pPr>
        <w:pStyle w:val="NormalWeb"/>
        <w:spacing w:before="0" w:beforeAutospacing="0" w:after="0" w:afterAutospacing="0" w:line="360" w:lineRule="auto"/>
        <w:rPr>
          <w:rFonts w:ascii="Book Antiqua" w:hAnsi="Book Antiqua"/>
          <w:color w:val="000000"/>
        </w:rPr>
      </w:pPr>
      <w:r w:rsidRPr="004A4889">
        <w:rPr>
          <w:rFonts w:ascii="Book Antiqua" w:hAnsi="Book Antiqua"/>
          <w:color w:val="000000"/>
        </w:rPr>
        <w:t xml:space="preserve">Ing. Yesenia Salazar Guzmán, Jefa </w:t>
      </w:r>
      <w:r w:rsidR="005E63FE" w:rsidRPr="004A4889">
        <w:rPr>
          <w:rFonts w:ascii="Book Antiqua" w:hAnsi="Book Antiqua"/>
          <w:color w:val="000000"/>
        </w:rPr>
        <w:t>a.í</w:t>
      </w:r>
    </w:p>
    <w:p w14:paraId="6DDE8D99" w14:textId="1F323133" w:rsidR="00201698" w:rsidRDefault="00201698" w:rsidP="00201698">
      <w:pPr>
        <w:pStyle w:val="NormalWeb"/>
        <w:spacing w:before="0" w:beforeAutospacing="0" w:after="0" w:afterAutospacing="0" w:line="360" w:lineRule="auto"/>
        <w:rPr>
          <w:rFonts w:ascii="Book Antiqua" w:hAnsi="Book Antiqua"/>
          <w:color w:val="000000"/>
        </w:rPr>
      </w:pPr>
      <w:r w:rsidRPr="004A4889">
        <w:rPr>
          <w:rFonts w:ascii="Book Antiqua" w:hAnsi="Book Antiqua"/>
          <w:color w:val="000000"/>
        </w:rPr>
        <w:t>Subproceso Modernización Institucional, No Penal</w:t>
      </w:r>
    </w:p>
    <w:p w14:paraId="63963470" w14:textId="14668E66" w:rsidR="005E63FE" w:rsidRDefault="005E63FE" w:rsidP="00201698">
      <w:pPr>
        <w:pStyle w:val="NormalWeb"/>
        <w:spacing w:before="0" w:beforeAutospacing="0" w:after="0" w:afterAutospacing="0" w:line="360" w:lineRule="auto"/>
        <w:rPr>
          <w:rFonts w:ascii="Book Antiqua" w:hAnsi="Book Antiqua"/>
          <w:color w:val="000000"/>
        </w:rPr>
      </w:pPr>
    </w:p>
    <w:p w14:paraId="3D718D23" w14:textId="48404664" w:rsidR="005E63FE" w:rsidRDefault="005E63FE" w:rsidP="00201698">
      <w:pPr>
        <w:pStyle w:val="NormalWeb"/>
        <w:spacing w:before="0" w:beforeAutospacing="0" w:after="0" w:afterAutospacing="0" w:line="360" w:lineRule="auto"/>
        <w:rPr>
          <w:rFonts w:ascii="Book Antiqua" w:hAnsi="Book Antiqua"/>
          <w:color w:val="000000"/>
        </w:rPr>
      </w:pPr>
    </w:p>
    <w:p w14:paraId="64D93987" w14:textId="7C80C9A7" w:rsidR="005E63FE" w:rsidRDefault="005E63FE" w:rsidP="00201698">
      <w:pPr>
        <w:pStyle w:val="NormalWeb"/>
        <w:spacing w:before="0" w:beforeAutospacing="0" w:after="0" w:afterAutospacing="0" w:line="360" w:lineRule="auto"/>
        <w:rPr>
          <w:rFonts w:ascii="Book Antiqua" w:hAnsi="Book Antiqua"/>
          <w:color w:val="000000"/>
        </w:rPr>
      </w:pPr>
    </w:p>
    <w:p w14:paraId="73C51529" w14:textId="6AC9ABB8" w:rsidR="005E63FE" w:rsidRDefault="005E63FE" w:rsidP="00201698">
      <w:pPr>
        <w:pStyle w:val="NormalWeb"/>
        <w:spacing w:before="0" w:beforeAutospacing="0" w:after="0" w:afterAutospacing="0" w:line="360" w:lineRule="auto"/>
        <w:rPr>
          <w:rFonts w:ascii="Book Antiqua" w:hAnsi="Book Antiqua"/>
          <w:color w:val="000000"/>
        </w:rPr>
      </w:pPr>
    </w:p>
    <w:p w14:paraId="55CDAC5A" w14:textId="4E59D1EF" w:rsidR="005E63FE" w:rsidRDefault="005E63FE" w:rsidP="00201698">
      <w:pPr>
        <w:pStyle w:val="NormalWeb"/>
        <w:spacing w:before="0" w:beforeAutospacing="0" w:after="0" w:afterAutospacing="0" w:line="360" w:lineRule="auto"/>
        <w:rPr>
          <w:rFonts w:ascii="Book Antiqua" w:hAnsi="Book Antiqua"/>
          <w:color w:val="000000"/>
        </w:rPr>
      </w:pPr>
    </w:p>
    <w:p w14:paraId="66D7A479" w14:textId="77777777" w:rsidR="005E63FE" w:rsidRPr="004A4889" w:rsidRDefault="005E63FE" w:rsidP="00201698">
      <w:pPr>
        <w:pStyle w:val="NormalWeb"/>
        <w:spacing w:before="0" w:beforeAutospacing="0" w:after="0" w:afterAutospacing="0" w:line="360" w:lineRule="auto"/>
        <w:rPr>
          <w:rFonts w:ascii="Book Antiqua" w:hAnsi="Book Antiqua"/>
          <w:color w:val="000000"/>
        </w:rPr>
      </w:pPr>
    </w:p>
    <w:p w14:paraId="673EF014" w14:textId="77777777" w:rsidR="007D0B11" w:rsidRPr="00033E65" w:rsidRDefault="007D0B11" w:rsidP="00C763CC">
      <w:pPr>
        <w:pStyle w:val="NormalWeb"/>
        <w:rPr>
          <w:rFonts w:ascii="Book Antiqua" w:hAnsi="Book Antiqua"/>
          <w:color w:val="000000"/>
        </w:rPr>
      </w:pPr>
    </w:p>
    <w:p w14:paraId="097DB7EA" w14:textId="77777777" w:rsidR="0090454A" w:rsidRPr="00033E65" w:rsidRDefault="0090454A" w:rsidP="0090454A">
      <w:pPr>
        <w:spacing w:line="276" w:lineRule="auto"/>
        <w:rPr>
          <w:b/>
          <w:i/>
          <w:sz w:val="40"/>
          <w:szCs w:val="40"/>
        </w:rPr>
      </w:pPr>
      <w:r w:rsidRPr="00033E65">
        <w:rPr>
          <w:rFonts w:cs="Arial"/>
          <w:noProof/>
          <w:szCs w:val="24"/>
          <w:lang w:eastAsia="es-CR"/>
        </w:rPr>
        <w:drawing>
          <wp:inline distT="0" distB="0" distL="0" distR="0" wp14:anchorId="0DE01314" wp14:editId="6848A14F">
            <wp:extent cx="1851660" cy="807720"/>
            <wp:effectExtent l="0" t="0" r="0" b="0"/>
            <wp:docPr id="11" name="Picture 1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der-judicial-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inline>
        </w:drawing>
      </w:r>
      <w:r w:rsidRPr="00033E65">
        <w:rPr>
          <w:noProof/>
        </w:rPr>
        <w:t xml:space="preserve">                                                 </w:t>
      </w:r>
      <w:r w:rsidRPr="00033E65">
        <w:rPr>
          <w:noProof/>
          <w:lang w:eastAsia="es-CR"/>
        </w:rPr>
        <w:drawing>
          <wp:inline distT="0" distB="0" distL="0" distR="0" wp14:anchorId="456132A2" wp14:editId="3CE05003">
            <wp:extent cx="1850409" cy="7274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50409" cy="727480"/>
                    </a:xfrm>
                    <a:prstGeom prst="rect">
                      <a:avLst/>
                    </a:prstGeom>
                    <a:noFill/>
                    <a:ln>
                      <a:noFill/>
                    </a:ln>
                  </pic:spPr>
                </pic:pic>
              </a:graphicData>
            </a:graphic>
          </wp:inline>
        </w:drawing>
      </w:r>
      <w:r w:rsidRPr="00033E65">
        <w:rPr>
          <w:noProof/>
        </w:rPr>
        <w:t xml:space="preserve">         </w:t>
      </w:r>
    </w:p>
    <w:p w14:paraId="3F0F2A14" w14:textId="77777777" w:rsidR="00FD3908" w:rsidRPr="00033E65" w:rsidRDefault="00FD3908" w:rsidP="0090454A">
      <w:pPr>
        <w:spacing w:line="276" w:lineRule="auto"/>
        <w:jc w:val="center"/>
        <w:rPr>
          <w:b/>
          <w:i/>
          <w:sz w:val="40"/>
          <w:szCs w:val="40"/>
        </w:rPr>
      </w:pPr>
    </w:p>
    <w:p w14:paraId="5FA6469D" w14:textId="003C39A0" w:rsidR="0090454A" w:rsidRPr="00033E65" w:rsidRDefault="00AD0453" w:rsidP="0090454A">
      <w:pPr>
        <w:spacing w:line="276" w:lineRule="auto"/>
        <w:jc w:val="center"/>
        <w:rPr>
          <w:b/>
          <w:i/>
          <w:sz w:val="40"/>
          <w:szCs w:val="40"/>
        </w:rPr>
      </w:pPr>
      <w:r w:rsidRPr="00033E65">
        <w:rPr>
          <w:b/>
          <w:i/>
          <w:sz w:val="40"/>
          <w:szCs w:val="40"/>
        </w:rPr>
        <w:t>Dirección de Planificación</w:t>
      </w:r>
    </w:p>
    <w:p w14:paraId="08EFDE9D" w14:textId="77777777" w:rsidR="0090454A" w:rsidRPr="00033E65" w:rsidRDefault="0090454A" w:rsidP="0090454A">
      <w:pPr>
        <w:pStyle w:val="Ttulo"/>
        <w:rPr>
          <w:i/>
          <w:iCs/>
          <w:color w:val="auto"/>
          <w:sz w:val="40"/>
          <w:szCs w:val="40"/>
          <w:lang w:eastAsia="es-ES"/>
        </w:rPr>
      </w:pPr>
      <w:r w:rsidRPr="00033E65">
        <w:rPr>
          <w:i/>
          <w:iCs/>
          <w:color w:val="auto"/>
          <w:sz w:val="40"/>
          <w:szCs w:val="40"/>
          <w:lang w:eastAsia="es-ES"/>
        </w:rPr>
        <w:t>Subproceso de Modernización Institucional</w:t>
      </w:r>
    </w:p>
    <w:p w14:paraId="753BDDE3" w14:textId="77777777" w:rsidR="0090454A" w:rsidRPr="00033E65" w:rsidRDefault="0090454A" w:rsidP="0090454A">
      <w:pPr>
        <w:spacing w:line="276" w:lineRule="auto"/>
        <w:rPr>
          <w:b/>
          <w:i/>
          <w:sz w:val="40"/>
          <w:szCs w:val="40"/>
        </w:rPr>
      </w:pPr>
    </w:p>
    <w:p w14:paraId="13B510A2" w14:textId="3102A602" w:rsidR="0090454A" w:rsidRPr="00033E65" w:rsidRDefault="0090454A" w:rsidP="0090454A">
      <w:pPr>
        <w:spacing w:line="276" w:lineRule="auto"/>
        <w:jc w:val="center"/>
        <w:rPr>
          <w:b/>
          <w:i/>
          <w:sz w:val="32"/>
          <w:szCs w:val="32"/>
        </w:rPr>
      </w:pPr>
      <w:r w:rsidRPr="00033E65">
        <w:rPr>
          <w:b/>
          <w:i/>
          <w:sz w:val="32"/>
          <w:szCs w:val="32"/>
        </w:rPr>
        <w:t>Impacto organizacional y presupuestario en el Poder Judicial a partir de la promulgación del Nuevo Código Procesal Agrario para el 202</w:t>
      </w:r>
      <w:r w:rsidR="0035714A" w:rsidRPr="00033E65">
        <w:rPr>
          <w:b/>
          <w:i/>
          <w:sz w:val="32"/>
          <w:szCs w:val="32"/>
        </w:rPr>
        <w:t>4</w:t>
      </w:r>
    </w:p>
    <w:p w14:paraId="736CB63C" w14:textId="40DFFAE9" w:rsidR="00FD3908" w:rsidRPr="00033E65" w:rsidRDefault="0090454A" w:rsidP="00656FBF">
      <w:pPr>
        <w:spacing w:line="276" w:lineRule="auto"/>
        <w:jc w:val="center"/>
        <w:rPr>
          <w:b/>
          <w:i/>
          <w:sz w:val="32"/>
          <w:szCs w:val="32"/>
        </w:rPr>
      </w:pPr>
      <w:r w:rsidRPr="00033E65">
        <w:rPr>
          <w:b/>
          <w:i/>
          <w:sz w:val="32"/>
          <w:szCs w:val="32"/>
        </w:rPr>
        <w:t xml:space="preserve"> Ley 9609</w:t>
      </w:r>
    </w:p>
    <w:p w14:paraId="4CAA0EBF" w14:textId="77777777" w:rsidR="00AD0453" w:rsidRPr="00033E65" w:rsidRDefault="00AD0453" w:rsidP="0090454A">
      <w:pPr>
        <w:spacing w:line="276" w:lineRule="auto"/>
        <w:rPr>
          <w:sz w:val="18"/>
        </w:rPr>
      </w:pPr>
    </w:p>
    <w:p w14:paraId="58062CC2" w14:textId="3C6ABF48" w:rsidR="0090454A" w:rsidRPr="00033E65" w:rsidRDefault="00015D14" w:rsidP="0090454A">
      <w:pPr>
        <w:spacing w:line="276" w:lineRule="auto"/>
        <w:jc w:val="center"/>
        <w:rPr>
          <w:sz w:val="36"/>
          <w:szCs w:val="40"/>
        </w:rPr>
      </w:pPr>
      <w:r>
        <w:rPr>
          <w:sz w:val="36"/>
          <w:szCs w:val="40"/>
        </w:rPr>
        <w:t>281</w:t>
      </w:r>
      <w:r w:rsidR="0090454A" w:rsidRPr="00033E65">
        <w:rPr>
          <w:sz w:val="36"/>
          <w:szCs w:val="40"/>
        </w:rPr>
        <w:t>-PLA-</w:t>
      </w:r>
      <w:r w:rsidR="00230EC8" w:rsidRPr="00033E65">
        <w:rPr>
          <w:sz w:val="36"/>
          <w:szCs w:val="40"/>
        </w:rPr>
        <w:t>RH</w:t>
      </w:r>
      <w:r>
        <w:rPr>
          <w:sz w:val="36"/>
          <w:szCs w:val="40"/>
        </w:rPr>
        <w:t>-</w:t>
      </w:r>
      <w:r w:rsidRPr="00033E65">
        <w:rPr>
          <w:sz w:val="36"/>
          <w:szCs w:val="40"/>
        </w:rPr>
        <w:t>MI</w:t>
      </w:r>
      <w:r>
        <w:rPr>
          <w:sz w:val="36"/>
          <w:szCs w:val="40"/>
        </w:rPr>
        <w:t>(NPL)</w:t>
      </w:r>
      <w:r w:rsidR="00230EC8" w:rsidRPr="00033E65">
        <w:rPr>
          <w:sz w:val="36"/>
          <w:szCs w:val="40"/>
        </w:rPr>
        <w:t>-</w:t>
      </w:r>
      <w:r w:rsidR="0090454A" w:rsidRPr="00033E65">
        <w:rPr>
          <w:sz w:val="36"/>
          <w:szCs w:val="40"/>
        </w:rPr>
        <w:t>202</w:t>
      </w:r>
      <w:r w:rsidR="0035714A" w:rsidRPr="00033E65">
        <w:rPr>
          <w:sz w:val="36"/>
          <w:szCs w:val="40"/>
        </w:rPr>
        <w:t>3</w:t>
      </w:r>
    </w:p>
    <w:p w14:paraId="03E4FA55" w14:textId="59452039" w:rsidR="00C334CB" w:rsidRPr="00033E65" w:rsidRDefault="0090454A" w:rsidP="00C334CB">
      <w:pPr>
        <w:spacing w:line="276" w:lineRule="auto"/>
        <w:jc w:val="center"/>
        <w:rPr>
          <w:sz w:val="36"/>
          <w:szCs w:val="40"/>
        </w:rPr>
      </w:pPr>
      <w:r w:rsidRPr="00033E65">
        <w:rPr>
          <w:sz w:val="36"/>
          <w:szCs w:val="40"/>
        </w:rPr>
        <w:t xml:space="preserve">Ref. </w:t>
      </w:r>
      <w:r w:rsidR="00D21C97" w:rsidRPr="00033E65">
        <w:rPr>
          <w:sz w:val="36"/>
          <w:szCs w:val="40"/>
        </w:rPr>
        <w:t>107</w:t>
      </w:r>
      <w:r w:rsidR="00845E8E" w:rsidRPr="00033E65">
        <w:rPr>
          <w:sz w:val="36"/>
          <w:szCs w:val="40"/>
        </w:rPr>
        <w:t>-202</w:t>
      </w:r>
      <w:r w:rsidR="00D21C97" w:rsidRPr="00033E65">
        <w:rPr>
          <w:sz w:val="36"/>
          <w:szCs w:val="40"/>
        </w:rPr>
        <w:t>3</w:t>
      </w:r>
    </w:p>
    <w:p w14:paraId="578ACF58" w14:textId="77777777" w:rsidR="00C334CB" w:rsidRPr="00033E65" w:rsidRDefault="00C334CB" w:rsidP="00C334CB">
      <w:pPr>
        <w:spacing w:line="276" w:lineRule="auto"/>
        <w:jc w:val="center"/>
        <w:rPr>
          <w:sz w:val="36"/>
          <w:szCs w:val="40"/>
        </w:rPr>
      </w:pPr>
    </w:p>
    <w:p w14:paraId="4D7FD1F0" w14:textId="60D8CE91" w:rsidR="00C334CB" w:rsidRPr="00033E65" w:rsidRDefault="00C334CB" w:rsidP="00714FA1">
      <w:pPr>
        <w:spacing w:line="276" w:lineRule="auto"/>
        <w:jc w:val="center"/>
        <w:rPr>
          <w:i/>
          <w:sz w:val="32"/>
          <w:szCs w:val="32"/>
        </w:rPr>
      </w:pPr>
      <w:r w:rsidRPr="0043490A">
        <w:rPr>
          <w:i/>
          <w:sz w:val="32"/>
          <w:szCs w:val="32"/>
        </w:rPr>
        <w:t xml:space="preserve">Aprobado en sesión extraordinaria (presupuesto) del Consejo Superior </w:t>
      </w:r>
      <w:r w:rsidR="005169BB" w:rsidRPr="0043490A">
        <w:rPr>
          <w:i/>
          <w:sz w:val="32"/>
          <w:szCs w:val="32"/>
        </w:rPr>
        <w:t>XX</w:t>
      </w:r>
      <w:r w:rsidRPr="0043490A">
        <w:rPr>
          <w:i/>
          <w:sz w:val="32"/>
          <w:szCs w:val="32"/>
        </w:rPr>
        <w:t>-202</w:t>
      </w:r>
      <w:r w:rsidR="005169BB" w:rsidRPr="0043490A">
        <w:rPr>
          <w:i/>
          <w:sz w:val="32"/>
          <w:szCs w:val="32"/>
        </w:rPr>
        <w:t>3</w:t>
      </w:r>
      <w:r w:rsidRPr="0043490A">
        <w:rPr>
          <w:i/>
          <w:sz w:val="32"/>
          <w:szCs w:val="32"/>
        </w:rPr>
        <w:t xml:space="preserve"> celebrada el </w:t>
      </w:r>
      <w:r w:rsidR="005169BB" w:rsidRPr="0043490A">
        <w:rPr>
          <w:i/>
          <w:sz w:val="32"/>
          <w:szCs w:val="32"/>
        </w:rPr>
        <w:t>XX</w:t>
      </w:r>
      <w:r w:rsidRPr="0043490A">
        <w:rPr>
          <w:i/>
          <w:sz w:val="32"/>
          <w:szCs w:val="32"/>
        </w:rPr>
        <w:t xml:space="preserve"> de </w:t>
      </w:r>
      <w:r w:rsidR="005169BB" w:rsidRPr="0043490A">
        <w:rPr>
          <w:i/>
          <w:sz w:val="32"/>
          <w:szCs w:val="32"/>
        </w:rPr>
        <w:t>abril</w:t>
      </w:r>
      <w:r w:rsidRPr="0043490A">
        <w:rPr>
          <w:i/>
          <w:sz w:val="32"/>
          <w:szCs w:val="32"/>
        </w:rPr>
        <w:t xml:space="preserve"> del 20</w:t>
      </w:r>
      <w:r w:rsidR="005169BB" w:rsidRPr="0043490A">
        <w:rPr>
          <w:i/>
          <w:sz w:val="32"/>
          <w:szCs w:val="32"/>
        </w:rPr>
        <w:t>23</w:t>
      </w:r>
      <w:r w:rsidRPr="0043490A">
        <w:rPr>
          <w:i/>
          <w:sz w:val="32"/>
          <w:szCs w:val="32"/>
        </w:rPr>
        <w:t>, artícul</w:t>
      </w:r>
      <w:r w:rsidR="00E033B0" w:rsidRPr="0043490A">
        <w:rPr>
          <w:i/>
          <w:sz w:val="32"/>
          <w:szCs w:val="32"/>
        </w:rPr>
        <w:t>o</w:t>
      </w:r>
      <w:r w:rsidR="005169BB" w:rsidRPr="0043490A">
        <w:rPr>
          <w:i/>
          <w:sz w:val="32"/>
          <w:szCs w:val="32"/>
        </w:rPr>
        <w:t xml:space="preserve"> XX</w:t>
      </w:r>
      <w:r w:rsidR="00297520" w:rsidRPr="0043490A">
        <w:rPr>
          <w:i/>
          <w:sz w:val="32"/>
          <w:szCs w:val="32"/>
        </w:rPr>
        <w:t>.</w:t>
      </w:r>
    </w:p>
    <w:p w14:paraId="3AB65EDF" w14:textId="6B3D27AA" w:rsidR="00FD3908" w:rsidRPr="00033E65" w:rsidRDefault="00FD3908" w:rsidP="00656FBF">
      <w:pPr>
        <w:spacing w:before="0" w:after="160" w:line="259" w:lineRule="auto"/>
        <w:rPr>
          <w:sz w:val="36"/>
          <w:szCs w:val="40"/>
        </w:rPr>
      </w:pPr>
    </w:p>
    <w:p w14:paraId="53FB47EE" w14:textId="2F570D59" w:rsidR="0090454A" w:rsidRPr="00033E65" w:rsidRDefault="005E63FE" w:rsidP="0090454A">
      <w:pPr>
        <w:spacing w:before="0" w:after="160" w:line="259" w:lineRule="auto"/>
        <w:jc w:val="center"/>
        <w:rPr>
          <w:sz w:val="36"/>
          <w:szCs w:val="40"/>
        </w:rPr>
      </w:pPr>
      <w:r>
        <w:rPr>
          <w:sz w:val="36"/>
          <w:szCs w:val="40"/>
        </w:rPr>
        <w:t>Abril</w:t>
      </w:r>
      <w:r w:rsidR="00230EC8" w:rsidRPr="00033E65">
        <w:rPr>
          <w:sz w:val="36"/>
          <w:szCs w:val="40"/>
        </w:rPr>
        <w:t>, 202</w:t>
      </w:r>
      <w:r w:rsidR="00566260" w:rsidRPr="00033E65">
        <w:rPr>
          <w:sz w:val="36"/>
          <w:szCs w:val="40"/>
        </w:rPr>
        <w:t>3</w:t>
      </w:r>
    </w:p>
    <w:p w14:paraId="341D1B47" w14:textId="77777777" w:rsidR="00215822" w:rsidRPr="00033E65" w:rsidRDefault="00215822" w:rsidP="0090454A">
      <w:pPr>
        <w:spacing w:before="0" w:after="160" w:line="259" w:lineRule="auto"/>
        <w:jc w:val="center"/>
        <w:rPr>
          <w:i/>
          <w:color w:val="000000" w:themeColor="text1"/>
          <w:sz w:val="36"/>
          <w:szCs w:val="36"/>
        </w:rPr>
      </w:pPr>
    </w:p>
    <w:sdt>
      <w:sdtPr>
        <w:rPr>
          <w:rFonts w:ascii="Book Antiqua" w:eastAsia="Times New Roman" w:hAnsi="Book Antiqua" w:cs="Times New Roman"/>
          <w:color w:val="auto"/>
          <w:sz w:val="22"/>
          <w:szCs w:val="20"/>
          <w:lang w:val="es-ES" w:eastAsia="es-ES"/>
        </w:rPr>
        <w:id w:val="-43677020"/>
        <w:docPartObj>
          <w:docPartGallery w:val="Table of Contents"/>
          <w:docPartUnique/>
        </w:docPartObj>
      </w:sdtPr>
      <w:sdtEndPr>
        <w:rPr>
          <w:b/>
          <w:bCs/>
        </w:rPr>
      </w:sdtEndPr>
      <w:sdtContent>
        <w:p w14:paraId="0D8E00D6" w14:textId="49AC5E03" w:rsidR="00BD0289" w:rsidRPr="00033E65" w:rsidRDefault="00BD0289">
          <w:pPr>
            <w:pStyle w:val="TtuloTDC"/>
            <w:rPr>
              <w:rStyle w:val="Ttulo1Car"/>
              <w:rFonts w:ascii="Book Antiqua" w:hAnsi="Book Antiqua"/>
            </w:rPr>
          </w:pPr>
          <w:r w:rsidRPr="00033E65">
            <w:rPr>
              <w:rStyle w:val="Ttulo1Car"/>
              <w:rFonts w:ascii="Book Antiqua" w:hAnsi="Book Antiqua"/>
            </w:rPr>
            <w:t>Contenido</w:t>
          </w:r>
        </w:p>
        <w:p w14:paraId="02F01FCD" w14:textId="70805A4A" w:rsidR="00EC5306" w:rsidRDefault="00BD0289">
          <w:pPr>
            <w:pStyle w:val="TDC1"/>
            <w:tabs>
              <w:tab w:val="right" w:leader="dot" w:pos="8828"/>
            </w:tabs>
            <w:rPr>
              <w:rFonts w:asciiTheme="minorHAnsi" w:eastAsiaTheme="minorEastAsia" w:hAnsiTheme="minorHAnsi" w:cstheme="minorBidi"/>
              <w:noProof/>
              <w:szCs w:val="22"/>
              <w:lang w:eastAsia="es-CR"/>
            </w:rPr>
          </w:pPr>
          <w:r w:rsidRPr="00033E65">
            <w:fldChar w:fldCharType="begin"/>
          </w:r>
          <w:r w:rsidRPr="00033E65">
            <w:instrText xml:space="preserve"> TOC \o "1-3" \h \z \u </w:instrText>
          </w:r>
          <w:r w:rsidRPr="00033E65">
            <w:fldChar w:fldCharType="separate"/>
          </w:r>
          <w:hyperlink w:anchor="_Toc132639499" w:history="1">
            <w:r w:rsidR="00EC5306" w:rsidRPr="004F1A03">
              <w:rPr>
                <w:rStyle w:val="Hipervnculo"/>
                <w:rFonts w:eastAsiaTheme="majorEastAsia"/>
                <w:noProof/>
              </w:rPr>
              <w:t>1. Antecedentes</w:t>
            </w:r>
            <w:r w:rsidR="00EC5306">
              <w:rPr>
                <w:noProof/>
                <w:webHidden/>
              </w:rPr>
              <w:tab/>
            </w:r>
            <w:r w:rsidR="00EC5306">
              <w:rPr>
                <w:noProof/>
                <w:webHidden/>
              </w:rPr>
              <w:fldChar w:fldCharType="begin"/>
            </w:r>
            <w:r w:rsidR="00EC5306">
              <w:rPr>
                <w:noProof/>
                <w:webHidden/>
              </w:rPr>
              <w:instrText xml:space="preserve"> PAGEREF _Toc132639499 \h </w:instrText>
            </w:r>
            <w:r w:rsidR="00EC5306">
              <w:rPr>
                <w:noProof/>
                <w:webHidden/>
              </w:rPr>
            </w:r>
            <w:r w:rsidR="00EC5306">
              <w:rPr>
                <w:noProof/>
                <w:webHidden/>
              </w:rPr>
              <w:fldChar w:fldCharType="separate"/>
            </w:r>
            <w:r w:rsidR="00EC5306">
              <w:rPr>
                <w:noProof/>
                <w:webHidden/>
              </w:rPr>
              <w:t>8</w:t>
            </w:r>
            <w:r w:rsidR="00EC5306">
              <w:rPr>
                <w:noProof/>
                <w:webHidden/>
              </w:rPr>
              <w:fldChar w:fldCharType="end"/>
            </w:r>
          </w:hyperlink>
        </w:p>
        <w:p w14:paraId="5100A43C" w14:textId="3DA5E72C" w:rsidR="00EC5306" w:rsidRDefault="00000000">
          <w:pPr>
            <w:pStyle w:val="TDC1"/>
            <w:tabs>
              <w:tab w:val="right" w:leader="dot" w:pos="8828"/>
            </w:tabs>
            <w:rPr>
              <w:rFonts w:asciiTheme="minorHAnsi" w:eastAsiaTheme="minorEastAsia" w:hAnsiTheme="minorHAnsi" w:cstheme="minorBidi"/>
              <w:noProof/>
              <w:szCs w:val="22"/>
              <w:lang w:eastAsia="es-CR"/>
            </w:rPr>
          </w:pPr>
          <w:hyperlink w:anchor="_Toc132639500" w:history="1">
            <w:r w:rsidR="00EC5306" w:rsidRPr="004F1A03">
              <w:rPr>
                <w:rStyle w:val="Hipervnculo"/>
                <w:rFonts w:eastAsiaTheme="majorEastAsia"/>
                <w:noProof/>
                <w:lang w:val="es-ES"/>
              </w:rPr>
              <w:t>2. Metodología</w:t>
            </w:r>
            <w:r w:rsidR="00EC5306">
              <w:rPr>
                <w:noProof/>
                <w:webHidden/>
              </w:rPr>
              <w:tab/>
            </w:r>
            <w:r w:rsidR="00EC5306">
              <w:rPr>
                <w:noProof/>
                <w:webHidden/>
              </w:rPr>
              <w:fldChar w:fldCharType="begin"/>
            </w:r>
            <w:r w:rsidR="00EC5306">
              <w:rPr>
                <w:noProof/>
                <w:webHidden/>
              </w:rPr>
              <w:instrText xml:space="preserve"> PAGEREF _Toc132639500 \h </w:instrText>
            </w:r>
            <w:r w:rsidR="00EC5306">
              <w:rPr>
                <w:noProof/>
                <w:webHidden/>
              </w:rPr>
            </w:r>
            <w:r w:rsidR="00EC5306">
              <w:rPr>
                <w:noProof/>
                <w:webHidden/>
              </w:rPr>
              <w:fldChar w:fldCharType="separate"/>
            </w:r>
            <w:r w:rsidR="00EC5306">
              <w:rPr>
                <w:noProof/>
                <w:webHidden/>
              </w:rPr>
              <w:t>8</w:t>
            </w:r>
            <w:r w:rsidR="00EC5306">
              <w:rPr>
                <w:noProof/>
                <w:webHidden/>
              </w:rPr>
              <w:fldChar w:fldCharType="end"/>
            </w:r>
          </w:hyperlink>
        </w:p>
        <w:p w14:paraId="20A96473" w14:textId="75B41C00" w:rsidR="00EC5306" w:rsidRDefault="00000000">
          <w:pPr>
            <w:pStyle w:val="TDC1"/>
            <w:tabs>
              <w:tab w:val="right" w:leader="dot" w:pos="8828"/>
            </w:tabs>
            <w:rPr>
              <w:rFonts w:asciiTheme="minorHAnsi" w:eastAsiaTheme="minorEastAsia" w:hAnsiTheme="minorHAnsi" w:cstheme="minorBidi"/>
              <w:noProof/>
              <w:szCs w:val="22"/>
              <w:lang w:eastAsia="es-CR"/>
            </w:rPr>
          </w:pPr>
          <w:hyperlink w:anchor="_Toc132639501" w:history="1">
            <w:r w:rsidR="00EC5306" w:rsidRPr="004F1A03">
              <w:rPr>
                <w:rStyle w:val="Hipervnculo"/>
                <w:rFonts w:eastAsiaTheme="majorEastAsia"/>
                <w:noProof/>
                <w:lang w:val="es-ES"/>
              </w:rPr>
              <w:t>3. Información relevante</w:t>
            </w:r>
            <w:r w:rsidR="00EC5306">
              <w:rPr>
                <w:noProof/>
                <w:webHidden/>
              </w:rPr>
              <w:tab/>
            </w:r>
            <w:r w:rsidR="00EC5306">
              <w:rPr>
                <w:noProof/>
                <w:webHidden/>
              </w:rPr>
              <w:fldChar w:fldCharType="begin"/>
            </w:r>
            <w:r w:rsidR="00EC5306">
              <w:rPr>
                <w:noProof/>
                <w:webHidden/>
              </w:rPr>
              <w:instrText xml:space="preserve"> PAGEREF _Toc132639501 \h </w:instrText>
            </w:r>
            <w:r w:rsidR="00EC5306">
              <w:rPr>
                <w:noProof/>
                <w:webHidden/>
              </w:rPr>
            </w:r>
            <w:r w:rsidR="00EC5306">
              <w:rPr>
                <w:noProof/>
                <w:webHidden/>
              </w:rPr>
              <w:fldChar w:fldCharType="separate"/>
            </w:r>
            <w:r w:rsidR="00EC5306">
              <w:rPr>
                <w:noProof/>
                <w:webHidden/>
              </w:rPr>
              <w:t>8</w:t>
            </w:r>
            <w:r w:rsidR="00EC5306">
              <w:rPr>
                <w:noProof/>
                <w:webHidden/>
              </w:rPr>
              <w:fldChar w:fldCharType="end"/>
            </w:r>
          </w:hyperlink>
        </w:p>
        <w:p w14:paraId="1D7F414F" w14:textId="099B58BB" w:rsidR="00EC5306" w:rsidRDefault="00000000">
          <w:pPr>
            <w:pStyle w:val="TDC2"/>
            <w:tabs>
              <w:tab w:val="left" w:pos="880"/>
              <w:tab w:val="right" w:leader="dot" w:pos="8828"/>
            </w:tabs>
            <w:rPr>
              <w:rFonts w:asciiTheme="minorHAnsi" w:eastAsiaTheme="minorEastAsia" w:hAnsiTheme="minorHAnsi" w:cstheme="minorBidi"/>
              <w:noProof/>
              <w:szCs w:val="22"/>
              <w:lang w:eastAsia="es-CR"/>
            </w:rPr>
          </w:pPr>
          <w:hyperlink w:anchor="_Toc132639503" w:history="1">
            <w:r w:rsidR="00EC5306" w:rsidRPr="004F1A03">
              <w:rPr>
                <w:rStyle w:val="Hipervnculo"/>
                <w:rFonts w:ascii="Times New Roman" w:eastAsiaTheme="majorEastAsia" w:hAnsi="Times New Roman"/>
                <w:noProof/>
                <w14:scene3d>
                  <w14:camera w14:prst="orthographicFront"/>
                  <w14:lightRig w14:rig="threePt" w14:dir="t">
                    <w14:rot w14:lat="0" w14:lon="0" w14:rev="0"/>
                  </w14:lightRig>
                </w14:scene3d>
              </w:rPr>
              <w:t>1.1</w:t>
            </w:r>
            <w:r w:rsidR="00EC5306">
              <w:rPr>
                <w:rFonts w:asciiTheme="minorHAnsi" w:eastAsiaTheme="minorEastAsia" w:hAnsiTheme="minorHAnsi" w:cstheme="minorBidi"/>
                <w:noProof/>
                <w:szCs w:val="22"/>
                <w:lang w:eastAsia="es-CR"/>
              </w:rPr>
              <w:tab/>
            </w:r>
            <w:r w:rsidR="00EC5306" w:rsidRPr="004F1A03">
              <w:rPr>
                <w:rStyle w:val="Hipervnculo"/>
                <w:rFonts w:eastAsiaTheme="majorEastAsia"/>
                <w:noProof/>
              </w:rPr>
              <w:t>3.1 Ámbito Jurisdiccional</w:t>
            </w:r>
            <w:r w:rsidR="00EC5306">
              <w:rPr>
                <w:noProof/>
                <w:webHidden/>
              </w:rPr>
              <w:tab/>
            </w:r>
            <w:r w:rsidR="00EC5306">
              <w:rPr>
                <w:noProof/>
                <w:webHidden/>
              </w:rPr>
              <w:fldChar w:fldCharType="begin"/>
            </w:r>
            <w:r w:rsidR="00EC5306">
              <w:rPr>
                <w:noProof/>
                <w:webHidden/>
              </w:rPr>
              <w:instrText xml:space="preserve"> PAGEREF _Toc132639503 \h </w:instrText>
            </w:r>
            <w:r w:rsidR="00EC5306">
              <w:rPr>
                <w:noProof/>
                <w:webHidden/>
              </w:rPr>
            </w:r>
            <w:r w:rsidR="00EC5306">
              <w:rPr>
                <w:noProof/>
                <w:webHidden/>
              </w:rPr>
              <w:fldChar w:fldCharType="separate"/>
            </w:r>
            <w:r w:rsidR="00EC5306">
              <w:rPr>
                <w:noProof/>
                <w:webHidden/>
              </w:rPr>
              <w:t>8</w:t>
            </w:r>
            <w:r w:rsidR="00EC5306">
              <w:rPr>
                <w:noProof/>
                <w:webHidden/>
              </w:rPr>
              <w:fldChar w:fldCharType="end"/>
            </w:r>
          </w:hyperlink>
        </w:p>
        <w:p w14:paraId="35F929A6" w14:textId="4A44A0C9" w:rsidR="00EC5306" w:rsidRDefault="00000000">
          <w:pPr>
            <w:pStyle w:val="TDC2"/>
            <w:tabs>
              <w:tab w:val="left" w:pos="880"/>
              <w:tab w:val="right" w:leader="dot" w:pos="8828"/>
            </w:tabs>
            <w:rPr>
              <w:rFonts w:asciiTheme="minorHAnsi" w:eastAsiaTheme="minorEastAsia" w:hAnsiTheme="minorHAnsi" w:cstheme="minorBidi"/>
              <w:noProof/>
              <w:szCs w:val="22"/>
              <w:lang w:eastAsia="es-CR"/>
            </w:rPr>
          </w:pPr>
          <w:hyperlink w:anchor="_Toc132639504" w:history="1">
            <w:r w:rsidR="00EC5306" w:rsidRPr="004F1A03">
              <w:rPr>
                <w:rStyle w:val="Hipervnculo"/>
                <w:rFonts w:ascii="Times New Roman" w:eastAsiaTheme="majorEastAsia" w:hAnsi="Times New Roman"/>
                <w:noProof/>
                <w14:scene3d>
                  <w14:camera w14:prst="orthographicFront"/>
                  <w14:lightRig w14:rig="threePt" w14:dir="t">
                    <w14:rot w14:lat="0" w14:lon="0" w14:rev="0"/>
                  </w14:lightRig>
                </w14:scene3d>
              </w:rPr>
              <w:t>1.2</w:t>
            </w:r>
            <w:r w:rsidR="00EC5306">
              <w:rPr>
                <w:rFonts w:asciiTheme="minorHAnsi" w:eastAsiaTheme="minorEastAsia" w:hAnsiTheme="minorHAnsi" w:cstheme="minorBidi"/>
                <w:noProof/>
                <w:szCs w:val="22"/>
                <w:lang w:eastAsia="es-CR"/>
              </w:rPr>
              <w:tab/>
            </w:r>
            <w:r w:rsidR="00EC5306" w:rsidRPr="004F1A03">
              <w:rPr>
                <w:rStyle w:val="Hipervnculo"/>
                <w:rFonts w:eastAsiaTheme="majorEastAsia"/>
                <w:noProof/>
              </w:rPr>
              <w:t>3.2 Ámbito Auxiliar de la Justicia</w:t>
            </w:r>
            <w:r w:rsidR="00EC5306">
              <w:rPr>
                <w:noProof/>
                <w:webHidden/>
              </w:rPr>
              <w:tab/>
            </w:r>
            <w:r w:rsidR="00EC5306">
              <w:rPr>
                <w:noProof/>
                <w:webHidden/>
              </w:rPr>
              <w:fldChar w:fldCharType="begin"/>
            </w:r>
            <w:r w:rsidR="00EC5306">
              <w:rPr>
                <w:noProof/>
                <w:webHidden/>
              </w:rPr>
              <w:instrText xml:space="preserve"> PAGEREF _Toc132639504 \h </w:instrText>
            </w:r>
            <w:r w:rsidR="00EC5306">
              <w:rPr>
                <w:noProof/>
                <w:webHidden/>
              </w:rPr>
            </w:r>
            <w:r w:rsidR="00EC5306">
              <w:rPr>
                <w:noProof/>
                <w:webHidden/>
              </w:rPr>
              <w:fldChar w:fldCharType="separate"/>
            </w:r>
            <w:r w:rsidR="00EC5306">
              <w:rPr>
                <w:noProof/>
                <w:webHidden/>
              </w:rPr>
              <w:t>9</w:t>
            </w:r>
            <w:r w:rsidR="00EC5306">
              <w:rPr>
                <w:noProof/>
                <w:webHidden/>
              </w:rPr>
              <w:fldChar w:fldCharType="end"/>
            </w:r>
          </w:hyperlink>
        </w:p>
        <w:p w14:paraId="32BF96C1" w14:textId="076AB1EB" w:rsidR="00EC5306" w:rsidRDefault="00000000">
          <w:pPr>
            <w:pStyle w:val="TDC3"/>
            <w:rPr>
              <w:rFonts w:asciiTheme="minorHAnsi" w:eastAsiaTheme="minorEastAsia" w:hAnsiTheme="minorHAnsi" w:cstheme="minorBidi"/>
              <w:noProof/>
              <w:szCs w:val="22"/>
              <w:lang w:eastAsia="es-CR"/>
            </w:rPr>
          </w:pPr>
          <w:hyperlink w:anchor="_Toc132639506" w:history="1">
            <w:r w:rsidR="00EC5306" w:rsidRPr="004F1A03">
              <w:rPr>
                <w:rStyle w:val="Hipervnculo"/>
                <w:rFonts w:eastAsiaTheme="majorEastAsia"/>
                <w:noProof/>
              </w:rPr>
              <w:t>3.2.1 Juzgado Agrario del I Circuito Judicial de Guanacaste (Liberia)</w:t>
            </w:r>
            <w:r w:rsidR="00EC5306">
              <w:rPr>
                <w:noProof/>
                <w:webHidden/>
              </w:rPr>
              <w:tab/>
            </w:r>
            <w:r w:rsidR="00EC5306">
              <w:rPr>
                <w:noProof/>
                <w:webHidden/>
              </w:rPr>
              <w:fldChar w:fldCharType="begin"/>
            </w:r>
            <w:r w:rsidR="00EC5306">
              <w:rPr>
                <w:noProof/>
                <w:webHidden/>
              </w:rPr>
              <w:instrText xml:space="preserve"> PAGEREF _Toc132639506 \h </w:instrText>
            </w:r>
            <w:r w:rsidR="00EC5306">
              <w:rPr>
                <w:noProof/>
                <w:webHidden/>
              </w:rPr>
            </w:r>
            <w:r w:rsidR="00EC5306">
              <w:rPr>
                <w:noProof/>
                <w:webHidden/>
              </w:rPr>
              <w:fldChar w:fldCharType="separate"/>
            </w:r>
            <w:r w:rsidR="00EC5306">
              <w:rPr>
                <w:noProof/>
                <w:webHidden/>
              </w:rPr>
              <w:t>11</w:t>
            </w:r>
            <w:r w:rsidR="00EC5306">
              <w:rPr>
                <w:noProof/>
                <w:webHidden/>
              </w:rPr>
              <w:fldChar w:fldCharType="end"/>
            </w:r>
          </w:hyperlink>
        </w:p>
        <w:p w14:paraId="7B072E98" w14:textId="2D00F3B1" w:rsidR="00EC5306" w:rsidRDefault="00000000">
          <w:pPr>
            <w:pStyle w:val="TDC3"/>
            <w:rPr>
              <w:rFonts w:asciiTheme="minorHAnsi" w:eastAsiaTheme="minorEastAsia" w:hAnsiTheme="minorHAnsi" w:cstheme="minorBidi"/>
              <w:noProof/>
              <w:szCs w:val="22"/>
              <w:lang w:eastAsia="es-CR"/>
            </w:rPr>
          </w:pPr>
          <w:hyperlink w:anchor="_Toc132639507" w:history="1">
            <w:r w:rsidR="00EC5306" w:rsidRPr="004F1A03">
              <w:rPr>
                <w:rStyle w:val="Hipervnculo"/>
                <w:rFonts w:eastAsiaTheme="majorEastAsia"/>
                <w:noProof/>
              </w:rPr>
              <w:t>3.2.2 Juzgado Agrario del II Circuito Judicial de Guanacaste (Santa Cruz)</w:t>
            </w:r>
            <w:r w:rsidR="00EC5306">
              <w:rPr>
                <w:noProof/>
                <w:webHidden/>
              </w:rPr>
              <w:tab/>
            </w:r>
            <w:r w:rsidR="00EC5306">
              <w:rPr>
                <w:noProof/>
                <w:webHidden/>
              </w:rPr>
              <w:fldChar w:fldCharType="begin"/>
            </w:r>
            <w:r w:rsidR="00EC5306">
              <w:rPr>
                <w:noProof/>
                <w:webHidden/>
              </w:rPr>
              <w:instrText xml:space="preserve"> PAGEREF _Toc132639507 \h </w:instrText>
            </w:r>
            <w:r w:rsidR="00EC5306">
              <w:rPr>
                <w:noProof/>
                <w:webHidden/>
              </w:rPr>
            </w:r>
            <w:r w:rsidR="00EC5306">
              <w:rPr>
                <w:noProof/>
                <w:webHidden/>
              </w:rPr>
              <w:fldChar w:fldCharType="separate"/>
            </w:r>
            <w:r w:rsidR="00EC5306">
              <w:rPr>
                <w:noProof/>
                <w:webHidden/>
              </w:rPr>
              <w:t>12</w:t>
            </w:r>
            <w:r w:rsidR="00EC5306">
              <w:rPr>
                <w:noProof/>
                <w:webHidden/>
              </w:rPr>
              <w:fldChar w:fldCharType="end"/>
            </w:r>
          </w:hyperlink>
        </w:p>
        <w:p w14:paraId="5D937E2B" w14:textId="2E4FF946" w:rsidR="00EC5306" w:rsidRDefault="00000000">
          <w:pPr>
            <w:pStyle w:val="TDC3"/>
            <w:rPr>
              <w:rFonts w:asciiTheme="minorHAnsi" w:eastAsiaTheme="minorEastAsia" w:hAnsiTheme="minorHAnsi" w:cstheme="minorBidi"/>
              <w:noProof/>
              <w:szCs w:val="22"/>
              <w:lang w:eastAsia="es-CR"/>
            </w:rPr>
          </w:pPr>
          <w:hyperlink w:anchor="_Toc132639508" w:history="1">
            <w:r w:rsidR="00EC5306" w:rsidRPr="004F1A03">
              <w:rPr>
                <w:rStyle w:val="Hipervnculo"/>
                <w:rFonts w:eastAsiaTheme="majorEastAsia"/>
                <w:noProof/>
              </w:rPr>
              <w:t>3.2.3Juzgado Agrario de Puntarenas</w:t>
            </w:r>
            <w:r w:rsidR="00EC5306">
              <w:rPr>
                <w:noProof/>
                <w:webHidden/>
              </w:rPr>
              <w:tab/>
            </w:r>
            <w:r w:rsidR="00EC5306">
              <w:rPr>
                <w:noProof/>
                <w:webHidden/>
              </w:rPr>
              <w:fldChar w:fldCharType="begin"/>
            </w:r>
            <w:r w:rsidR="00EC5306">
              <w:rPr>
                <w:noProof/>
                <w:webHidden/>
              </w:rPr>
              <w:instrText xml:space="preserve"> PAGEREF _Toc132639508 \h </w:instrText>
            </w:r>
            <w:r w:rsidR="00EC5306">
              <w:rPr>
                <w:noProof/>
                <w:webHidden/>
              </w:rPr>
            </w:r>
            <w:r w:rsidR="00EC5306">
              <w:rPr>
                <w:noProof/>
                <w:webHidden/>
              </w:rPr>
              <w:fldChar w:fldCharType="separate"/>
            </w:r>
            <w:r w:rsidR="00EC5306">
              <w:rPr>
                <w:noProof/>
                <w:webHidden/>
              </w:rPr>
              <w:t>12</w:t>
            </w:r>
            <w:r w:rsidR="00EC5306">
              <w:rPr>
                <w:noProof/>
                <w:webHidden/>
              </w:rPr>
              <w:fldChar w:fldCharType="end"/>
            </w:r>
          </w:hyperlink>
        </w:p>
        <w:p w14:paraId="7E5C28AF" w14:textId="538264B4" w:rsidR="00EC5306" w:rsidRDefault="00000000">
          <w:pPr>
            <w:pStyle w:val="TDC3"/>
            <w:rPr>
              <w:rFonts w:asciiTheme="minorHAnsi" w:eastAsiaTheme="minorEastAsia" w:hAnsiTheme="minorHAnsi" w:cstheme="minorBidi"/>
              <w:noProof/>
              <w:szCs w:val="22"/>
              <w:lang w:eastAsia="es-CR"/>
            </w:rPr>
          </w:pPr>
          <w:hyperlink w:anchor="_Toc132639509" w:history="1">
            <w:r w:rsidR="00EC5306" w:rsidRPr="004F1A03">
              <w:rPr>
                <w:rStyle w:val="Hipervnculo"/>
                <w:rFonts w:eastAsiaTheme="majorEastAsia"/>
                <w:noProof/>
              </w:rPr>
              <w:t>3.2.4 Juzgado Agrario del Tercer Circuito Judicial de Alajuela (San Ramón)</w:t>
            </w:r>
            <w:r w:rsidR="00EC5306">
              <w:rPr>
                <w:noProof/>
                <w:webHidden/>
              </w:rPr>
              <w:tab/>
            </w:r>
            <w:r w:rsidR="00EC5306">
              <w:rPr>
                <w:noProof/>
                <w:webHidden/>
              </w:rPr>
              <w:fldChar w:fldCharType="begin"/>
            </w:r>
            <w:r w:rsidR="00EC5306">
              <w:rPr>
                <w:noProof/>
                <w:webHidden/>
              </w:rPr>
              <w:instrText xml:space="preserve"> PAGEREF _Toc132639509 \h </w:instrText>
            </w:r>
            <w:r w:rsidR="00EC5306">
              <w:rPr>
                <w:noProof/>
                <w:webHidden/>
              </w:rPr>
            </w:r>
            <w:r w:rsidR="00EC5306">
              <w:rPr>
                <w:noProof/>
                <w:webHidden/>
              </w:rPr>
              <w:fldChar w:fldCharType="separate"/>
            </w:r>
            <w:r w:rsidR="00EC5306">
              <w:rPr>
                <w:noProof/>
                <w:webHidden/>
              </w:rPr>
              <w:t>13</w:t>
            </w:r>
            <w:r w:rsidR="00EC5306">
              <w:rPr>
                <w:noProof/>
                <w:webHidden/>
              </w:rPr>
              <w:fldChar w:fldCharType="end"/>
            </w:r>
          </w:hyperlink>
        </w:p>
        <w:p w14:paraId="3091C573" w14:textId="16AE2B73" w:rsidR="00EC5306" w:rsidRDefault="00000000">
          <w:pPr>
            <w:pStyle w:val="TDC3"/>
            <w:rPr>
              <w:rFonts w:asciiTheme="minorHAnsi" w:eastAsiaTheme="minorEastAsia" w:hAnsiTheme="minorHAnsi" w:cstheme="minorBidi"/>
              <w:noProof/>
              <w:szCs w:val="22"/>
              <w:lang w:eastAsia="es-CR"/>
            </w:rPr>
          </w:pPr>
          <w:hyperlink w:anchor="_Toc132639510" w:history="1">
            <w:r w:rsidR="00EC5306" w:rsidRPr="004F1A03">
              <w:rPr>
                <w:rStyle w:val="Hipervnculo"/>
                <w:rFonts w:eastAsiaTheme="majorEastAsia"/>
                <w:noProof/>
              </w:rPr>
              <w:t>3.2.5 Juzgado Civil, Trabajo, Agrario, Familia, Penal Juvenil, Contra la Violencia Doméstica y Protección Cautelar II Circuito Judicial de Alajuela, sede Upala</w:t>
            </w:r>
            <w:r w:rsidR="00EC5306">
              <w:rPr>
                <w:noProof/>
                <w:webHidden/>
              </w:rPr>
              <w:tab/>
            </w:r>
            <w:r w:rsidR="00EC5306">
              <w:rPr>
                <w:noProof/>
                <w:webHidden/>
              </w:rPr>
              <w:fldChar w:fldCharType="begin"/>
            </w:r>
            <w:r w:rsidR="00EC5306">
              <w:rPr>
                <w:noProof/>
                <w:webHidden/>
              </w:rPr>
              <w:instrText xml:space="preserve"> PAGEREF _Toc132639510 \h </w:instrText>
            </w:r>
            <w:r w:rsidR="00EC5306">
              <w:rPr>
                <w:noProof/>
                <w:webHidden/>
              </w:rPr>
            </w:r>
            <w:r w:rsidR="00EC5306">
              <w:rPr>
                <w:noProof/>
                <w:webHidden/>
              </w:rPr>
              <w:fldChar w:fldCharType="separate"/>
            </w:r>
            <w:r w:rsidR="00EC5306">
              <w:rPr>
                <w:noProof/>
                <w:webHidden/>
              </w:rPr>
              <w:t>13</w:t>
            </w:r>
            <w:r w:rsidR="00EC5306">
              <w:rPr>
                <w:noProof/>
                <w:webHidden/>
              </w:rPr>
              <w:fldChar w:fldCharType="end"/>
            </w:r>
          </w:hyperlink>
        </w:p>
        <w:p w14:paraId="63509AA0" w14:textId="550F1108" w:rsidR="00EC5306" w:rsidRDefault="00000000">
          <w:pPr>
            <w:pStyle w:val="TDC3"/>
            <w:rPr>
              <w:rFonts w:asciiTheme="minorHAnsi" w:eastAsiaTheme="minorEastAsia" w:hAnsiTheme="minorHAnsi" w:cstheme="minorBidi"/>
              <w:noProof/>
              <w:szCs w:val="22"/>
              <w:lang w:eastAsia="es-CR"/>
            </w:rPr>
          </w:pPr>
          <w:hyperlink w:anchor="_Toc132639511" w:history="1">
            <w:r w:rsidR="00EC5306" w:rsidRPr="004F1A03">
              <w:rPr>
                <w:rStyle w:val="Hipervnculo"/>
                <w:rFonts w:eastAsiaTheme="majorEastAsia"/>
                <w:noProof/>
              </w:rPr>
              <w:t>3.2.6 Juzgado Agrario del II Circuito Judicial de Alajuela (San Carlos)</w:t>
            </w:r>
            <w:r w:rsidR="00EC5306">
              <w:rPr>
                <w:noProof/>
                <w:webHidden/>
              </w:rPr>
              <w:tab/>
            </w:r>
            <w:r w:rsidR="00EC5306">
              <w:rPr>
                <w:noProof/>
                <w:webHidden/>
              </w:rPr>
              <w:fldChar w:fldCharType="begin"/>
            </w:r>
            <w:r w:rsidR="00EC5306">
              <w:rPr>
                <w:noProof/>
                <w:webHidden/>
              </w:rPr>
              <w:instrText xml:space="preserve"> PAGEREF _Toc132639511 \h </w:instrText>
            </w:r>
            <w:r w:rsidR="00EC5306">
              <w:rPr>
                <w:noProof/>
                <w:webHidden/>
              </w:rPr>
            </w:r>
            <w:r w:rsidR="00EC5306">
              <w:rPr>
                <w:noProof/>
                <w:webHidden/>
              </w:rPr>
              <w:fldChar w:fldCharType="separate"/>
            </w:r>
            <w:r w:rsidR="00EC5306">
              <w:rPr>
                <w:noProof/>
                <w:webHidden/>
              </w:rPr>
              <w:t>14</w:t>
            </w:r>
            <w:r w:rsidR="00EC5306">
              <w:rPr>
                <w:noProof/>
                <w:webHidden/>
              </w:rPr>
              <w:fldChar w:fldCharType="end"/>
            </w:r>
          </w:hyperlink>
        </w:p>
        <w:p w14:paraId="2648E1C4" w14:textId="4D87C06B" w:rsidR="00EC5306" w:rsidRDefault="00000000">
          <w:pPr>
            <w:pStyle w:val="TDC3"/>
            <w:rPr>
              <w:rFonts w:asciiTheme="minorHAnsi" w:eastAsiaTheme="minorEastAsia" w:hAnsiTheme="minorHAnsi" w:cstheme="minorBidi"/>
              <w:noProof/>
              <w:szCs w:val="22"/>
              <w:lang w:eastAsia="es-CR"/>
            </w:rPr>
          </w:pPr>
          <w:hyperlink w:anchor="_Toc132639512" w:history="1">
            <w:r w:rsidR="00EC5306" w:rsidRPr="004F1A03">
              <w:rPr>
                <w:rStyle w:val="Hipervnculo"/>
                <w:rFonts w:eastAsiaTheme="majorEastAsia"/>
                <w:noProof/>
              </w:rPr>
              <w:t>3.2.7 Juzgado Agrario del I Circuito Judicial de la Zona Atlántica (Limón)</w:t>
            </w:r>
            <w:r w:rsidR="00EC5306">
              <w:rPr>
                <w:noProof/>
                <w:webHidden/>
              </w:rPr>
              <w:tab/>
            </w:r>
            <w:r w:rsidR="00EC5306">
              <w:rPr>
                <w:noProof/>
                <w:webHidden/>
              </w:rPr>
              <w:fldChar w:fldCharType="begin"/>
            </w:r>
            <w:r w:rsidR="00EC5306">
              <w:rPr>
                <w:noProof/>
                <w:webHidden/>
              </w:rPr>
              <w:instrText xml:space="preserve"> PAGEREF _Toc132639512 \h </w:instrText>
            </w:r>
            <w:r w:rsidR="00EC5306">
              <w:rPr>
                <w:noProof/>
                <w:webHidden/>
              </w:rPr>
            </w:r>
            <w:r w:rsidR="00EC5306">
              <w:rPr>
                <w:noProof/>
                <w:webHidden/>
              </w:rPr>
              <w:fldChar w:fldCharType="separate"/>
            </w:r>
            <w:r w:rsidR="00EC5306">
              <w:rPr>
                <w:noProof/>
                <w:webHidden/>
              </w:rPr>
              <w:t>14</w:t>
            </w:r>
            <w:r w:rsidR="00EC5306">
              <w:rPr>
                <w:noProof/>
                <w:webHidden/>
              </w:rPr>
              <w:fldChar w:fldCharType="end"/>
            </w:r>
          </w:hyperlink>
        </w:p>
        <w:p w14:paraId="5509D66C" w14:textId="0B96CEA1" w:rsidR="00EC5306" w:rsidRDefault="00000000">
          <w:pPr>
            <w:pStyle w:val="TDC3"/>
            <w:rPr>
              <w:rFonts w:asciiTheme="minorHAnsi" w:eastAsiaTheme="minorEastAsia" w:hAnsiTheme="minorHAnsi" w:cstheme="minorBidi"/>
              <w:noProof/>
              <w:szCs w:val="22"/>
              <w:lang w:eastAsia="es-CR"/>
            </w:rPr>
          </w:pPr>
          <w:hyperlink w:anchor="_Toc132639513" w:history="1">
            <w:r w:rsidR="00EC5306" w:rsidRPr="004F1A03">
              <w:rPr>
                <w:rStyle w:val="Hipervnculo"/>
                <w:rFonts w:eastAsiaTheme="majorEastAsia"/>
                <w:noProof/>
              </w:rPr>
              <w:t>3.2.8 Juzgado Agrario del II Circuito Judicial de la Zona Atlántica (Guápiles)</w:t>
            </w:r>
            <w:r w:rsidR="00EC5306">
              <w:rPr>
                <w:noProof/>
                <w:webHidden/>
              </w:rPr>
              <w:tab/>
            </w:r>
            <w:r w:rsidR="00EC5306">
              <w:rPr>
                <w:noProof/>
                <w:webHidden/>
              </w:rPr>
              <w:fldChar w:fldCharType="begin"/>
            </w:r>
            <w:r w:rsidR="00EC5306">
              <w:rPr>
                <w:noProof/>
                <w:webHidden/>
              </w:rPr>
              <w:instrText xml:space="preserve"> PAGEREF _Toc132639513 \h </w:instrText>
            </w:r>
            <w:r w:rsidR="00EC5306">
              <w:rPr>
                <w:noProof/>
                <w:webHidden/>
              </w:rPr>
            </w:r>
            <w:r w:rsidR="00EC5306">
              <w:rPr>
                <w:noProof/>
                <w:webHidden/>
              </w:rPr>
              <w:fldChar w:fldCharType="separate"/>
            </w:r>
            <w:r w:rsidR="00EC5306">
              <w:rPr>
                <w:noProof/>
                <w:webHidden/>
              </w:rPr>
              <w:t>15</w:t>
            </w:r>
            <w:r w:rsidR="00EC5306">
              <w:rPr>
                <w:noProof/>
                <w:webHidden/>
              </w:rPr>
              <w:fldChar w:fldCharType="end"/>
            </w:r>
          </w:hyperlink>
        </w:p>
        <w:p w14:paraId="7573CC3E" w14:textId="256D5BFB" w:rsidR="00EC5306" w:rsidRDefault="00000000">
          <w:pPr>
            <w:pStyle w:val="TDC3"/>
            <w:rPr>
              <w:rFonts w:asciiTheme="minorHAnsi" w:eastAsiaTheme="minorEastAsia" w:hAnsiTheme="minorHAnsi" w:cstheme="minorBidi"/>
              <w:noProof/>
              <w:szCs w:val="22"/>
              <w:lang w:eastAsia="es-CR"/>
            </w:rPr>
          </w:pPr>
          <w:hyperlink w:anchor="_Toc132639514" w:history="1">
            <w:r w:rsidR="00EC5306" w:rsidRPr="004F1A03">
              <w:rPr>
                <w:rStyle w:val="Hipervnculo"/>
                <w:rFonts w:eastAsiaTheme="majorEastAsia"/>
                <w:noProof/>
              </w:rPr>
              <w:t>3.2.9 Juzgado Civil, Trabajo y Agrario de Turrialba</w:t>
            </w:r>
            <w:r w:rsidR="00EC5306">
              <w:rPr>
                <w:noProof/>
                <w:webHidden/>
              </w:rPr>
              <w:tab/>
            </w:r>
            <w:r w:rsidR="00EC5306">
              <w:rPr>
                <w:noProof/>
                <w:webHidden/>
              </w:rPr>
              <w:fldChar w:fldCharType="begin"/>
            </w:r>
            <w:r w:rsidR="00EC5306">
              <w:rPr>
                <w:noProof/>
                <w:webHidden/>
              </w:rPr>
              <w:instrText xml:space="preserve"> PAGEREF _Toc132639514 \h </w:instrText>
            </w:r>
            <w:r w:rsidR="00EC5306">
              <w:rPr>
                <w:noProof/>
                <w:webHidden/>
              </w:rPr>
            </w:r>
            <w:r w:rsidR="00EC5306">
              <w:rPr>
                <w:noProof/>
                <w:webHidden/>
              </w:rPr>
              <w:fldChar w:fldCharType="separate"/>
            </w:r>
            <w:r w:rsidR="00EC5306">
              <w:rPr>
                <w:noProof/>
                <w:webHidden/>
              </w:rPr>
              <w:t>16</w:t>
            </w:r>
            <w:r w:rsidR="00EC5306">
              <w:rPr>
                <w:noProof/>
                <w:webHidden/>
              </w:rPr>
              <w:fldChar w:fldCharType="end"/>
            </w:r>
          </w:hyperlink>
        </w:p>
        <w:p w14:paraId="766F4CA6" w14:textId="4E841E89" w:rsidR="00EC5306" w:rsidRDefault="00000000">
          <w:pPr>
            <w:pStyle w:val="TDC3"/>
            <w:rPr>
              <w:rFonts w:asciiTheme="minorHAnsi" w:eastAsiaTheme="minorEastAsia" w:hAnsiTheme="minorHAnsi" w:cstheme="minorBidi"/>
              <w:noProof/>
              <w:szCs w:val="22"/>
              <w:lang w:eastAsia="es-CR"/>
            </w:rPr>
          </w:pPr>
          <w:hyperlink w:anchor="_Toc132639515" w:history="1">
            <w:r w:rsidR="00EC5306" w:rsidRPr="004F1A03">
              <w:rPr>
                <w:rStyle w:val="Hipervnculo"/>
                <w:rFonts w:eastAsiaTheme="majorEastAsia"/>
                <w:noProof/>
              </w:rPr>
              <w:t>3.2.10 Juzgado Agrario de Cartago</w:t>
            </w:r>
            <w:r w:rsidR="00EC5306">
              <w:rPr>
                <w:noProof/>
                <w:webHidden/>
              </w:rPr>
              <w:tab/>
            </w:r>
            <w:r w:rsidR="00EC5306">
              <w:rPr>
                <w:noProof/>
                <w:webHidden/>
              </w:rPr>
              <w:fldChar w:fldCharType="begin"/>
            </w:r>
            <w:r w:rsidR="00EC5306">
              <w:rPr>
                <w:noProof/>
                <w:webHidden/>
              </w:rPr>
              <w:instrText xml:space="preserve"> PAGEREF _Toc132639515 \h </w:instrText>
            </w:r>
            <w:r w:rsidR="00EC5306">
              <w:rPr>
                <w:noProof/>
                <w:webHidden/>
              </w:rPr>
            </w:r>
            <w:r w:rsidR="00EC5306">
              <w:rPr>
                <w:noProof/>
                <w:webHidden/>
              </w:rPr>
              <w:fldChar w:fldCharType="separate"/>
            </w:r>
            <w:r w:rsidR="00EC5306">
              <w:rPr>
                <w:noProof/>
                <w:webHidden/>
              </w:rPr>
              <w:t>16</w:t>
            </w:r>
            <w:r w:rsidR="00EC5306">
              <w:rPr>
                <w:noProof/>
                <w:webHidden/>
              </w:rPr>
              <w:fldChar w:fldCharType="end"/>
            </w:r>
          </w:hyperlink>
        </w:p>
        <w:p w14:paraId="26DC6C53" w14:textId="6C3712EC" w:rsidR="00EC5306" w:rsidRDefault="00000000">
          <w:pPr>
            <w:pStyle w:val="TDC3"/>
            <w:rPr>
              <w:rFonts w:asciiTheme="minorHAnsi" w:eastAsiaTheme="minorEastAsia" w:hAnsiTheme="minorHAnsi" w:cstheme="minorBidi"/>
              <w:noProof/>
              <w:szCs w:val="22"/>
              <w:lang w:eastAsia="es-CR"/>
            </w:rPr>
          </w:pPr>
          <w:hyperlink w:anchor="_Toc132639516" w:history="1">
            <w:r w:rsidR="00EC5306" w:rsidRPr="004F1A03">
              <w:rPr>
                <w:rStyle w:val="Hipervnculo"/>
                <w:rFonts w:eastAsiaTheme="majorEastAsia"/>
                <w:noProof/>
              </w:rPr>
              <w:t>3.2.11 Juzgado Agrario del I Circuito Judicial de Alajuela</w:t>
            </w:r>
            <w:r w:rsidR="00EC5306">
              <w:rPr>
                <w:noProof/>
                <w:webHidden/>
              </w:rPr>
              <w:tab/>
            </w:r>
            <w:r w:rsidR="00EC5306">
              <w:rPr>
                <w:noProof/>
                <w:webHidden/>
              </w:rPr>
              <w:fldChar w:fldCharType="begin"/>
            </w:r>
            <w:r w:rsidR="00EC5306">
              <w:rPr>
                <w:noProof/>
                <w:webHidden/>
              </w:rPr>
              <w:instrText xml:space="preserve"> PAGEREF _Toc132639516 \h </w:instrText>
            </w:r>
            <w:r w:rsidR="00EC5306">
              <w:rPr>
                <w:noProof/>
                <w:webHidden/>
              </w:rPr>
            </w:r>
            <w:r w:rsidR="00EC5306">
              <w:rPr>
                <w:noProof/>
                <w:webHidden/>
              </w:rPr>
              <w:fldChar w:fldCharType="separate"/>
            </w:r>
            <w:r w:rsidR="00EC5306">
              <w:rPr>
                <w:noProof/>
                <w:webHidden/>
              </w:rPr>
              <w:t>17</w:t>
            </w:r>
            <w:r w:rsidR="00EC5306">
              <w:rPr>
                <w:noProof/>
                <w:webHidden/>
              </w:rPr>
              <w:fldChar w:fldCharType="end"/>
            </w:r>
          </w:hyperlink>
        </w:p>
        <w:p w14:paraId="713474E8" w14:textId="35B3DFD4" w:rsidR="00EC5306" w:rsidRDefault="00000000">
          <w:pPr>
            <w:pStyle w:val="TDC3"/>
            <w:rPr>
              <w:rFonts w:asciiTheme="minorHAnsi" w:eastAsiaTheme="minorEastAsia" w:hAnsiTheme="minorHAnsi" w:cstheme="minorBidi"/>
              <w:noProof/>
              <w:szCs w:val="22"/>
              <w:lang w:eastAsia="es-CR"/>
            </w:rPr>
          </w:pPr>
          <w:hyperlink w:anchor="_Toc132639517" w:history="1">
            <w:r w:rsidR="00EC5306" w:rsidRPr="004F1A03">
              <w:rPr>
                <w:rStyle w:val="Hipervnculo"/>
                <w:rFonts w:eastAsiaTheme="majorEastAsia"/>
                <w:noProof/>
              </w:rPr>
              <w:t>3.2.12 Juzgado Agrario del II Circuito Judicial de San José</w:t>
            </w:r>
            <w:r w:rsidR="00EC5306">
              <w:rPr>
                <w:noProof/>
                <w:webHidden/>
              </w:rPr>
              <w:tab/>
            </w:r>
            <w:r w:rsidR="00EC5306">
              <w:rPr>
                <w:noProof/>
                <w:webHidden/>
              </w:rPr>
              <w:fldChar w:fldCharType="begin"/>
            </w:r>
            <w:r w:rsidR="00EC5306">
              <w:rPr>
                <w:noProof/>
                <w:webHidden/>
              </w:rPr>
              <w:instrText xml:space="preserve"> PAGEREF _Toc132639517 \h </w:instrText>
            </w:r>
            <w:r w:rsidR="00EC5306">
              <w:rPr>
                <w:noProof/>
                <w:webHidden/>
              </w:rPr>
            </w:r>
            <w:r w:rsidR="00EC5306">
              <w:rPr>
                <w:noProof/>
                <w:webHidden/>
              </w:rPr>
              <w:fldChar w:fldCharType="separate"/>
            </w:r>
            <w:r w:rsidR="00EC5306">
              <w:rPr>
                <w:noProof/>
                <w:webHidden/>
              </w:rPr>
              <w:t>17</w:t>
            </w:r>
            <w:r w:rsidR="00EC5306">
              <w:rPr>
                <w:noProof/>
                <w:webHidden/>
              </w:rPr>
              <w:fldChar w:fldCharType="end"/>
            </w:r>
          </w:hyperlink>
        </w:p>
        <w:p w14:paraId="0475D070" w14:textId="55A7920F" w:rsidR="00EC5306" w:rsidRDefault="00000000">
          <w:pPr>
            <w:pStyle w:val="TDC3"/>
            <w:rPr>
              <w:rFonts w:asciiTheme="minorHAnsi" w:eastAsiaTheme="minorEastAsia" w:hAnsiTheme="minorHAnsi" w:cstheme="minorBidi"/>
              <w:noProof/>
              <w:szCs w:val="22"/>
              <w:lang w:eastAsia="es-CR"/>
            </w:rPr>
          </w:pPr>
          <w:hyperlink w:anchor="_Toc132639518" w:history="1">
            <w:r w:rsidR="00EC5306" w:rsidRPr="004F1A03">
              <w:rPr>
                <w:rStyle w:val="Hipervnculo"/>
                <w:rFonts w:eastAsiaTheme="majorEastAsia"/>
                <w:noProof/>
              </w:rPr>
              <w:t>3.2.13 Juzgado Agrario del I Circuito Judicial de la Zona Sur (Pérez Zeledón)</w:t>
            </w:r>
            <w:r w:rsidR="00EC5306">
              <w:rPr>
                <w:noProof/>
                <w:webHidden/>
              </w:rPr>
              <w:tab/>
            </w:r>
            <w:r w:rsidR="00EC5306">
              <w:rPr>
                <w:noProof/>
                <w:webHidden/>
              </w:rPr>
              <w:fldChar w:fldCharType="begin"/>
            </w:r>
            <w:r w:rsidR="00EC5306">
              <w:rPr>
                <w:noProof/>
                <w:webHidden/>
              </w:rPr>
              <w:instrText xml:space="preserve"> PAGEREF _Toc132639518 \h </w:instrText>
            </w:r>
            <w:r w:rsidR="00EC5306">
              <w:rPr>
                <w:noProof/>
                <w:webHidden/>
              </w:rPr>
            </w:r>
            <w:r w:rsidR="00EC5306">
              <w:rPr>
                <w:noProof/>
                <w:webHidden/>
              </w:rPr>
              <w:fldChar w:fldCharType="separate"/>
            </w:r>
            <w:r w:rsidR="00EC5306">
              <w:rPr>
                <w:noProof/>
                <w:webHidden/>
              </w:rPr>
              <w:t>18</w:t>
            </w:r>
            <w:r w:rsidR="00EC5306">
              <w:rPr>
                <w:noProof/>
                <w:webHidden/>
              </w:rPr>
              <w:fldChar w:fldCharType="end"/>
            </w:r>
          </w:hyperlink>
        </w:p>
        <w:p w14:paraId="36C9F862" w14:textId="11C59716" w:rsidR="00EC5306" w:rsidRDefault="00000000">
          <w:pPr>
            <w:pStyle w:val="TDC3"/>
            <w:rPr>
              <w:rFonts w:asciiTheme="minorHAnsi" w:eastAsiaTheme="minorEastAsia" w:hAnsiTheme="minorHAnsi" w:cstheme="minorBidi"/>
              <w:noProof/>
              <w:szCs w:val="22"/>
              <w:lang w:eastAsia="es-CR"/>
            </w:rPr>
          </w:pPr>
          <w:hyperlink w:anchor="_Toc132639519" w:history="1">
            <w:r w:rsidR="00EC5306" w:rsidRPr="004F1A03">
              <w:rPr>
                <w:rStyle w:val="Hipervnculo"/>
                <w:rFonts w:eastAsiaTheme="majorEastAsia"/>
                <w:noProof/>
              </w:rPr>
              <w:t>3.2.14 Juzgado Agrario del II Circuito Judicial de la Zona Sur (Corredores)</w:t>
            </w:r>
            <w:r w:rsidR="00EC5306">
              <w:rPr>
                <w:noProof/>
                <w:webHidden/>
              </w:rPr>
              <w:tab/>
            </w:r>
            <w:r w:rsidR="00EC5306">
              <w:rPr>
                <w:noProof/>
                <w:webHidden/>
              </w:rPr>
              <w:fldChar w:fldCharType="begin"/>
            </w:r>
            <w:r w:rsidR="00EC5306">
              <w:rPr>
                <w:noProof/>
                <w:webHidden/>
              </w:rPr>
              <w:instrText xml:space="preserve"> PAGEREF _Toc132639519 \h </w:instrText>
            </w:r>
            <w:r w:rsidR="00EC5306">
              <w:rPr>
                <w:noProof/>
                <w:webHidden/>
              </w:rPr>
            </w:r>
            <w:r w:rsidR="00EC5306">
              <w:rPr>
                <w:noProof/>
                <w:webHidden/>
              </w:rPr>
              <w:fldChar w:fldCharType="separate"/>
            </w:r>
            <w:r w:rsidR="00EC5306">
              <w:rPr>
                <w:noProof/>
                <w:webHidden/>
              </w:rPr>
              <w:t>19</w:t>
            </w:r>
            <w:r w:rsidR="00EC5306">
              <w:rPr>
                <w:noProof/>
                <w:webHidden/>
              </w:rPr>
              <w:fldChar w:fldCharType="end"/>
            </w:r>
          </w:hyperlink>
        </w:p>
        <w:p w14:paraId="7D4A9B11" w14:textId="1E97B786" w:rsidR="00EC5306" w:rsidRDefault="00000000">
          <w:pPr>
            <w:pStyle w:val="TDC3"/>
            <w:rPr>
              <w:rFonts w:asciiTheme="minorHAnsi" w:eastAsiaTheme="minorEastAsia" w:hAnsiTheme="minorHAnsi" w:cstheme="minorBidi"/>
              <w:noProof/>
              <w:szCs w:val="22"/>
              <w:lang w:eastAsia="es-CR"/>
            </w:rPr>
          </w:pPr>
          <w:hyperlink w:anchor="_Toc132639520" w:history="1">
            <w:r w:rsidR="00EC5306" w:rsidRPr="004F1A03">
              <w:rPr>
                <w:rStyle w:val="Hipervnculo"/>
                <w:rFonts w:eastAsiaTheme="majorEastAsia"/>
                <w:noProof/>
              </w:rPr>
              <w:t>3.2.15 Juzgado Civil, Trabajo, Familia, Agrario, Penal Juvenil, Contra la Violencia Doméstica y Protección Cautelar Buenos Aires</w:t>
            </w:r>
            <w:r w:rsidR="00EC5306">
              <w:rPr>
                <w:noProof/>
                <w:webHidden/>
              </w:rPr>
              <w:tab/>
            </w:r>
            <w:r w:rsidR="00EC5306">
              <w:rPr>
                <w:noProof/>
                <w:webHidden/>
              </w:rPr>
              <w:fldChar w:fldCharType="begin"/>
            </w:r>
            <w:r w:rsidR="00EC5306">
              <w:rPr>
                <w:noProof/>
                <w:webHidden/>
              </w:rPr>
              <w:instrText xml:space="preserve"> PAGEREF _Toc132639520 \h </w:instrText>
            </w:r>
            <w:r w:rsidR="00EC5306">
              <w:rPr>
                <w:noProof/>
                <w:webHidden/>
              </w:rPr>
            </w:r>
            <w:r w:rsidR="00EC5306">
              <w:rPr>
                <w:noProof/>
                <w:webHidden/>
              </w:rPr>
              <w:fldChar w:fldCharType="separate"/>
            </w:r>
            <w:r w:rsidR="00EC5306">
              <w:rPr>
                <w:noProof/>
                <w:webHidden/>
              </w:rPr>
              <w:t>19</w:t>
            </w:r>
            <w:r w:rsidR="00EC5306">
              <w:rPr>
                <w:noProof/>
                <w:webHidden/>
              </w:rPr>
              <w:fldChar w:fldCharType="end"/>
            </w:r>
          </w:hyperlink>
        </w:p>
        <w:p w14:paraId="322BE8B7" w14:textId="1FD41E5B" w:rsidR="00EC5306" w:rsidRDefault="00000000">
          <w:pPr>
            <w:pStyle w:val="TDC3"/>
            <w:rPr>
              <w:rFonts w:asciiTheme="minorHAnsi" w:eastAsiaTheme="minorEastAsia" w:hAnsiTheme="minorHAnsi" w:cstheme="minorBidi"/>
              <w:noProof/>
              <w:szCs w:val="22"/>
              <w:lang w:eastAsia="es-CR"/>
            </w:rPr>
          </w:pPr>
          <w:hyperlink w:anchor="_Toc132639521" w:history="1">
            <w:r w:rsidR="00EC5306" w:rsidRPr="004F1A03">
              <w:rPr>
                <w:rStyle w:val="Hipervnculo"/>
                <w:rFonts w:eastAsiaTheme="majorEastAsia"/>
                <w:noProof/>
              </w:rPr>
              <w:t>3.2.16 Juzgado Agrario de Jicaral</w:t>
            </w:r>
            <w:r w:rsidR="00EC5306">
              <w:rPr>
                <w:noProof/>
                <w:webHidden/>
              </w:rPr>
              <w:tab/>
            </w:r>
            <w:r w:rsidR="00EC5306">
              <w:rPr>
                <w:noProof/>
                <w:webHidden/>
              </w:rPr>
              <w:fldChar w:fldCharType="begin"/>
            </w:r>
            <w:r w:rsidR="00EC5306">
              <w:rPr>
                <w:noProof/>
                <w:webHidden/>
              </w:rPr>
              <w:instrText xml:space="preserve"> PAGEREF _Toc132639521 \h </w:instrText>
            </w:r>
            <w:r w:rsidR="00EC5306">
              <w:rPr>
                <w:noProof/>
                <w:webHidden/>
              </w:rPr>
            </w:r>
            <w:r w:rsidR="00EC5306">
              <w:rPr>
                <w:noProof/>
                <w:webHidden/>
              </w:rPr>
              <w:fldChar w:fldCharType="separate"/>
            </w:r>
            <w:r w:rsidR="00EC5306">
              <w:rPr>
                <w:noProof/>
                <w:webHidden/>
              </w:rPr>
              <w:t>20</w:t>
            </w:r>
            <w:r w:rsidR="00EC5306">
              <w:rPr>
                <w:noProof/>
                <w:webHidden/>
              </w:rPr>
              <w:fldChar w:fldCharType="end"/>
            </w:r>
          </w:hyperlink>
        </w:p>
        <w:p w14:paraId="598B92F7" w14:textId="107717B5"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22" w:history="1">
            <w:r w:rsidR="00EC5306" w:rsidRPr="004F1A03">
              <w:rPr>
                <w:rStyle w:val="Hipervnculo"/>
                <w:rFonts w:eastAsiaTheme="majorEastAsia"/>
                <w:noProof/>
              </w:rPr>
              <w:t>4. Recursos necesarios para el manejo de fondos en la Defensa Pública</w:t>
            </w:r>
            <w:r w:rsidR="00EC5306">
              <w:rPr>
                <w:noProof/>
                <w:webHidden/>
              </w:rPr>
              <w:tab/>
            </w:r>
            <w:r w:rsidR="00EC5306">
              <w:rPr>
                <w:noProof/>
                <w:webHidden/>
              </w:rPr>
              <w:fldChar w:fldCharType="begin"/>
            </w:r>
            <w:r w:rsidR="00EC5306">
              <w:rPr>
                <w:noProof/>
                <w:webHidden/>
              </w:rPr>
              <w:instrText xml:space="preserve"> PAGEREF _Toc132639522 \h </w:instrText>
            </w:r>
            <w:r w:rsidR="00EC5306">
              <w:rPr>
                <w:noProof/>
                <w:webHidden/>
              </w:rPr>
            </w:r>
            <w:r w:rsidR="00EC5306">
              <w:rPr>
                <w:noProof/>
                <w:webHidden/>
              </w:rPr>
              <w:fldChar w:fldCharType="separate"/>
            </w:r>
            <w:r w:rsidR="00EC5306">
              <w:rPr>
                <w:noProof/>
                <w:webHidden/>
              </w:rPr>
              <w:t>23</w:t>
            </w:r>
            <w:r w:rsidR="00EC5306">
              <w:rPr>
                <w:noProof/>
                <w:webHidden/>
              </w:rPr>
              <w:fldChar w:fldCharType="end"/>
            </w:r>
          </w:hyperlink>
        </w:p>
        <w:p w14:paraId="5A91E971" w14:textId="68EB6A7C"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23" w:history="1">
            <w:r w:rsidR="00EC5306" w:rsidRPr="004F1A03">
              <w:rPr>
                <w:rStyle w:val="Hipervnculo"/>
                <w:rFonts w:eastAsiaTheme="majorEastAsia"/>
                <w:noProof/>
              </w:rPr>
              <w:t>Variaciones en la Organización y Funcionamiento de los Despachos y Oficinas Judiciales</w:t>
            </w:r>
            <w:r w:rsidR="00EC5306">
              <w:rPr>
                <w:noProof/>
                <w:webHidden/>
              </w:rPr>
              <w:tab/>
            </w:r>
            <w:r w:rsidR="00EC5306">
              <w:rPr>
                <w:noProof/>
                <w:webHidden/>
              </w:rPr>
              <w:fldChar w:fldCharType="begin"/>
            </w:r>
            <w:r w:rsidR="00EC5306">
              <w:rPr>
                <w:noProof/>
                <w:webHidden/>
              </w:rPr>
              <w:instrText xml:space="preserve"> PAGEREF _Toc132639523 \h </w:instrText>
            </w:r>
            <w:r w:rsidR="00EC5306">
              <w:rPr>
                <w:noProof/>
                <w:webHidden/>
              </w:rPr>
            </w:r>
            <w:r w:rsidR="00EC5306">
              <w:rPr>
                <w:noProof/>
                <w:webHidden/>
              </w:rPr>
              <w:fldChar w:fldCharType="separate"/>
            </w:r>
            <w:r w:rsidR="00EC5306">
              <w:rPr>
                <w:noProof/>
                <w:webHidden/>
              </w:rPr>
              <w:t>26</w:t>
            </w:r>
            <w:r w:rsidR="00EC5306">
              <w:rPr>
                <w:noProof/>
                <w:webHidden/>
              </w:rPr>
              <w:fldChar w:fldCharType="end"/>
            </w:r>
          </w:hyperlink>
        </w:p>
        <w:p w14:paraId="2AB57A7B" w14:textId="6F7B6C77" w:rsidR="00EC5306" w:rsidRDefault="00000000">
          <w:pPr>
            <w:pStyle w:val="TDC3"/>
            <w:rPr>
              <w:rFonts w:asciiTheme="minorHAnsi" w:eastAsiaTheme="minorEastAsia" w:hAnsiTheme="minorHAnsi" w:cstheme="minorBidi"/>
              <w:noProof/>
              <w:szCs w:val="22"/>
              <w:lang w:eastAsia="es-CR"/>
            </w:rPr>
          </w:pPr>
          <w:hyperlink w:anchor="_Toc132639524" w:history="1">
            <w:r w:rsidR="00EC5306" w:rsidRPr="004F1A03">
              <w:rPr>
                <w:rStyle w:val="Hipervnculo"/>
                <w:rFonts w:eastAsiaTheme="majorEastAsia"/>
                <w:noProof/>
              </w:rPr>
              <w:t>4.1 Atribuciones de la Corte Plena sobre la Jurisdicción Agraria</w:t>
            </w:r>
            <w:r w:rsidR="00EC5306">
              <w:rPr>
                <w:noProof/>
                <w:webHidden/>
              </w:rPr>
              <w:tab/>
            </w:r>
            <w:r w:rsidR="00EC5306">
              <w:rPr>
                <w:noProof/>
                <w:webHidden/>
              </w:rPr>
              <w:fldChar w:fldCharType="begin"/>
            </w:r>
            <w:r w:rsidR="00EC5306">
              <w:rPr>
                <w:noProof/>
                <w:webHidden/>
              </w:rPr>
              <w:instrText xml:space="preserve"> PAGEREF _Toc132639524 \h </w:instrText>
            </w:r>
            <w:r w:rsidR="00EC5306">
              <w:rPr>
                <w:noProof/>
                <w:webHidden/>
              </w:rPr>
            </w:r>
            <w:r w:rsidR="00EC5306">
              <w:rPr>
                <w:noProof/>
                <w:webHidden/>
              </w:rPr>
              <w:fldChar w:fldCharType="separate"/>
            </w:r>
            <w:r w:rsidR="00EC5306">
              <w:rPr>
                <w:noProof/>
                <w:webHidden/>
              </w:rPr>
              <w:t>26</w:t>
            </w:r>
            <w:r w:rsidR="00EC5306">
              <w:rPr>
                <w:noProof/>
                <w:webHidden/>
              </w:rPr>
              <w:fldChar w:fldCharType="end"/>
            </w:r>
          </w:hyperlink>
        </w:p>
        <w:p w14:paraId="0F287FC7" w14:textId="186DEABA" w:rsidR="00EC5306" w:rsidRDefault="00000000">
          <w:pPr>
            <w:pStyle w:val="TDC3"/>
            <w:rPr>
              <w:rFonts w:asciiTheme="minorHAnsi" w:eastAsiaTheme="minorEastAsia" w:hAnsiTheme="minorHAnsi" w:cstheme="minorBidi"/>
              <w:noProof/>
              <w:szCs w:val="22"/>
              <w:lang w:eastAsia="es-CR"/>
            </w:rPr>
          </w:pPr>
          <w:hyperlink w:anchor="_Toc132639525" w:history="1">
            <w:r w:rsidR="00EC5306" w:rsidRPr="004F1A03">
              <w:rPr>
                <w:rStyle w:val="Hipervnculo"/>
                <w:rFonts w:eastAsiaTheme="majorEastAsia"/>
                <w:noProof/>
              </w:rPr>
              <w:t>4.2 Ampliación de competencias en Recursos de Casación</w:t>
            </w:r>
            <w:r w:rsidR="00EC5306">
              <w:rPr>
                <w:noProof/>
                <w:webHidden/>
              </w:rPr>
              <w:tab/>
            </w:r>
            <w:r w:rsidR="00EC5306">
              <w:rPr>
                <w:noProof/>
                <w:webHidden/>
              </w:rPr>
              <w:fldChar w:fldCharType="begin"/>
            </w:r>
            <w:r w:rsidR="00EC5306">
              <w:rPr>
                <w:noProof/>
                <w:webHidden/>
              </w:rPr>
              <w:instrText xml:space="preserve"> PAGEREF _Toc132639525 \h </w:instrText>
            </w:r>
            <w:r w:rsidR="00EC5306">
              <w:rPr>
                <w:noProof/>
                <w:webHidden/>
              </w:rPr>
            </w:r>
            <w:r w:rsidR="00EC5306">
              <w:rPr>
                <w:noProof/>
                <w:webHidden/>
              </w:rPr>
              <w:fldChar w:fldCharType="separate"/>
            </w:r>
            <w:r w:rsidR="00EC5306">
              <w:rPr>
                <w:noProof/>
                <w:webHidden/>
              </w:rPr>
              <w:t>26</w:t>
            </w:r>
            <w:r w:rsidR="00EC5306">
              <w:rPr>
                <w:noProof/>
                <w:webHidden/>
              </w:rPr>
              <w:fldChar w:fldCharType="end"/>
            </w:r>
          </w:hyperlink>
        </w:p>
        <w:p w14:paraId="1FBAA686" w14:textId="41FE4FD9" w:rsidR="00EC5306" w:rsidRDefault="00000000">
          <w:pPr>
            <w:pStyle w:val="TDC3"/>
            <w:rPr>
              <w:rFonts w:asciiTheme="minorHAnsi" w:eastAsiaTheme="minorEastAsia" w:hAnsiTheme="minorHAnsi" w:cstheme="minorBidi"/>
              <w:noProof/>
              <w:szCs w:val="22"/>
              <w:lang w:eastAsia="es-CR"/>
            </w:rPr>
          </w:pPr>
          <w:hyperlink w:anchor="_Toc132639526" w:history="1">
            <w:r w:rsidR="00EC5306" w:rsidRPr="004F1A03">
              <w:rPr>
                <w:rStyle w:val="Hipervnculo"/>
                <w:rFonts w:eastAsiaTheme="majorEastAsia"/>
                <w:noProof/>
              </w:rPr>
              <w:t>4.3. Personas juzgadoras especialistas para conciliaciones y ejecuciones</w:t>
            </w:r>
            <w:r w:rsidR="00EC5306">
              <w:rPr>
                <w:noProof/>
                <w:webHidden/>
              </w:rPr>
              <w:tab/>
            </w:r>
            <w:r w:rsidR="00EC5306">
              <w:rPr>
                <w:noProof/>
                <w:webHidden/>
              </w:rPr>
              <w:fldChar w:fldCharType="begin"/>
            </w:r>
            <w:r w:rsidR="00EC5306">
              <w:rPr>
                <w:noProof/>
                <w:webHidden/>
              </w:rPr>
              <w:instrText xml:space="preserve"> PAGEREF _Toc132639526 \h </w:instrText>
            </w:r>
            <w:r w:rsidR="00EC5306">
              <w:rPr>
                <w:noProof/>
                <w:webHidden/>
              </w:rPr>
            </w:r>
            <w:r w:rsidR="00EC5306">
              <w:rPr>
                <w:noProof/>
                <w:webHidden/>
              </w:rPr>
              <w:fldChar w:fldCharType="separate"/>
            </w:r>
            <w:r w:rsidR="00EC5306">
              <w:rPr>
                <w:noProof/>
                <w:webHidden/>
              </w:rPr>
              <w:t>29</w:t>
            </w:r>
            <w:r w:rsidR="00EC5306">
              <w:rPr>
                <w:noProof/>
                <w:webHidden/>
              </w:rPr>
              <w:fldChar w:fldCharType="end"/>
            </w:r>
          </w:hyperlink>
        </w:p>
        <w:p w14:paraId="5693231E" w14:textId="580EE69B" w:rsidR="00EC5306" w:rsidRDefault="00000000">
          <w:pPr>
            <w:pStyle w:val="TDC3"/>
            <w:rPr>
              <w:rFonts w:asciiTheme="minorHAnsi" w:eastAsiaTheme="minorEastAsia" w:hAnsiTheme="minorHAnsi" w:cstheme="minorBidi"/>
              <w:noProof/>
              <w:szCs w:val="22"/>
              <w:lang w:eastAsia="es-CR"/>
            </w:rPr>
          </w:pPr>
          <w:hyperlink w:anchor="_Toc132639527" w:history="1">
            <w:r w:rsidR="00EC5306" w:rsidRPr="004F1A03">
              <w:rPr>
                <w:rStyle w:val="Hipervnculo"/>
                <w:rFonts w:eastAsiaTheme="majorEastAsia"/>
                <w:noProof/>
              </w:rPr>
              <w:t>4.4 Intervención de la Defensa Pública</w:t>
            </w:r>
            <w:r w:rsidR="00EC5306">
              <w:rPr>
                <w:noProof/>
                <w:webHidden/>
              </w:rPr>
              <w:tab/>
            </w:r>
            <w:r w:rsidR="00EC5306">
              <w:rPr>
                <w:noProof/>
                <w:webHidden/>
              </w:rPr>
              <w:fldChar w:fldCharType="begin"/>
            </w:r>
            <w:r w:rsidR="00EC5306">
              <w:rPr>
                <w:noProof/>
                <w:webHidden/>
              </w:rPr>
              <w:instrText xml:space="preserve"> PAGEREF _Toc132639527 \h </w:instrText>
            </w:r>
            <w:r w:rsidR="00EC5306">
              <w:rPr>
                <w:noProof/>
                <w:webHidden/>
              </w:rPr>
            </w:r>
            <w:r w:rsidR="00EC5306">
              <w:rPr>
                <w:noProof/>
                <w:webHidden/>
              </w:rPr>
              <w:fldChar w:fldCharType="separate"/>
            </w:r>
            <w:r w:rsidR="00EC5306">
              <w:rPr>
                <w:noProof/>
                <w:webHidden/>
              </w:rPr>
              <w:t>29</w:t>
            </w:r>
            <w:r w:rsidR="00EC5306">
              <w:rPr>
                <w:noProof/>
                <w:webHidden/>
              </w:rPr>
              <w:fldChar w:fldCharType="end"/>
            </w:r>
          </w:hyperlink>
        </w:p>
        <w:p w14:paraId="65B717D4" w14:textId="450B0A1B" w:rsidR="00EC5306" w:rsidRDefault="00000000">
          <w:pPr>
            <w:pStyle w:val="TDC3"/>
            <w:rPr>
              <w:rFonts w:asciiTheme="minorHAnsi" w:eastAsiaTheme="minorEastAsia" w:hAnsiTheme="minorHAnsi" w:cstheme="minorBidi"/>
              <w:noProof/>
              <w:szCs w:val="22"/>
              <w:lang w:eastAsia="es-CR"/>
            </w:rPr>
          </w:pPr>
          <w:hyperlink w:anchor="_Toc132639528" w:history="1">
            <w:r w:rsidR="00EC5306" w:rsidRPr="004F1A03">
              <w:rPr>
                <w:rStyle w:val="Hipervnculo"/>
                <w:rFonts w:eastAsiaTheme="majorEastAsia"/>
                <w:noProof/>
              </w:rPr>
              <w:t>4.5 Atención a las personas indígenas</w:t>
            </w:r>
            <w:r w:rsidR="00EC5306">
              <w:rPr>
                <w:noProof/>
                <w:webHidden/>
              </w:rPr>
              <w:tab/>
            </w:r>
            <w:r w:rsidR="00EC5306">
              <w:rPr>
                <w:noProof/>
                <w:webHidden/>
              </w:rPr>
              <w:fldChar w:fldCharType="begin"/>
            </w:r>
            <w:r w:rsidR="00EC5306">
              <w:rPr>
                <w:noProof/>
                <w:webHidden/>
              </w:rPr>
              <w:instrText xml:space="preserve"> PAGEREF _Toc132639528 \h </w:instrText>
            </w:r>
            <w:r w:rsidR="00EC5306">
              <w:rPr>
                <w:noProof/>
                <w:webHidden/>
              </w:rPr>
            </w:r>
            <w:r w:rsidR="00EC5306">
              <w:rPr>
                <w:noProof/>
                <w:webHidden/>
              </w:rPr>
              <w:fldChar w:fldCharType="separate"/>
            </w:r>
            <w:r w:rsidR="00EC5306">
              <w:rPr>
                <w:noProof/>
                <w:webHidden/>
              </w:rPr>
              <w:t>29</w:t>
            </w:r>
            <w:r w:rsidR="00EC5306">
              <w:rPr>
                <w:noProof/>
                <w:webHidden/>
              </w:rPr>
              <w:fldChar w:fldCharType="end"/>
            </w:r>
          </w:hyperlink>
        </w:p>
        <w:p w14:paraId="3C1A095E" w14:textId="7576541B" w:rsidR="00EC5306" w:rsidRDefault="00000000">
          <w:pPr>
            <w:pStyle w:val="TDC3"/>
            <w:rPr>
              <w:rFonts w:asciiTheme="minorHAnsi" w:eastAsiaTheme="minorEastAsia" w:hAnsiTheme="minorHAnsi" w:cstheme="minorBidi"/>
              <w:noProof/>
              <w:szCs w:val="22"/>
              <w:lang w:eastAsia="es-CR"/>
            </w:rPr>
          </w:pPr>
          <w:hyperlink w:anchor="_Toc132639529" w:history="1">
            <w:r w:rsidR="00EC5306" w:rsidRPr="004F1A03">
              <w:rPr>
                <w:rStyle w:val="Hipervnculo"/>
                <w:rFonts w:eastAsiaTheme="majorEastAsia"/>
                <w:bCs/>
                <w:noProof/>
              </w:rPr>
              <w:t xml:space="preserve">4.6 </w:t>
            </w:r>
            <w:r w:rsidR="00EC5306" w:rsidRPr="004F1A03">
              <w:rPr>
                <w:rStyle w:val="Hipervnculo"/>
                <w:rFonts w:eastAsiaTheme="majorEastAsia"/>
                <w:noProof/>
              </w:rPr>
              <w:t>Oralidad y tramitación electrónica</w:t>
            </w:r>
            <w:r w:rsidR="00EC5306">
              <w:rPr>
                <w:noProof/>
                <w:webHidden/>
              </w:rPr>
              <w:tab/>
            </w:r>
            <w:r w:rsidR="00EC5306">
              <w:rPr>
                <w:noProof/>
                <w:webHidden/>
              </w:rPr>
              <w:fldChar w:fldCharType="begin"/>
            </w:r>
            <w:r w:rsidR="00EC5306">
              <w:rPr>
                <w:noProof/>
                <w:webHidden/>
              </w:rPr>
              <w:instrText xml:space="preserve"> PAGEREF _Toc132639529 \h </w:instrText>
            </w:r>
            <w:r w:rsidR="00EC5306">
              <w:rPr>
                <w:noProof/>
                <w:webHidden/>
              </w:rPr>
            </w:r>
            <w:r w:rsidR="00EC5306">
              <w:rPr>
                <w:noProof/>
                <w:webHidden/>
              </w:rPr>
              <w:fldChar w:fldCharType="separate"/>
            </w:r>
            <w:r w:rsidR="00EC5306">
              <w:rPr>
                <w:noProof/>
                <w:webHidden/>
              </w:rPr>
              <w:t>29</w:t>
            </w:r>
            <w:r w:rsidR="00EC5306">
              <w:rPr>
                <w:noProof/>
                <w:webHidden/>
              </w:rPr>
              <w:fldChar w:fldCharType="end"/>
            </w:r>
          </w:hyperlink>
        </w:p>
        <w:p w14:paraId="4DE61D76" w14:textId="0100A075" w:rsidR="00EC5306" w:rsidRDefault="00000000">
          <w:pPr>
            <w:pStyle w:val="TDC3"/>
            <w:rPr>
              <w:rFonts w:asciiTheme="minorHAnsi" w:eastAsiaTheme="minorEastAsia" w:hAnsiTheme="minorHAnsi" w:cstheme="minorBidi"/>
              <w:noProof/>
              <w:szCs w:val="22"/>
              <w:lang w:eastAsia="es-CR"/>
            </w:rPr>
          </w:pPr>
          <w:hyperlink w:anchor="_Toc132639530" w:history="1">
            <w:r w:rsidR="00EC5306" w:rsidRPr="004F1A03">
              <w:rPr>
                <w:rStyle w:val="Hipervnculo"/>
                <w:rFonts w:eastAsiaTheme="majorEastAsia"/>
                <w:noProof/>
              </w:rPr>
              <w:t>4.7 Fuentes de Financiamiento</w:t>
            </w:r>
            <w:r w:rsidR="00EC5306">
              <w:rPr>
                <w:noProof/>
                <w:webHidden/>
              </w:rPr>
              <w:tab/>
            </w:r>
            <w:r w:rsidR="00EC5306">
              <w:rPr>
                <w:noProof/>
                <w:webHidden/>
              </w:rPr>
              <w:fldChar w:fldCharType="begin"/>
            </w:r>
            <w:r w:rsidR="00EC5306">
              <w:rPr>
                <w:noProof/>
                <w:webHidden/>
              </w:rPr>
              <w:instrText xml:space="preserve"> PAGEREF _Toc132639530 \h </w:instrText>
            </w:r>
            <w:r w:rsidR="00EC5306">
              <w:rPr>
                <w:noProof/>
                <w:webHidden/>
              </w:rPr>
            </w:r>
            <w:r w:rsidR="00EC5306">
              <w:rPr>
                <w:noProof/>
                <w:webHidden/>
              </w:rPr>
              <w:fldChar w:fldCharType="separate"/>
            </w:r>
            <w:r w:rsidR="00EC5306">
              <w:rPr>
                <w:noProof/>
                <w:webHidden/>
              </w:rPr>
              <w:t>29</w:t>
            </w:r>
            <w:r w:rsidR="00EC5306">
              <w:rPr>
                <w:noProof/>
                <w:webHidden/>
              </w:rPr>
              <w:fldChar w:fldCharType="end"/>
            </w:r>
          </w:hyperlink>
        </w:p>
        <w:p w14:paraId="10050832" w14:textId="13AF7EDC"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31" w:history="1">
            <w:r w:rsidR="00EC5306" w:rsidRPr="004F1A03">
              <w:rPr>
                <w:rStyle w:val="Hipervnculo"/>
                <w:rFonts w:eastAsiaTheme="majorEastAsia"/>
                <w:noProof/>
              </w:rPr>
              <w:t>5. Análisis de Cargas de Trabajo Juzgados Especializados Agrarios</w:t>
            </w:r>
            <w:r w:rsidR="00EC5306">
              <w:rPr>
                <w:noProof/>
                <w:webHidden/>
              </w:rPr>
              <w:tab/>
            </w:r>
            <w:r w:rsidR="00EC5306">
              <w:rPr>
                <w:noProof/>
                <w:webHidden/>
              </w:rPr>
              <w:fldChar w:fldCharType="begin"/>
            </w:r>
            <w:r w:rsidR="00EC5306">
              <w:rPr>
                <w:noProof/>
                <w:webHidden/>
              </w:rPr>
              <w:instrText xml:space="preserve"> PAGEREF _Toc132639531 \h </w:instrText>
            </w:r>
            <w:r w:rsidR="00EC5306">
              <w:rPr>
                <w:noProof/>
                <w:webHidden/>
              </w:rPr>
            </w:r>
            <w:r w:rsidR="00EC5306">
              <w:rPr>
                <w:noProof/>
                <w:webHidden/>
              </w:rPr>
              <w:fldChar w:fldCharType="separate"/>
            </w:r>
            <w:r w:rsidR="00EC5306">
              <w:rPr>
                <w:noProof/>
                <w:webHidden/>
              </w:rPr>
              <w:t>30</w:t>
            </w:r>
            <w:r w:rsidR="00EC5306">
              <w:rPr>
                <w:noProof/>
                <w:webHidden/>
              </w:rPr>
              <w:fldChar w:fldCharType="end"/>
            </w:r>
          </w:hyperlink>
        </w:p>
        <w:p w14:paraId="2C180EDA" w14:textId="0218819D"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32" w:history="1">
            <w:r w:rsidR="00EC5306" w:rsidRPr="004F1A03">
              <w:rPr>
                <w:rStyle w:val="Hipervnculo"/>
                <w:rFonts w:eastAsiaTheme="majorEastAsia"/>
                <w:noProof/>
              </w:rPr>
              <w:t>6. Análisis de Carga de Trabajo Juzgados Mixtos con Competencia en la Materia Agraria</w:t>
            </w:r>
            <w:r w:rsidR="00EC5306">
              <w:rPr>
                <w:noProof/>
                <w:webHidden/>
              </w:rPr>
              <w:tab/>
            </w:r>
            <w:r w:rsidR="00EC5306">
              <w:rPr>
                <w:noProof/>
                <w:webHidden/>
              </w:rPr>
              <w:fldChar w:fldCharType="begin"/>
            </w:r>
            <w:r w:rsidR="00EC5306">
              <w:rPr>
                <w:noProof/>
                <w:webHidden/>
              </w:rPr>
              <w:instrText xml:space="preserve"> PAGEREF _Toc132639532 \h </w:instrText>
            </w:r>
            <w:r w:rsidR="00EC5306">
              <w:rPr>
                <w:noProof/>
                <w:webHidden/>
              </w:rPr>
            </w:r>
            <w:r w:rsidR="00EC5306">
              <w:rPr>
                <w:noProof/>
                <w:webHidden/>
              </w:rPr>
              <w:fldChar w:fldCharType="separate"/>
            </w:r>
            <w:r w:rsidR="00EC5306">
              <w:rPr>
                <w:noProof/>
                <w:webHidden/>
              </w:rPr>
              <w:t>32</w:t>
            </w:r>
            <w:r w:rsidR="00EC5306">
              <w:rPr>
                <w:noProof/>
                <w:webHidden/>
              </w:rPr>
              <w:fldChar w:fldCharType="end"/>
            </w:r>
          </w:hyperlink>
        </w:p>
        <w:p w14:paraId="31FE8CE0" w14:textId="08108F9A" w:rsidR="00EC5306" w:rsidRDefault="00000000">
          <w:pPr>
            <w:pStyle w:val="TDC3"/>
            <w:rPr>
              <w:rFonts w:asciiTheme="minorHAnsi" w:eastAsiaTheme="minorEastAsia" w:hAnsiTheme="minorHAnsi" w:cstheme="minorBidi"/>
              <w:noProof/>
              <w:szCs w:val="22"/>
              <w:lang w:eastAsia="es-CR"/>
            </w:rPr>
          </w:pPr>
          <w:hyperlink w:anchor="_Toc132639533" w:history="1">
            <w:r w:rsidR="00EC5306" w:rsidRPr="004F1A03">
              <w:rPr>
                <w:rStyle w:val="Hipervnculo"/>
                <w:rFonts w:eastAsiaTheme="majorEastAsia"/>
                <w:b/>
                <w:noProof/>
                <w:lang w:val="es-MX"/>
              </w:rPr>
              <w:t>6.1 Análisis del Juzgado Civil, Trabajo y Familia de Buenos Aires</w:t>
            </w:r>
            <w:r w:rsidR="00EC5306">
              <w:rPr>
                <w:noProof/>
                <w:webHidden/>
              </w:rPr>
              <w:tab/>
            </w:r>
            <w:r w:rsidR="00EC5306">
              <w:rPr>
                <w:noProof/>
                <w:webHidden/>
              </w:rPr>
              <w:fldChar w:fldCharType="begin"/>
            </w:r>
            <w:r w:rsidR="00EC5306">
              <w:rPr>
                <w:noProof/>
                <w:webHidden/>
              </w:rPr>
              <w:instrText xml:space="preserve"> PAGEREF _Toc132639533 \h </w:instrText>
            </w:r>
            <w:r w:rsidR="00EC5306">
              <w:rPr>
                <w:noProof/>
                <w:webHidden/>
              </w:rPr>
            </w:r>
            <w:r w:rsidR="00EC5306">
              <w:rPr>
                <w:noProof/>
                <w:webHidden/>
              </w:rPr>
              <w:fldChar w:fldCharType="separate"/>
            </w:r>
            <w:r w:rsidR="00EC5306">
              <w:rPr>
                <w:noProof/>
                <w:webHidden/>
              </w:rPr>
              <w:t>36</w:t>
            </w:r>
            <w:r w:rsidR="00EC5306">
              <w:rPr>
                <w:noProof/>
                <w:webHidden/>
              </w:rPr>
              <w:fldChar w:fldCharType="end"/>
            </w:r>
          </w:hyperlink>
        </w:p>
        <w:p w14:paraId="0D6F3263" w14:textId="5C564E31"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34" w:history="1">
            <w:r w:rsidR="00EC5306" w:rsidRPr="004F1A03">
              <w:rPr>
                <w:rStyle w:val="Hipervnculo"/>
                <w:rFonts w:eastAsiaTheme="majorEastAsia"/>
                <w:noProof/>
              </w:rPr>
              <w:t>7. Análisis de Indicadores de Gestión de Juzgados Especializados Agrarios</w:t>
            </w:r>
            <w:r w:rsidR="00EC5306">
              <w:rPr>
                <w:noProof/>
                <w:webHidden/>
              </w:rPr>
              <w:tab/>
            </w:r>
            <w:r w:rsidR="00EC5306">
              <w:rPr>
                <w:noProof/>
                <w:webHidden/>
              </w:rPr>
              <w:fldChar w:fldCharType="begin"/>
            </w:r>
            <w:r w:rsidR="00EC5306">
              <w:rPr>
                <w:noProof/>
                <w:webHidden/>
              </w:rPr>
              <w:instrText xml:space="preserve"> PAGEREF _Toc132639534 \h </w:instrText>
            </w:r>
            <w:r w:rsidR="00EC5306">
              <w:rPr>
                <w:noProof/>
                <w:webHidden/>
              </w:rPr>
            </w:r>
            <w:r w:rsidR="00EC5306">
              <w:rPr>
                <w:noProof/>
                <w:webHidden/>
              </w:rPr>
              <w:fldChar w:fldCharType="separate"/>
            </w:r>
            <w:r w:rsidR="00EC5306">
              <w:rPr>
                <w:noProof/>
                <w:webHidden/>
              </w:rPr>
              <w:t>39</w:t>
            </w:r>
            <w:r w:rsidR="00EC5306">
              <w:rPr>
                <w:noProof/>
                <w:webHidden/>
              </w:rPr>
              <w:fldChar w:fldCharType="end"/>
            </w:r>
          </w:hyperlink>
        </w:p>
        <w:p w14:paraId="7DECBE9A" w14:textId="64BE4BC3" w:rsidR="00EC5306" w:rsidRDefault="00000000">
          <w:pPr>
            <w:pStyle w:val="TDC3"/>
            <w:rPr>
              <w:rFonts w:asciiTheme="minorHAnsi" w:eastAsiaTheme="minorEastAsia" w:hAnsiTheme="minorHAnsi" w:cstheme="minorBidi"/>
              <w:noProof/>
              <w:szCs w:val="22"/>
              <w:lang w:eastAsia="es-CR"/>
            </w:rPr>
          </w:pPr>
          <w:hyperlink w:anchor="_Toc132639535" w:history="1">
            <w:r w:rsidR="00EC5306" w:rsidRPr="004F1A03">
              <w:rPr>
                <w:rStyle w:val="Hipervnculo"/>
                <w:rFonts w:eastAsiaTheme="majorEastAsia"/>
                <w:noProof/>
              </w:rPr>
              <w:t>7.1 Entrada (casos entrados nuevos + reentrados)</w:t>
            </w:r>
            <w:r w:rsidR="00EC5306">
              <w:rPr>
                <w:noProof/>
                <w:webHidden/>
              </w:rPr>
              <w:tab/>
            </w:r>
            <w:r w:rsidR="00EC5306">
              <w:rPr>
                <w:noProof/>
                <w:webHidden/>
              </w:rPr>
              <w:fldChar w:fldCharType="begin"/>
            </w:r>
            <w:r w:rsidR="00EC5306">
              <w:rPr>
                <w:noProof/>
                <w:webHidden/>
              </w:rPr>
              <w:instrText xml:space="preserve"> PAGEREF _Toc132639535 \h </w:instrText>
            </w:r>
            <w:r w:rsidR="00EC5306">
              <w:rPr>
                <w:noProof/>
                <w:webHidden/>
              </w:rPr>
            </w:r>
            <w:r w:rsidR="00EC5306">
              <w:rPr>
                <w:noProof/>
                <w:webHidden/>
              </w:rPr>
              <w:fldChar w:fldCharType="separate"/>
            </w:r>
            <w:r w:rsidR="00EC5306">
              <w:rPr>
                <w:noProof/>
                <w:webHidden/>
              </w:rPr>
              <w:t>39</w:t>
            </w:r>
            <w:r w:rsidR="00EC5306">
              <w:rPr>
                <w:noProof/>
                <w:webHidden/>
              </w:rPr>
              <w:fldChar w:fldCharType="end"/>
            </w:r>
          </w:hyperlink>
        </w:p>
        <w:p w14:paraId="7E591473" w14:textId="74DD5695" w:rsidR="00EC5306" w:rsidRDefault="00000000">
          <w:pPr>
            <w:pStyle w:val="TDC3"/>
            <w:rPr>
              <w:rFonts w:asciiTheme="minorHAnsi" w:eastAsiaTheme="minorEastAsia" w:hAnsiTheme="minorHAnsi" w:cstheme="minorBidi"/>
              <w:noProof/>
              <w:szCs w:val="22"/>
              <w:lang w:eastAsia="es-CR"/>
            </w:rPr>
          </w:pPr>
          <w:hyperlink w:anchor="_Toc132639536" w:history="1">
            <w:r w:rsidR="00EC5306" w:rsidRPr="004F1A03">
              <w:rPr>
                <w:rStyle w:val="Hipervnculo"/>
                <w:rFonts w:eastAsiaTheme="majorEastAsia"/>
                <w:noProof/>
              </w:rPr>
              <w:t>7.2 Casos Terminados</w:t>
            </w:r>
            <w:r w:rsidR="00EC5306">
              <w:rPr>
                <w:noProof/>
                <w:webHidden/>
              </w:rPr>
              <w:tab/>
            </w:r>
            <w:r w:rsidR="00EC5306">
              <w:rPr>
                <w:noProof/>
                <w:webHidden/>
              </w:rPr>
              <w:fldChar w:fldCharType="begin"/>
            </w:r>
            <w:r w:rsidR="00EC5306">
              <w:rPr>
                <w:noProof/>
                <w:webHidden/>
              </w:rPr>
              <w:instrText xml:space="preserve"> PAGEREF _Toc132639536 \h </w:instrText>
            </w:r>
            <w:r w:rsidR="00EC5306">
              <w:rPr>
                <w:noProof/>
                <w:webHidden/>
              </w:rPr>
            </w:r>
            <w:r w:rsidR="00EC5306">
              <w:rPr>
                <w:noProof/>
                <w:webHidden/>
              </w:rPr>
              <w:fldChar w:fldCharType="separate"/>
            </w:r>
            <w:r w:rsidR="00EC5306">
              <w:rPr>
                <w:noProof/>
                <w:webHidden/>
              </w:rPr>
              <w:t>40</w:t>
            </w:r>
            <w:r w:rsidR="00EC5306">
              <w:rPr>
                <w:noProof/>
                <w:webHidden/>
              </w:rPr>
              <w:fldChar w:fldCharType="end"/>
            </w:r>
          </w:hyperlink>
        </w:p>
        <w:p w14:paraId="3A727F62" w14:textId="5C4B7F34" w:rsidR="00EC5306" w:rsidRDefault="00000000">
          <w:pPr>
            <w:pStyle w:val="TDC3"/>
            <w:rPr>
              <w:rFonts w:asciiTheme="minorHAnsi" w:eastAsiaTheme="minorEastAsia" w:hAnsiTheme="minorHAnsi" w:cstheme="minorBidi"/>
              <w:noProof/>
              <w:szCs w:val="22"/>
              <w:lang w:eastAsia="es-CR"/>
            </w:rPr>
          </w:pPr>
          <w:hyperlink w:anchor="_Toc132639537" w:history="1">
            <w:r w:rsidR="00EC5306" w:rsidRPr="004F1A03">
              <w:rPr>
                <w:rStyle w:val="Hipervnculo"/>
                <w:rFonts w:eastAsiaTheme="majorEastAsia"/>
                <w:noProof/>
              </w:rPr>
              <w:t>7.3 Circulante Final</w:t>
            </w:r>
            <w:r w:rsidR="00EC5306">
              <w:rPr>
                <w:noProof/>
                <w:webHidden/>
              </w:rPr>
              <w:tab/>
            </w:r>
            <w:r w:rsidR="00EC5306">
              <w:rPr>
                <w:noProof/>
                <w:webHidden/>
              </w:rPr>
              <w:fldChar w:fldCharType="begin"/>
            </w:r>
            <w:r w:rsidR="00EC5306">
              <w:rPr>
                <w:noProof/>
                <w:webHidden/>
              </w:rPr>
              <w:instrText xml:space="preserve"> PAGEREF _Toc132639537 \h </w:instrText>
            </w:r>
            <w:r w:rsidR="00EC5306">
              <w:rPr>
                <w:noProof/>
                <w:webHidden/>
              </w:rPr>
            </w:r>
            <w:r w:rsidR="00EC5306">
              <w:rPr>
                <w:noProof/>
                <w:webHidden/>
              </w:rPr>
              <w:fldChar w:fldCharType="separate"/>
            </w:r>
            <w:r w:rsidR="00EC5306">
              <w:rPr>
                <w:noProof/>
                <w:webHidden/>
              </w:rPr>
              <w:t>41</w:t>
            </w:r>
            <w:r w:rsidR="00EC5306">
              <w:rPr>
                <w:noProof/>
                <w:webHidden/>
              </w:rPr>
              <w:fldChar w:fldCharType="end"/>
            </w:r>
          </w:hyperlink>
        </w:p>
        <w:p w14:paraId="558D92F7" w14:textId="3507E8FD" w:rsidR="00EC5306" w:rsidRDefault="00000000">
          <w:pPr>
            <w:pStyle w:val="TDC3"/>
            <w:rPr>
              <w:rFonts w:asciiTheme="minorHAnsi" w:eastAsiaTheme="minorEastAsia" w:hAnsiTheme="minorHAnsi" w:cstheme="minorBidi"/>
              <w:noProof/>
              <w:szCs w:val="22"/>
              <w:lang w:eastAsia="es-CR"/>
            </w:rPr>
          </w:pPr>
          <w:hyperlink w:anchor="_Toc132639538" w:history="1">
            <w:r w:rsidR="00EC5306" w:rsidRPr="004F1A03">
              <w:rPr>
                <w:rStyle w:val="Hipervnculo"/>
                <w:rFonts w:eastAsiaTheme="majorEastAsia"/>
                <w:noProof/>
              </w:rPr>
              <w:t>7.4 Plazo de Espera de Dictado de Sentencia</w:t>
            </w:r>
            <w:r w:rsidR="00EC5306">
              <w:rPr>
                <w:noProof/>
                <w:webHidden/>
              </w:rPr>
              <w:tab/>
            </w:r>
            <w:r w:rsidR="00EC5306">
              <w:rPr>
                <w:noProof/>
                <w:webHidden/>
              </w:rPr>
              <w:fldChar w:fldCharType="begin"/>
            </w:r>
            <w:r w:rsidR="00EC5306">
              <w:rPr>
                <w:noProof/>
                <w:webHidden/>
              </w:rPr>
              <w:instrText xml:space="preserve"> PAGEREF _Toc132639538 \h </w:instrText>
            </w:r>
            <w:r w:rsidR="00EC5306">
              <w:rPr>
                <w:noProof/>
                <w:webHidden/>
              </w:rPr>
            </w:r>
            <w:r w:rsidR="00EC5306">
              <w:rPr>
                <w:noProof/>
                <w:webHidden/>
              </w:rPr>
              <w:fldChar w:fldCharType="separate"/>
            </w:r>
            <w:r w:rsidR="00EC5306">
              <w:rPr>
                <w:noProof/>
                <w:webHidden/>
              </w:rPr>
              <w:t>41</w:t>
            </w:r>
            <w:r w:rsidR="00EC5306">
              <w:rPr>
                <w:noProof/>
                <w:webHidden/>
              </w:rPr>
              <w:fldChar w:fldCharType="end"/>
            </w:r>
          </w:hyperlink>
        </w:p>
        <w:p w14:paraId="334BE8B2" w14:textId="38A8ABDF" w:rsidR="00EC5306" w:rsidRDefault="00000000">
          <w:pPr>
            <w:pStyle w:val="TDC3"/>
            <w:rPr>
              <w:rFonts w:asciiTheme="minorHAnsi" w:eastAsiaTheme="minorEastAsia" w:hAnsiTheme="minorHAnsi" w:cstheme="minorBidi"/>
              <w:noProof/>
              <w:szCs w:val="22"/>
              <w:lang w:eastAsia="es-CR"/>
            </w:rPr>
          </w:pPr>
          <w:hyperlink w:anchor="_Toc132639539" w:history="1">
            <w:r w:rsidR="00EC5306" w:rsidRPr="004F1A03">
              <w:rPr>
                <w:rStyle w:val="Hipervnculo"/>
                <w:rFonts w:eastAsiaTheme="majorEastAsia"/>
                <w:noProof/>
              </w:rPr>
              <w:t>7.5 Plazo Espera para Realización de Audiencia</w:t>
            </w:r>
            <w:r w:rsidR="00EC5306">
              <w:rPr>
                <w:noProof/>
                <w:webHidden/>
              </w:rPr>
              <w:tab/>
            </w:r>
            <w:r w:rsidR="00EC5306">
              <w:rPr>
                <w:noProof/>
                <w:webHidden/>
              </w:rPr>
              <w:fldChar w:fldCharType="begin"/>
            </w:r>
            <w:r w:rsidR="00EC5306">
              <w:rPr>
                <w:noProof/>
                <w:webHidden/>
              </w:rPr>
              <w:instrText xml:space="preserve"> PAGEREF _Toc132639539 \h </w:instrText>
            </w:r>
            <w:r w:rsidR="00EC5306">
              <w:rPr>
                <w:noProof/>
                <w:webHidden/>
              </w:rPr>
            </w:r>
            <w:r w:rsidR="00EC5306">
              <w:rPr>
                <w:noProof/>
                <w:webHidden/>
              </w:rPr>
              <w:fldChar w:fldCharType="separate"/>
            </w:r>
            <w:r w:rsidR="00EC5306">
              <w:rPr>
                <w:noProof/>
                <w:webHidden/>
              </w:rPr>
              <w:t>42</w:t>
            </w:r>
            <w:r w:rsidR="00EC5306">
              <w:rPr>
                <w:noProof/>
                <w:webHidden/>
              </w:rPr>
              <w:fldChar w:fldCharType="end"/>
            </w:r>
          </w:hyperlink>
        </w:p>
        <w:p w14:paraId="022ABBC6" w14:textId="2EB54A3F" w:rsidR="00EC5306" w:rsidRDefault="00000000">
          <w:pPr>
            <w:pStyle w:val="TDC3"/>
            <w:rPr>
              <w:rFonts w:asciiTheme="minorHAnsi" w:eastAsiaTheme="minorEastAsia" w:hAnsiTheme="minorHAnsi" w:cstheme="minorBidi"/>
              <w:noProof/>
              <w:szCs w:val="22"/>
              <w:lang w:eastAsia="es-CR"/>
            </w:rPr>
          </w:pPr>
          <w:hyperlink w:anchor="_Toc132639540" w:history="1">
            <w:r w:rsidR="00EC5306" w:rsidRPr="004F1A03">
              <w:rPr>
                <w:rStyle w:val="Hipervnculo"/>
                <w:rFonts w:eastAsiaTheme="majorEastAsia"/>
                <w:noProof/>
              </w:rPr>
              <w:t>7.6 Plazo para Resolver Demandas Nuevas</w:t>
            </w:r>
            <w:r w:rsidR="00EC5306">
              <w:rPr>
                <w:noProof/>
                <w:webHidden/>
              </w:rPr>
              <w:tab/>
            </w:r>
            <w:r w:rsidR="00EC5306">
              <w:rPr>
                <w:noProof/>
                <w:webHidden/>
              </w:rPr>
              <w:fldChar w:fldCharType="begin"/>
            </w:r>
            <w:r w:rsidR="00EC5306">
              <w:rPr>
                <w:noProof/>
                <w:webHidden/>
              </w:rPr>
              <w:instrText xml:space="preserve"> PAGEREF _Toc132639540 \h </w:instrText>
            </w:r>
            <w:r w:rsidR="00EC5306">
              <w:rPr>
                <w:noProof/>
                <w:webHidden/>
              </w:rPr>
            </w:r>
            <w:r w:rsidR="00EC5306">
              <w:rPr>
                <w:noProof/>
                <w:webHidden/>
              </w:rPr>
              <w:fldChar w:fldCharType="separate"/>
            </w:r>
            <w:r w:rsidR="00EC5306">
              <w:rPr>
                <w:noProof/>
                <w:webHidden/>
              </w:rPr>
              <w:t>43</w:t>
            </w:r>
            <w:r w:rsidR="00EC5306">
              <w:rPr>
                <w:noProof/>
                <w:webHidden/>
              </w:rPr>
              <w:fldChar w:fldCharType="end"/>
            </w:r>
          </w:hyperlink>
        </w:p>
        <w:p w14:paraId="3C725CDE" w14:textId="059FE5D0" w:rsidR="00EC5306" w:rsidRDefault="00000000">
          <w:pPr>
            <w:pStyle w:val="TDC3"/>
            <w:rPr>
              <w:rFonts w:asciiTheme="minorHAnsi" w:eastAsiaTheme="minorEastAsia" w:hAnsiTheme="minorHAnsi" w:cstheme="minorBidi"/>
              <w:noProof/>
              <w:szCs w:val="22"/>
              <w:lang w:eastAsia="es-CR"/>
            </w:rPr>
          </w:pPr>
          <w:hyperlink w:anchor="_Toc132639541" w:history="1">
            <w:r w:rsidR="00EC5306" w:rsidRPr="004F1A03">
              <w:rPr>
                <w:rStyle w:val="Hipervnculo"/>
                <w:rFonts w:eastAsiaTheme="majorEastAsia"/>
                <w:noProof/>
              </w:rPr>
              <w:t>7.7 Plazo para Resolver Escritos de Expedientes que se Encuentran Fuera del Despacho</w:t>
            </w:r>
            <w:r w:rsidR="00EC5306">
              <w:rPr>
                <w:noProof/>
                <w:webHidden/>
              </w:rPr>
              <w:tab/>
            </w:r>
            <w:r w:rsidR="00EC5306">
              <w:rPr>
                <w:noProof/>
                <w:webHidden/>
              </w:rPr>
              <w:fldChar w:fldCharType="begin"/>
            </w:r>
            <w:r w:rsidR="00EC5306">
              <w:rPr>
                <w:noProof/>
                <w:webHidden/>
              </w:rPr>
              <w:instrText xml:space="preserve"> PAGEREF _Toc132639541 \h </w:instrText>
            </w:r>
            <w:r w:rsidR="00EC5306">
              <w:rPr>
                <w:noProof/>
                <w:webHidden/>
              </w:rPr>
            </w:r>
            <w:r w:rsidR="00EC5306">
              <w:rPr>
                <w:noProof/>
                <w:webHidden/>
              </w:rPr>
              <w:fldChar w:fldCharType="separate"/>
            </w:r>
            <w:r w:rsidR="00EC5306">
              <w:rPr>
                <w:noProof/>
                <w:webHidden/>
              </w:rPr>
              <w:t>44</w:t>
            </w:r>
            <w:r w:rsidR="00EC5306">
              <w:rPr>
                <w:noProof/>
                <w:webHidden/>
              </w:rPr>
              <w:fldChar w:fldCharType="end"/>
            </w:r>
          </w:hyperlink>
        </w:p>
        <w:p w14:paraId="0A618480" w14:textId="770A16FA" w:rsidR="00EC5306" w:rsidRDefault="00000000">
          <w:pPr>
            <w:pStyle w:val="TDC3"/>
            <w:rPr>
              <w:rFonts w:asciiTheme="minorHAnsi" w:eastAsiaTheme="minorEastAsia" w:hAnsiTheme="minorHAnsi" w:cstheme="minorBidi"/>
              <w:noProof/>
              <w:szCs w:val="22"/>
              <w:lang w:eastAsia="es-CR"/>
            </w:rPr>
          </w:pPr>
          <w:hyperlink w:anchor="_Toc132639542" w:history="1">
            <w:r w:rsidR="00EC5306" w:rsidRPr="004F1A03">
              <w:rPr>
                <w:rStyle w:val="Hipervnculo"/>
                <w:rFonts w:eastAsiaTheme="majorEastAsia"/>
                <w:noProof/>
              </w:rPr>
              <w:t>7.8 Plazo para Resolver Escritos que Están en el Despacho</w:t>
            </w:r>
            <w:r w:rsidR="00EC5306">
              <w:rPr>
                <w:noProof/>
                <w:webHidden/>
              </w:rPr>
              <w:tab/>
            </w:r>
            <w:r w:rsidR="00EC5306">
              <w:rPr>
                <w:noProof/>
                <w:webHidden/>
              </w:rPr>
              <w:fldChar w:fldCharType="begin"/>
            </w:r>
            <w:r w:rsidR="00EC5306">
              <w:rPr>
                <w:noProof/>
                <w:webHidden/>
              </w:rPr>
              <w:instrText xml:space="preserve"> PAGEREF _Toc132639542 \h </w:instrText>
            </w:r>
            <w:r w:rsidR="00EC5306">
              <w:rPr>
                <w:noProof/>
                <w:webHidden/>
              </w:rPr>
            </w:r>
            <w:r w:rsidR="00EC5306">
              <w:rPr>
                <w:noProof/>
                <w:webHidden/>
              </w:rPr>
              <w:fldChar w:fldCharType="separate"/>
            </w:r>
            <w:r w:rsidR="00EC5306">
              <w:rPr>
                <w:noProof/>
                <w:webHidden/>
              </w:rPr>
              <w:t>45</w:t>
            </w:r>
            <w:r w:rsidR="00EC5306">
              <w:rPr>
                <w:noProof/>
                <w:webHidden/>
              </w:rPr>
              <w:fldChar w:fldCharType="end"/>
            </w:r>
          </w:hyperlink>
        </w:p>
        <w:p w14:paraId="5A24D06E" w14:textId="08C3C8CB" w:rsidR="00EC5306" w:rsidRDefault="00000000">
          <w:pPr>
            <w:pStyle w:val="TDC3"/>
            <w:rPr>
              <w:rFonts w:asciiTheme="minorHAnsi" w:eastAsiaTheme="minorEastAsia" w:hAnsiTheme="minorHAnsi" w:cstheme="minorBidi"/>
              <w:noProof/>
              <w:szCs w:val="22"/>
              <w:lang w:eastAsia="es-CR"/>
            </w:rPr>
          </w:pPr>
          <w:hyperlink w:anchor="_Toc132639543" w:history="1">
            <w:r w:rsidR="00EC5306" w:rsidRPr="004F1A03">
              <w:rPr>
                <w:rStyle w:val="Hipervnculo"/>
                <w:rFonts w:eastAsiaTheme="majorEastAsia"/>
                <w:noProof/>
              </w:rPr>
              <w:t>7.9 Plazo de Espera de Firma de Resoluciones Pendientes de Firma por Jueza o Juez</w:t>
            </w:r>
            <w:r w:rsidR="00EC5306">
              <w:rPr>
                <w:noProof/>
                <w:webHidden/>
              </w:rPr>
              <w:tab/>
            </w:r>
            <w:r w:rsidR="00EC5306">
              <w:rPr>
                <w:noProof/>
                <w:webHidden/>
              </w:rPr>
              <w:fldChar w:fldCharType="begin"/>
            </w:r>
            <w:r w:rsidR="00EC5306">
              <w:rPr>
                <w:noProof/>
                <w:webHidden/>
              </w:rPr>
              <w:instrText xml:space="preserve"> PAGEREF _Toc132639543 \h </w:instrText>
            </w:r>
            <w:r w:rsidR="00EC5306">
              <w:rPr>
                <w:noProof/>
                <w:webHidden/>
              </w:rPr>
            </w:r>
            <w:r w:rsidR="00EC5306">
              <w:rPr>
                <w:noProof/>
                <w:webHidden/>
              </w:rPr>
              <w:fldChar w:fldCharType="separate"/>
            </w:r>
            <w:r w:rsidR="00EC5306">
              <w:rPr>
                <w:noProof/>
                <w:webHidden/>
              </w:rPr>
              <w:t>47</w:t>
            </w:r>
            <w:r w:rsidR="00EC5306">
              <w:rPr>
                <w:noProof/>
                <w:webHidden/>
              </w:rPr>
              <w:fldChar w:fldCharType="end"/>
            </w:r>
          </w:hyperlink>
        </w:p>
        <w:p w14:paraId="515CF310" w14:textId="43988D9A" w:rsidR="00EC5306" w:rsidRDefault="00000000">
          <w:pPr>
            <w:pStyle w:val="TDC3"/>
            <w:rPr>
              <w:rFonts w:asciiTheme="minorHAnsi" w:eastAsiaTheme="minorEastAsia" w:hAnsiTheme="minorHAnsi" w:cstheme="minorBidi"/>
              <w:noProof/>
              <w:szCs w:val="22"/>
              <w:lang w:eastAsia="es-CR"/>
            </w:rPr>
          </w:pPr>
          <w:hyperlink w:anchor="_Toc132639544" w:history="1">
            <w:r w:rsidR="00EC5306" w:rsidRPr="004F1A03">
              <w:rPr>
                <w:rStyle w:val="Hipervnculo"/>
                <w:rFonts w:eastAsiaTheme="majorEastAsia"/>
                <w:noProof/>
              </w:rPr>
              <w:t>7.10 Cantidad de audiencias pendientes de realización</w:t>
            </w:r>
            <w:r w:rsidR="00EC5306">
              <w:rPr>
                <w:noProof/>
                <w:webHidden/>
              </w:rPr>
              <w:tab/>
            </w:r>
            <w:r w:rsidR="00EC5306">
              <w:rPr>
                <w:noProof/>
                <w:webHidden/>
              </w:rPr>
              <w:fldChar w:fldCharType="begin"/>
            </w:r>
            <w:r w:rsidR="00EC5306">
              <w:rPr>
                <w:noProof/>
                <w:webHidden/>
              </w:rPr>
              <w:instrText xml:space="preserve"> PAGEREF _Toc132639544 \h </w:instrText>
            </w:r>
            <w:r w:rsidR="00EC5306">
              <w:rPr>
                <w:noProof/>
                <w:webHidden/>
              </w:rPr>
            </w:r>
            <w:r w:rsidR="00EC5306">
              <w:rPr>
                <w:noProof/>
                <w:webHidden/>
              </w:rPr>
              <w:fldChar w:fldCharType="separate"/>
            </w:r>
            <w:r w:rsidR="00EC5306">
              <w:rPr>
                <w:noProof/>
                <w:webHidden/>
              </w:rPr>
              <w:t>48</w:t>
            </w:r>
            <w:r w:rsidR="00EC5306">
              <w:rPr>
                <w:noProof/>
                <w:webHidden/>
              </w:rPr>
              <w:fldChar w:fldCharType="end"/>
            </w:r>
          </w:hyperlink>
        </w:p>
        <w:p w14:paraId="75E58440" w14:textId="5283007B" w:rsidR="00EC5306" w:rsidRDefault="00000000">
          <w:pPr>
            <w:pStyle w:val="TDC3"/>
            <w:rPr>
              <w:rFonts w:asciiTheme="minorHAnsi" w:eastAsiaTheme="minorEastAsia" w:hAnsiTheme="minorHAnsi" w:cstheme="minorBidi"/>
              <w:noProof/>
              <w:szCs w:val="22"/>
              <w:lang w:eastAsia="es-CR"/>
            </w:rPr>
          </w:pPr>
          <w:hyperlink w:anchor="_Toc132639545" w:history="1">
            <w:r w:rsidR="00EC5306" w:rsidRPr="004F1A03">
              <w:rPr>
                <w:rStyle w:val="Hipervnculo"/>
                <w:rFonts w:eastAsiaTheme="majorEastAsia"/>
                <w:noProof/>
              </w:rPr>
              <w:t>7.11 Cantidad de Expedientes Pendientes de Fallo</w:t>
            </w:r>
            <w:r w:rsidR="00EC5306">
              <w:rPr>
                <w:noProof/>
                <w:webHidden/>
              </w:rPr>
              <w:tab/>
            </w:r>
            <w:r w:rsidR="00EC5306">
              <w:rPr>
                <w:noProof/>
                <w:webHidden/>
              </w:rPr>
              <w:fldChar w:fldCharType="begin"/>
            </w:r>
            <w:r w:rsidR="00EC5306">
              <w:rPr>
                <w:noProof/>
                <w:webHidden/>
              </w:rPr>
              <w:instrText xml:space="preserve"> PAGEREF _Toc132639545 \h </w:instrText>
            </w:r>
            <w:r w:rsidR="00EC5306">
              <w:rPr>
                <w:noProof/>
                <w:webHidden/>
              </w:rPr>
            </w:r>
            <w:r w:rsidR="00EC5306">
              <w:rPr>
                <w:noProof/>
                <w:webHidden/>
              </w:rPr>
              <w:fldChar w:fldCharType="separate"/>
            </w:r>
            <w:r w:rsidR="00EC5306">
              <w:rPr>
                <w:noProof/>
                <w:webHidden/>
              </w:rPr>
              <w:t>49</w:t>
            </w:r>
            <w:r w:rsidR="00EC5306">
              <w:rPr>
                <w:noProof/>
                <w:webHidden/>
              </w:rPr>
              <w:fldChar w:fldCharType="end"/>
            </w:r>
          </w:hyperlink>
        </w:p>
        <w:p w14:paraId="010F8A7B" w14:textId="3E95E509" w:rsidR="00EC5306" w:rsidRDefault="00000000">
          <w:pPr>
            <w:pStyle w:val="TDC3"/>
            <w:rPr>
              <w:rFonts w:asciiTheme="minorHAnsi" w:eastAsiaTheme="minorEastAsia" w:hAnsiTheme="minorHAnsi" w:cstheme="minorBidi"/>
              <w:noProof/>
              <w:szCs w:val="22"/>
              <w:lang w:eastAsia="es-CR"/>
            </w:rPr>
          </w:pPr>
          <w:hyperlink w:anchor="_Toc132639546" w:history="1">
            <w:r w:rsidR="00EC5306" w:rsidRPr="004F1A03">
              <w:rPr>
                <w:rStyle w:val="Hipervnculo"/>
                <w:rFonts w:eastAsiaTheme="majorEastAsia"/>
                <w:noProof/>
              </w:rPr>
              <w:t>7.12 Cantidad de Escritos Pendientes de Resolver</w:t>
            </w:r>
            <w:r w:rsidR="00EC5306">
              <w:rPr>
                <w:noProof/>
                <w:webHidden/>
              </w:rPr>
              <w:tab/>
            </w:r>
            <w:r w:rsidR="00EC5306">
              <w:rPr>
                <w:noProof/>
                <w:webHidden/>
              </w:rPr>
              <w:fldChar w:fldCharType="begin"/>
            </w:r>
            <w:r w:rsidR="00EC5306">
              <w:rPr>
                <w:noProof/>
                <w:webHidden/>
              </w:rPr>
              <w:instrText xml:space="preserve"> PAGEREF _Toc132639546 \h </w:instrText>
            </w:r>
            <w:r w:rsidR="00EC5306">
              <w:rPr>
                <w:noProof/>
                <w:webHidden/>
              </w:rPr>
            </w:r>
            <w:r w:rsidR="00EC5306">
              <w:rPr>
                <w:noProof/>
                <w:webHidden/>
              </w:rPr>
              <w:fldChar w:fldCharType="separate"/>
            </w:r>
            <w:r w:rsidR="00EC5306">
              <w:rPr>
                <w:noProof/>
                <w:webHidden/>
              </w:rPr>
              <w:t>51</w:t>
            </w:r>
            <w:r w:rsidR="00EC5306">
              <w:rPr>
                <w:noProof/>
                <w:webHidden/>
              </w:rPr>
              <w:fldChar w:fldCharType="end"/>
            </w:r>
          </w:hyperlink>
        </w:p>
        <w:p w14:paraId="4C4054A5" w14:textId="13E5BA7E" w:rsidR="00EC5306" w:rsidRDefault="00000000">
          <w:pPr>
            <w:pStyle w:val="TDC3"/>
            <w:rPr>
              <w:rFonts w:asciiTheme="minorHAnsi" w:eastAsiaTheme="minorEastAsia" w:hAnsiTheme="minorHAnsi" w:cstheme="minorBidi"/>
              <w:noProof/>
              <w:szCs w:val="22"/>
              <w:lang w:eastAsia="es-CR"/>
            </w:rPr>
          </w:pPr>
          <w:hyperlink w:anchor="_Toc132639547" w:history="1">
            <w:r w:rsidR="00EC5306" w:rsidRPr="004F1A03">
              <w:rPr>
                <w:rStyle w:val="Hipervnculo"/>
                <w:rFonts w:eastAsiaTheme="majorEastAsia"/>
                <w:noProof/>
              </w:rPr>
              <w:t>7.13 Cantidad de Demandas Nuevas Pendientes de Resolver</w:t>
            </w:r>
            <w:r w:rsidR="00EC5306">
              <w:rPr>
                <w:noProof/>
                <w:webHidden/>
              </w:rPr>
              <w:tab/>
            </w:r>
            <w:r w:rsidR="00EC5306">
              <w:rPr>
                <w:noProof/>
                <w:webHidden/>
              </w:rPr>
              <w:fldChar w:fldCharType="begin"/>
            </w:r>
            <w:r w:rsidR="00EC5306">
              <w:rPr>
                <w:noProof/>
                <w:webHidden/>
              </w:rPr>
              <w:instrText xml:space="preserve"> PAGEREF _Toc132639547 \h </w:instrText>
            </w:r>
            <w:r w:rsidR="00EC5306">
              <w:rPr>
                <w:noProof/>
                <w:webHidden/>
              </w:rPr>
            </w:r>
            <w:r w:rsidR="00EC5306">
              <w:rPr>
                <w:noProof/>
                <w:webHidden/>
              </w:rPr>
              <w:fldChar w:fldCharType="separate"/>
            </w:r>
            <w:r w:rsidR="00EC5306">
              <w:rPr>
                <w:noProof/>
                <w:webHidden/>
              </w:rPr>
              <w:t>52</w:t>
            </w:r>
            <w:r w:rsidR="00EC5306">
              <w:rPr>
                <w:noProof/>
                <w:webHidden/>
              </w:rPr>
              <w:fldChar w:fldCharType="end"/>
            </w:r>
          </w:hyperlink>
        </w:p>
        <w:p w14:paraId="5AFC0E1D" w14:textId="6B845F47" w:rsidR="00EC5306" w:rsidRDefault="00000000">
          <w:pPr>
            <w:pStyle w:val="TDC3"/>
            <w:rPr>
              <w:rFonts w:asciiTheme="minorHAnsi" w:eastAsiaTheme="minorEastAsia" w:hAnsiTheme="minorHAnsi" w:cstheme="minorBidi"/>
              <w:noProof/>
              <w:szCs w:val="22"/>
              <w:lang w:eastAsia="es-CR"/>
            </w:rPr>
          </w:pPr>
          <w:hyperlink w:anchor="_Toc132639548" w:history="1">
            <w:r w:rsidR="00EC5306" w:rsidRPr="004F1A03">
              <w:rPr>
                <w:rStyle w:val="Hipervnculo"/>
                <w:rFonts w:eastAsiaTheme="majorEastAsia"/>
                <w:noProof/>
              </w:rPr>
              <w:t>7.14 Expedientes Pasados a Firmar por persona Técnica Judicial al Personal Juzgador</w:t>
            </w:r>
            <w:r w:rsidR="00EC5306">
              <w:rPr>
                <w:noProof/>
                <w:webHidden/>
              </w:rPr>
              <w:tab/>
            </w:r>
            <w:r w:rsidR="00EC5306">
              <w:rPr>
                <w:noProof/>
                <w:webHidden/>
              </w:rPr>
              <w:fldChar w:fldCharType="begin"/>
            </w:r>
            <w:r w:rsidR="00EC5306">
              <w:rPr>
                <w:noProof/>
                <w:webHidden/>
              </w:rPr>
              <w:instrText xml:space="preserve"> PAGEREF _Toc132639548 \h </w:instrText>
            </w:r>
            <w:r w:rsidR="00EC5306">
              <w:rPr>
                <w:noProof/>
                <w:webHidden/>
              </w:rPr>
            </w:r>
            <w:r w:rsidR="00EC5306">
              <w:rPr>
                <w:noProof/>
                <w:webHidden/>
              </w:rPr>
              <w:fldChar w:fldCharType="separate"/>
            </w:r>
            <w:r w:rsidR="00EC5306">
              <w:rPr>
                <w:noProof/>
                <w:webHidden/>
              </w:rPr>
              <w:t>53</w:t>
            </w:r>
            <w:r w:rsidR="00EC5306">
              <w:rPr>
                <w:noProof/>
                <w:webHidden/>
              </w:rPr>
              <w:fldChar w:fldCharType="end"/>
            </w:r>
          </w:hyperlink>
        </w:p>
        <w:p w14:paraId="12B6617A" w14:textId="71ABD690" w:rsidR="00EC5306" w:rsidRDefault="00000000">
          <w:pPr>
            <w:pStyle w:val="TDC3"/>
            <w:rPr>
              <w:rFonts w:asciiTheme="minorHAnsi" w:eastAsiaTheme="minorEastAsia" w:hAnsiTheme="minorHAnsi" w:cstheme="minorBidi"/>
              <w:noProof/>
              <w:szCs w:val="22"/>
              <w:lang w:eastAsia="es-CR"/>
            </w:rPr>
          </w:pPr>
          <w:hyperlink w:anchor="_Toc132639549" w:history="1">
            <w:r w:rsidR="00EC5306" w:rsidRPr="004F1A03">
              <w:rPr>
                <w:rStyle w:val="Hipervnculo"/>
                <w:rFonts w:eastAsiaTheme="majorEastAsia"/>
                <w:noProof/>
              </w:rPr>
              <w:t>7.15 Cantidad de Sentencias Dictadas y Otros Motivos de Término por Persona Juzgadora</w:t>
            </w:r>
            <w:r w:rsidR="00EC5306">
              <w:rPr>
                <w:noProof/>
                <w:webHidden/>
              </w:rPr>
              <w:tab/>
            </w:r>
            <w:r w:rsidR="00EC5306">
              <w:rPr>
                <w:noProof/>
                <w:webHidden/>
              </w:rPr>
              <w:fldChar w:fldCharType="begin"/>
            </w:r>
            <w:r w:rsidR="00EC5306">
              <w:rPr>
                <w:noProof/>
                <w:webHidden/>
              </w:rPr>
              <w:instrText xml:space="preserve"> PAGEREF _Toc132639549 \h </w:instrText>
            </w:r>
            <w:r w:rsidR="00EC5306">
              <w:rPr>
                <w:noProof/>
                <w:webHidden/>
              </w:rPr>
            </w:r>
            <w:r w:rsidR="00EC5306">
              <w:rPr>
                <w:noProof/>
                <w:webHidden/>
              </w:rPr>
              <w:fldChar w:fldCharType="separate"/>
            </w:r>
            <w:r w:rsidR="00EC5306">
              <w:rPr>
                <w:noProof/>
                <w:webHidden/>
              </w:rPr>
              <w:t>55</w:t>
            </w:r>
            <w:r w:rsidR="00EC5306">
              <w:rPr>
                <w:noProof/>
                <w:webHidden/>
              </w:rPr>
              <w:fldChar w:fldCharType="end"/>
            </w:r>
          </w:hyperlink>
        </w:p>
        <w:p w14:paraId="79C65138" w14:textId="44F22CCF" w:rsidR="00EC5306" w:rsidRDefault="00000000">
          <w:pPr>
            <w:pStyle w:val="TDC3"/>
            <w:rPr>
              <w:rFonts w:asciiTheme="minorHAnsi" w:eastAsiaTheme="minorEastAsia" w:hAnsiTheme="minorHAnsi" w:cstheme="minorBidi"/>
              <w:noProof/>
              <w:szCs w:val="22"/>
              <w:lang w:eastAsia="es-CR"/>
            </w:rPr>
          </w:pPr>
          <w:hyperlink w:anchor="_Toc132639550" w:history="1">
            <w:r w:rsidR="00EC5306" w:rsidRPr="004F1A03">
              <w:rPr>
                <w:rStyle w:val="Hipervnculo"/>
                <w:rFonts w:eastAsiaTheme="majorEastAsia"/>
                <w:noProof/>
              </w:rPr>
              <w:t>7.16 Cantidad de Expedientes Firmados por Persona Juzgadora</w:t>
            </w:r>
            <w:r w:rsidR="00EC5306">
              <w:rPr>
                <w:noProof/>
                <w:webHidden/>
              </w:rPr>
              <w:tab/>
            </w:r>
            <w:r w:rsidR="00EC5306">
              <w:rPr>
                <w:noProof/>
                <w:webHidden/>
              </w:rPr>
              <w:fldChar w:fldCharType="begin"/>
            </w:r>
            <w:r w:rsidR="00EC5306">
              <w:rPr>
                <w:noProof/>
                <w:webHidden/>
              </w:rPr>
              <w:instrText xml:space="preserve"> PAGEREF _Toc132639550 \h </w:instrText>
            </w:r>
            <w:r w:rsidR="00EC5306">
              <w:rPr>
                <w:noProof/>
                <w:webHidden/>
              </w:rPr>
            </w:r>
            <w:r w:rsidR="00EC5306">
              <w:rPr>
                <w:noProof/>
                <w:webHidden/>
              </w:rPr>
              <w:fldChar w:fldCharType="separate"/>
            </w:r>
            <w:r w:rsidR="00EC5306">
              <w:rPr>
                <w:noProof/>
                <w:webHidden/>
              </w:rPr>
              <w:t>56</w:t>
            </w:r>
            <w:r w:rsidR="00EC5306">
              <w:rPr>
                <w:noProof/>
                <w:webHidden/>
              </w:rPr>
              <w:fldChar w:fldCharType="end"/>
            </w:r>
          </w:hyperlink>
        </w:p>
        <w:p w14:paraId="4826D19F" w14:textId="0873B8E2" w:rsidR="00EC5306" w:rsidRDefault="00000000">
          <w:pPr>
            <w:pStyle w:val="TDC3"/>
            <w:rPr>
              <w:rFonts w:asciiTheme="minorHAnsi" w:eastAsiaTheme="minorEastAsia" w:hAnsiTheme="minorHAnsi" w:cstheme="minorBidi"/>
              <w:noProof/>
              <w:szCs w:val="22"/>
              <w:lang w:eastAsia="es-CR"/>
            </w:rPr>
          </w:pPr>
          <w:hyperlink w:anchor="_Toc132639551" w:history="1">
            <w:r w:rsidR="00EC5306" w:rsidRPr="004F1A03">
              <w:rPr>
                <w:rStyle w:val="Hipervnculo"/>
                <w:rFonts w:eastAsiaTheme="majorEastAsia"/>
                <w:noProof/>
              </w:rPr>
              <w:t>7.17 Cantidad de Expedientes Pendientes de Firma por Jueza o Juez</w:t>
            </w:r>
            <w:r w:rsidR="00EC5306">
              <w:rPr>
                <w:noProof/>
                <w:webHidden/>
              </w:rPr>
              <w:tab/>
            </w:r>
            <w:r w:rsidR="00EC5306">
              <w:rPr>
                <w:noProof/>
                <w:webHidden/>
              </w:rPr>
              <w:fldChar w:fldCharType="begin"/>
            </w:r>
            <w:r w:rsidR="00EC5306">
              <w:rPr>
                <w:noProof/>
                <w:webHidden/>
              </w:rPr>
              <w:instrText xml:space="preserve"> PAGEREF _Toc132639551 \h </w:instrText>
            </w:r>
            <w:r w:rsidR="00EC5306">
              <w:rPr>
                <w:noProof/>
                <w:webHidden/>
              </w:rPr>
            </w:r>
            <w:r w:rsidR="00EC5306">
              <w:rPr>
                <w:noProof/>
                <w:webHidden/>
              </w:rPr>
              <w:fldChar w:fldCharType="separate"/>
            </w:r>
            <w:r w:rsidR="00EC5306">
              <w:rPr>
                <w:noProof/>
                <w:webHidden/>
              </w:rPr>
              <w:t>57</w:t>
            </w:r>
            <w:r w:rsidR="00EC5306">
              <w:rPr>
                <w:noProof/>
                <w:webHidden/>
              </w:rPr>
              <w:fldChar w:fldCharType="end"/>
            </w:r>
          </w:hyperlink>
        </w:p>
        <w:p w14:paraId="14449968" w14:textId="62386CCE"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52" w:history="1">
            <w:r w:rsidR="00EC5306" w:rsidRPr="004F1A03">
              <w:rPr>
                <w:rStyle w:val="Hipervnculo"/>
                <w:rFonts w:eastAsiaTheme="majorEastAsia"/>
                <w:noProof/>
              </w:rPr>
              <w:t>8. Análisis de Indicadores de Gestión de los Juzgados Mixtos con Competencia en Materia Agraria</w:t>
            </w:r>
            <w:r w:rsidR="00EC5306">
              <w:rPr>
                <w:noProof/>
                <w:webHidden/>
              </w:rPr>
              <w:tab/>
            </w:r>
            <w:r w:rsidR="00EC5306">
              <w:rPr>
                <w:noProof/>
                <w:webHidden/>
              </w:rPr>
              <w:fldChar w:fldCharType="begin"/>
            </w:r>
            <w:r w:rsidR="00EC5306">
              <w:rPr>
                <w:noProof/>
                <w:webHidden/>
              </w:rPr>
              <w:instrText xml:space="preserve"> PAGEREF _Toc132639552 \h </w:instrText>
            </w:r>
            <w:r w:rsidR="00EC5306">
              <w:rPr>
                <w:noProof/>
                <w:webHidden/>
              </w:rPr>
            </w:r>
            <w:r w:rsidR="00EC5306">
              <w:rPr>
                <w:noProof/>
                <w:webHidden/>
              </w:rPr>
              <w:fldChar w:fldCharType="separate"/>
            </w:r>
            <w:r w:rsidR="00EC5306">
              <w:rPr>
                <w:noProof/>
                <w:webHidden/>
              </w:rPr>
              <w:t>65</w:t>
            </w:r>
            <w:r w:rsidR="00EC5306">
              <w:rPr>
                <w:noProof/>
                <w:webHidden/>
              </w:rPr>
              <w:fldChar w:fldCharType="end"/>
            </w:r>
          </w:hyperlink>
        </w:p>
        <w:p w14:paraId="26BDD9B0" w14:textId="6CA86655"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53" w:history="1">
            <w:r w:rsidR="00EC5306" w:rsidRPr="004F1A03">
              <w:rPr>
                <w:rStyle w:val="Hipervnculo"/>
                <w:rFonts w:eastAsiaTheme="majorEastAsia"/>
                <w:noProof/>
              </w:rPr>
              <w:t>9. Análisis de los Indicadores de Gestión del Tribunal Agrario</w:t>
            </w:r>
            <w:r w:rsidR="00EC5306">
              <w:rPr>
                <w:noProof/>
                <w:webHidden/>
              </w:rPr>
              <w:tab/>
            </w:r>
            <w:r w:rsidR="00EC5306">
              <w:rPr>
                <w:noProof/>
                <w:webHidden/>
              </w:rPr>
              <w:fldChar w:fldCharType="begin"/>
            </w:r>
            <w:r w:rsidR="00EC5306">
              <w:rPr>
                <w:noProof/>
                <w:webHidden/>
              </w:rPr>
              <w:instrText xml:space="preserve"> PAGEREF _Toc132639553 \h </w:instrText>
            </w:r>
            <w:r w:rsidR="00EC5306">
              <w:rPr>
                <w:noProof/>
                <w:webHidden/>
              </w:rPr>
            </w:r>
            <w:r w:rsidR="00EC5306">
              <w:rPr>
                <w:noProof/>
                <w:webHidden/>
              </w:rPr>
              <w:fldChar w:fldCharType="separate"/>
            </w:r>
            <w:r w:rsidR="00EC5306">
              <w:rPr>
                <w:noProof/>
                <w:webHidden/>
              </w:rPr>
              <w:t>66</w:t>
            </w:r>
            <w:r w:rsidR="00EC5306">
              <w:rPr>
                <w:noProof/>
                <w:webHidden/>
              </w:rPr>
              <w:fldChar w:fldCharType="end"/>
            </w:r>
          </w:hyperlink>
        </w:p>
        <w:p w14:paraId="5C550389" w14:textId="07D8B370" w:rsidR="00EC5306" w:rsidRDefault="00000000">
          <w:pPr>
            <w:pStyle w:val="TDC3"/>
            <w:rPr>
              <w:rFonts w:asciiTheme="minorHAnsi" w:eastAsiaTheme="minorEastAsia" w:hAnsiTheme="minorHAnsi" w:cstheme="minorBidi"/>
              <w:noProof/>
              <w:szCs w:val="22"/>
              <w:lang w:eastAsia="es-CR"/>
            </w:rPr>
          </w:pPr>
          <w:hyperlink w:anchor="_Toc132639554" w:history="1">
            <w:r w:rsidR="00EC5306" w:rsidRPr="004F1A03">
              <w:rPr>
                <w:rStyle w:val="Hipervnculo"/>
                <w:rFonts w:eastAsiaTheme="majorEastAsia"/>
                <w:noProof/>
              </w:rPr>
              <w:t>9.1 Cantidad de Casos Entrados, Terminados y Circulante Final</w:t>
            </w:r>
            <w:r w:rsidR="00EC5306">
              <w:rPr>
                <w:noProof/>
                <w:webHidden/>
              </w:rPr>
              <w:tab/>
            </w:r>
            <w:r w:rsidR="00EC5306">
              <w:rPr>
                <w:noProof/>
                <w:webHidden/>
              </w:rPr>
              <w:fldChar w:fldCharType="begin"/>
            </w:r>
            <w:r w:rsidR="00EC5306">
              <w:rPr>
                <w:noProof/>
                <w:webHidden/>
              </w:rPr>
              <w:instrText xml:space="preserve"> PAGEREF _Toc132639554 \h </w:instrText>
            </w:r>
            <w:r w:rsidR="00EC5306">
              <w:rPr>
                <w:noProof/>
                <w:webHidden/>
              </w:rPr>
            </w:r>
            <w:r w:rsidR="00EC5306">
              <w:rPr>
                <w:noProof/>
                <w:webHidden/>
              </w:rPr>
              <w:fldChar w:fldCharType="separate"/>
            </w:r>
            <w:r w:rsidR="00EC5306">
              <w:rPr>
                <w:noProof/>
                <w:webHidden/>
              </w:rPr>
              <w:t>66</w:t>
            </w:r>
            <w:r w:rsidR="00EC5306">
              <w:rPr>
                <w:noProof/>
                <w:webHidden/>
              </w:rPr>
              <w:fldChar w:fldCharType="end"/>
            </w:r>
          </w:hyperlink>
        </w:p>
        <w:p w14:paraId="44758D5D" w14:textId="10A4345A" w:rsidR="00EC5306" w:rsidRDefault="00000000">
          <w:pPr>
            <w:pStyle w:val="TDC3"/>
            <w:rPr>
              <w:rFonts w:asciiTheme="minorHAnsi" w:eastAsiaTheme="minorEastAsia" w:hAnsiTheme="minorHAnsi" w:cstheme="minorBidi"/>
              <w:noProof/>
              <w:szCs w:val="22"/>
              <w:lang w:eastAsia="es-CR"/>
            </w:rPr>
          </w:pPr>
          <w:hyperlink w:anchor="_Toc132639555" w:history="1">
            <w:r w:rsidR="00EC5306" w:rsidRPr="004F1A03">
              <w:rPr>
                <w:rStyle w:val="Hipervnculo"/>
                <w:rFonts w:eastAsiaTheme="majorEastAsia"/>
                <w:noProof/>
              </w:rPr>
              <w:t>9.2 Plazos de Espera</w:t>
            </w:r>
            <w:r w:rsidR="00EC5306">
              <w:rPr>
                <w:noProof/>
                <w:webHidden/>
              </w:rPr>
              <w:tab/>
            </w:r>
            <w:r w:rsidR="00EC5306">
              <w:rPr>
                <w:noProof/>
                <w:webHidden/>
              </w:rPr>
              <w:fldChar w:fldCharType="begin"/>
            </w:r>
            <w:r w:rsidR="00EC5306">
              <w:rPr>
                <w:noProof/>
                <w:webHidden/>
              </w:rPr>
              <w:instrText xml:space="preserve"> PAGEREF _Toc132639555 \h </w:instrText>
            </w:r>
            <w:r w:rsidR="00EC5306">
              <w:rPr>
                <w:noProof/>
                <w:webHidden/>
              </w:rPr>
            </w:r>
            <w:r w:rsidR="00EC5306">
              <w:rPr>
                <w:noProof/>
                <w:webHidden/>
              </w:rPr>
              <w:fldChar w:fldCharType="separate"/>
            </w:r>
            <w:r w:rsidR="00EC5306">
              <w:rPr>
                <w:noProof/>
                <w:webHidden/>
              </w:rPr>
              <w:t>67</w:t>
            </w:r>
            <w:r w:rsidR="00EC5306">
              <w:rPr>
                <w:noProof/>
                <w:webHidden/>
              </w:rPr>
              <w:fldChar w:fldCharType="end"/>
            </w:r>
          </w:hyperlink>
        </w:p>
        <w:p w14:paraId="6CBD0685" w14:textId="60F4637D" w:rsidR="00EC5306" w:rsidRDefault="00000000">
          <w:pPr>
            <w:pStyle w:val="TDC3"/>
            <w:rPr>
              <w:rFonts w:asciiTheme="minorHAnsi" w:eastAsiaTheme="minorEastAsia" w:hAnsiTheme="minorHAnsi" w:cstheme="minorBidi"/>
              <w:noProof/>
              <w:szCs w:val="22"/>
              <w:lang w:eastAsia="es-CR"/>
            </w:rPr>
          </w:pPr>
          <w:hyperlink w:anchor="_Toc132639556" w:history="1">
            <w:r w:rsidR="00EC5306" w:rsidRPr="004F1A03">
              <w:rPr>
                <w:rStyle w:val="Hipervnculo"/>
                <w:rFonts w:eastAsiaTheme="majorEastAsia"/>
                <w:noProof/>
              </w:rPr>
              <w:t>9.3 Cantidad de Expedientes Pendientes de Fallo</w:t>
            </w:r>
            <w:r w:rsidR="00EC5306">
              <w:rPr>
                <w:noProof/>
                <w:webHidden/>
              </w:rPr>
              <w:tab/>
            </w:r>
            <w:r w:rsidR="00EC5306">
              <w:rPr>
                <w:noProof/>
                <w:webHidden/>
              </w:rPr>
              <w:fldChar w:fldCharType="begin"/>
            </w:r>
            <w:r w:rsidR="00EC5306">
              <w:rPr>
                <w:noProof/>
                <w:webHidden/>
              </w:rPr>
              <w:instrText xml:space="preserve"> PAGEREF _Toc132639556 \h </w:instrText>
            </w:r>
            <w:r w:rsidR="00EC5306">
              <w:rPr>
                <w:noProof/>
                <w:webHidden/>
              </w:rPr>
            </w:r>
            <w:r w:rsidR="00EC5306">
              <w:rPr>
                <w:noProof/>
                <w:webHidden/>
              </w:rPr>
              <w:fldChar w:fldCharType="separate"/>
            </w:r>
            <w:r w:rsidR="00EC5306">
              <w:rPr>
                <w:noProof/>
                <w:webHidden/>
              </w:rPr>
              <w:t>68</w:t>
            </w:r>
            <w:r w:rsidR="00EC5306">
              <w:rPr>
                <w:noProof/>
                <w:webHidden/>
              </w:rPr>
              <w:fldChar w:fldCharType="end"/>
            </w:r>
          </w:hyperlink>
        </w:p>
        <w:p w14:paraId="2AAFFF13" w14:textId="46B45F64" w:rsidR="00EC5306" w:rsidRDefault="00000000">
          <w:pPr>
            <w:pStyle w:val="TDC3"/>
            <w:rPr>
              <w:rFonts w:asciiTheme="minorHAnsi" w:eastAsiaTheme="minorEastAsia" w:hAnsiTheme="minorHAnsi" w:cstheme="minorBidi"/>
              <w:noProof/>
              <w:szCs w:val="22"/>
              <w:lang w:eastAsia="es-CR"/>
            </w:rPr>
          </w:pPr>
          <w:hyperlink w:anchor="_Toc132639557" w:history="1">
            <w:r w:rsidR="00EC5306" w:rsidRPr="004F1A03">
              <w:rPr>
                <w:rStyle w:val="Hipervnculo"/>
                <w:rFonts w:eastAsiaTheme="majorEastAsia"/>
                <w:noProof/>
              </w:rPr>
              <w:t>9.4 Cantidad de Escritos y Casos Nuevos Pendientes de Trámite</w:t>
            </w:r>
            <w:r w:rsidR="00EC5306">
              <w:rPr>
                <w:noProof/>
                <w:webHidden/>
              </w:rPr>
              <w:tab/>
            </w:r>
            <w:r w:rsidR="00EC5306">
              <w:rPr>
                <w:noProof/>
                <w:webHidden/>
              </w:rPr>
              <w:fldChar w:fldCharType="begin"/>
            </w:r>
            <w:r w:rsidR="00EC5306">
              <w:rPr>
                <w:noProof/>
                <w:webHidden/>
              </w:rPr>
              <w:instrText xml:space="preserve"> PAGEREF _Toc132639557 \h </w:instrText>
            </w:r>
            <w:r w:rsidR="00EC5306">
              <w:rPr>
                <w:noProof/>
                <w:webHidden/>
              </w:rPr>
            </w:r>
            <w:r w:rsidR="00EC5306">
              <w:rPr>
                <w:noProof/>
                <w:webHidden/>
              </w:rPr>
              <w:fldChar w:fldCharType="separate"/>
            </w:r>
            <w:r w:rsidR="00EC5306">
              <w:rPr>
                <w:noProof/>
                <w:webHidden/>
              </w:rPr>
              <w:t>69</w:t>
            </w:r>
            <w:r w:rsidR="00EC5306">
              <w:rPr>
                <w:noProof/>
                <w:webHidden/>
              </w:rPr>
              <w:fldChar w:fldCharType="end"/>
            </w:r>
          </w:hyperlink>
        </w:p>
        <w:p w14:paraId="3CD93EF7" w14:textId="73CA56D4" w:rsidR="00EC5306" w:rsidRDefault="00000000">
          <w:pPr>
            <w:pStyle w:val="TDC3"/>
            <w:rPr>
              <w:rFonts w:asciiTheme="minorHAnsi" w:eastAsiaTheme="minorEastAsia" w:hAnsiTheme="minorHAnsi" w:cstheme="minorBidi"/>
              <w:noProof/>
              <w:szCs w:val="22"/>
              <w:lang w:eastAsia="es-CR"/>
            </w:rPr>
          </w:pPr>
          <w:hyperlink w:anchor="_Toc132639558" w:history="1">
            <w:r w:rsidR="00EC5306" w:rsidRPr="004F1A03">
              <w:rPr>
                <w:rStyle w:val="Hipervnculo"/>
                <w:rFonts w:eastAsiaTheme="majorEastAsia"/>
                <w:noProof/>
              </w:rPr>
              <w:t>9.5 Cantidad de Proveído y Sentencias Dictadas</w:t>
            </w:r>
            <w:r w:rsidR="00EC5306">
              <w:rPr>
                <w:noProof/>
                <w:webHidden/>
              </w:rPr>
              <w:tab/>
            </w:r>
            <w:r w:rsidR="00EC5306">
              <w:rPr>
                <w:noProof/>
                <w:webHidden/>
              </w:rPr>
              <w:fldChar w:fldCharType="begin"/>
            </w:r>
            <w:r w:rsidR="00EC5306">
              <w:rPr>
                <w:noProof/>
                <w:webHidden/>
              </w:rPr>
              <w:instrText xml:space="preserve"> PAGEREF _Toc132639558 \h </w:instrText>
            </w:r>
            <w:r w:rsidR="00EC5306">
              <w:rPr>
                <w:noProof/>
                <w:webHidden/>
              </w:rPr>
            </w:r>
            <w:r w:rsidR="00EC5306">
              <w:rPr>
                <w:noProof/>
                <w:webHidden/>
              </w:rPr>
              <w:fldChar w:fldCharType="separate"/>
            </w:r>
            <w:r w:rsidR="00EC5306">
              <w:rPr>
                <w:noProof/>
                <w:webHidden/>
              </w:rPr>
              <w:t>70</w:t>
            </w:r>
            <w:r w:rsidR="00EC5306">
              <w:rPr>
                <w:noProof/>
                <w:webHidden/>
              </w:rPr>
              <w:fldChar w:fldCharType="end"/>
            </w:r>
          </w:hyperlink>
        </w:p>
        <w:p w14:paraId="75515302" w14:textId="4A5BE7AD"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59" w:history="1">
            <w:r w:rsidR="00EC5306" w:rsidRPr="004F1A03">
              <w:rPr>
                <w:rStyle w:val="Hipervnculo"/>
                <w:rFonts w:eastAsiaTheme="majorEastAsia"/>
                <w:noProof/>
              </w:rPr>
              <w:t>10. Juzgado Agrario de Puntarenas, sede Jicaral</w:t>
            </w:r>
            <w:r w:rsidR="00EC5306">
              <w:rPr>
                <w:noProof/>
                <w:webHidden/>
              </w:rPr>
              <w:tab/>
            </w:r>
            <w:r w:rsidR="00EC5306">
              <w:rPr>
                <w:noProof/>
                <w:webHidden/>
              </w:rPr>
              <w:fldChar w:fldCharType="begin"/>
            </w:r>
            <w:r w:rsidR="00EC5306">
              <w:rPr>
                <w:noProof/>
                <w:webHidden/>
              </w:rPr>
              <w:instrText xml:space="preserve"> PAGEREF _Toc132639559 \h </w:instrText>
            </w:r>
            <w:r w:rsidR="00EC5306">
              <w:rPr>
                <w:noProof/>
                <w:webHidden/>
              </w:rPr>
            </w:r>
            <w:r w:rsidR="00EC5306">
              <w:rPr>
                <w:noProof/>
                <w:webHidden/>
              </w:rPr>
              <w:fldChar w:fldCharType="separate"/>
            </w:r>
            <w:r w:rsidR="00EC5306">
              <w:rPr>
                <w:noProof/>
                <w:webHidden/>
              </w:rPr>
              <w:t>71</w:t>
            </w:r>
            <w:r w:rsidR="00EC5306">
              <w:rPr>
                <w:noProof/>
                <w:webHidden/>
              </w:rPr>
              <w:fldChar w:fldCharType="end"/>
            </w:r>
          </w:hyperlink>
        </w:p>
        <w:p w14:paraId="4BEA664B" w14:textId="49A4BEE0"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60" w:history="1">
            <w:r w:rsidR="00EC5306" w:rsidRPr="004F1A03">
              <w:rPr>
                <w:rStyle w:val="Hipervnculo"/>
                <w:rFonts w:eastAsiaTheme="majorEastAsia"/>
                <w:noProof/>
              </w:rPr>
              <w:t>11. Limitantes</w:t>
            </w:r>
            <w:r w:rsidR="00EC5306">
              <w:rPr>
                <w:noProof/>
                <w:webHidden/>
              </w:rPr>
              <w:tab/>
            </w:r>
            <w:r w:rsidR="00EC5306">
              <w:rPr>
                <w:noProof/>
                <w:webHidden/>
              </w:rPr>
              <w:fldChar w:fldCharType="begin"/>
            </w:r>
            <w:r w:rsidR="00EC5306">
              <w:rPr>
                <w:noProof/>
                <w:webHidden/>
              </w:rPr>
              <w:instrText xml:space="preserve"> PAGEREF _Toc132639560 \h </w:instrText>
            </w:r>
            <w:r w:rsidR="00EC5306">
              <w:rPr>
                <w:noProof/>
                <w:webHidden/>
              </w:rPr>
            </w:r>
            <w:r w:rsidR="00EC5306">
              <w:rPr>
                <w:noProof/>
                <w:webHidden/>
              </w:rPr>
              <w:fldChar w:fldCharType="separate"/>
            </w:r>
            <w:r w:rsidR="00EC5306">
              <w:rPr>
                <w:noProof/>
                <w:webHidden/>
              </w:rPr>
              <w:t>75</w:t>
            </w:r>
            <w:r w:rsidR="00EC5306">
              <w:rPr>
                <w:noProof/>
                <w:webHidden/>
              </w:rPr>
              <w:fldChar w:fldCharType="end"/>
            </w:r>
          </w:hyperlink>
        </w:p>
        <w:p w14:paraId="7A631ABE" w14:textId="6902A915"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61" w:history="1">
            <w:r w:rsidR="00EC5306" w:rsidRPr="004F1A03">
              <w:rPr>
                <w:rStyle w:val="Hipervnculo"/>
                <w:rFonts w:eastAsiaTheme="majorEastAsia"/>
                <w:noProof/>
              </w:rPr>
              <w:t>12. Planes de Trabajo Realizados</w:t>
            </w:r>
            <w:r w:rsidR="00EC5306">
              <w:rPr>
                <w:noProof/>
                <w:webHidden/>
              </w:rPr>
              <w:tab/>
            </w:r>
            <w:r w:rsidR="00EC5306">
              <w:rPr>
                <w:noProof/>
                <w:webHidden/>
              </w:rPr>
              <w:fldChar w:fldCharType="begin"/>
            </w:r>
            <w:r w:rsidR="00EC5306">
              <w:rPr>
                <w:noProof/>
                <w:webHidden/>
              </w:rPr>
              <w:instrText xml:space="preserve"> PAGEREF _Toc132639561 \h </w:instrText>
            </w:r>
            <w:r w:rsidR="00EC5306">
              <w:rPr>
                <w:noProof/>
                <w:webHidden/>
              </w:rPr>
            </w:r>
            <w:r w:rsidR="00EC5306">
              <w:rPr>
                <w:noProof/>
                <w:webHidden/>
              </w:rPr>
              <w:fldChar w:fldCharType="separate"/>
            </w:r>
            <w:r w:rsidR="00EC5306">
              <w:rPr>
                <w:noProof/>
                <w:webHidden/>
              </w:rPr>
              <w:t>80</w:t>
            </w:r>
            <w:r w:rsidR="00EC5306">
              <w:rPr>
                <w:noProof/>
                <w:webHidden/>
              </w:rPr>
              <w:fldChar w:fldCharType="end"/>
            </w:r>
          </w:hyperlink>
        </w:p>
        <w:p w14:paraId="4705E083" w14:textId="27C56B22" w:rsidR="00EC5306" w:rsidRDefault="00000000">
          <w:pPr>
            <w:pStyle w:val="TDC3"/>
            <w:rPr>
              <w:rFonts w:asciiTheme="minorHAnsi" w:eastAsiaTheme="minorEastAsia" w:hAnsiTheme="minorHAnsi" w:cstheme="minorBidi"/>
              <w:noProof/>
              <w:szCs w:val="22"/>
              <w:lang w:eastAsia="es-CR"/>
            </w:rPr>
          </w:pPr>
          <w:hyperlink w:anchor="_Toc132639562" w:history="1">
            <w:r w:rsidR="00EC5306" w:rsidRPr="004F1A03">
              <w:rPr>
                <w:rStyle w:val="Hipervnculo"/>
                <w:rFonts w:eastAsiaTheme="majorEastAsia"/>
                <w:noProof/>
              </w:rPr>
              <w:t>12.1 Planes de Trabajos para el Descongestionamiento en los Juzgados Agrarios</w:t>
            </w:r>
            <w:r w:rsidR="00EC5306">
              <w:rPr>
                <w:noProof/>
                <w:webHidden/>
              </w:rPr>
              <w:tab/>
            </w:r>
            <w:r w:rsidR="00EC5306">
              <w:rPr>
                <w:noProof/>
                <w:webHidden/>
              </w:rPr>
              <w:fldChar w:fldCharType="begin"/>
            </w:r>
            <w:r w:rsidR="00EC5306">
              <w:rPr>
                <w:noProof/>
                <w:webHidden/>
              </w:rPr>
              <w:instrText xml:space="preserve"> PAGEREF _Toc132639562 \h </w:instrText>
            </w:r>
            <w:r w:rsidR="00EC5306">
              <w:rPr>
                <w:noProof/>
                <w:webHidden/>
              </w:rPr>
            </w:r>
            <w:r w:rsidR="00EC5306">
              <w:rPr>
                <w:noProof/>
                <w:webHidden/>
              </w:rPr>
              <w:fldChar w:fldCharType="separate"/>
            </w:r>
            <w:r w:rsidR="00EC5306">
              <w:rPr>
                <w:noProof/>
                <w:webHidden/>
              </w:rPr>
              <w:t>80</w:t>
            </w:r>
            <w:r w:rsidR="00EC5306">
              <w:rPr>
                <w:noProof/>
                <w:webHidden/>
              </w:rPr>
              <w:fldChar w:fldCharType="end"/>
            </w:r>
          </w:hyperlink>
        </w:p>
        <w:p w14:paraId="4782D43C" w14:textId="483C4070" w:rsidR="00EC5306" w:rsidRDefault="00000000">
          <w:pPr>
            <w:pStyle w:val="TDC3"/>
            <w:rPr>
              <w:rFonts w:asciiTheme="minorHAnsi" w:eastAsiaTheme="minorEastAsia" w:hAnsiTheme="minorHAnsi" w:cstheme="minorBidi"/>
              <w:noProof/>
              <w:szCs w:val="22"/>
              <w:lang w:eastAsia="es-CR"/>
            </w:rPr>
          </w:pPr>
          <w:hyperlink w:anchor="_Toc132639563" w:history="1">
            <w:r w:rsidR="00EC5306" w:rsidRPr="004F1A03">
              <w:rPr>
                <w:rStyle w:val="Hipervnculo"/>
                <w:rFonts w:eastAsiaTheme="majorEastAsia"/>
                <w:noProof/>
              </w:rPr>
              <w:t>12.2 Planes No Ejecutados</w:t>
            </w:r>
            <w:r w:rsidR="00EC5306">
              <w:rPr>
                <w:noProof/>
                <w:webHidden/>
              </w:rPr>
              <w:tab/>
            </w:r>
            <w:r w:rsidR="00EC5306">
              <w:rPr>
                <w:noProof/>
                <w:webHidden/>
              </w:rPr>
              <w:fldChar w:fldCharType="begin"/>
            </w:r>
            <w:r w:rsidR="00EC5306">
              <w:rPr>
                <w:noProof/>
                <w:webHidden/>
              </w:rPr>
              <w:instrText xml:space="preserve"> PAGEREF _Toc132639563 \h </w:instrText>
            </w:r>
            <w:r w:rsidR="00EC5306">
              <w:rPr>
                <w:noProof/>
                <w:webHidden/>
              </w:rPr>
            </w:r>
            <w:r w:rsidR="00EC5306">
              <w:rPr>
                <w:noProof/>
                <w:webHidden/>
              </w:rPr>
              <w:fldChar w:fldCharType="separate"/>
            </w:r>
            <w:r w:rsidR="00EC5306">
              <w:rPr>
                <w:noProof/>
                <w:webHidden/>
              </w:rPr>
              <w:t>81</w:t>
            </w:r>
            <w:r w:rsidR="00EC5306">
              <w:rPr>
                <w:noProof/>
                <w:webHidden/>
              </w:rPr>
              <w:fldChar w:fldCharType="end"/>
            </w:r>
          </w:hyperlink>
        </w:p>
        <w:p w14:paraId="0114E90D" w14:textId="0DFF4261" w:rsidR="00EC5306" w:rsidRDefault="00000000">
          <w:pPr>
            <w:pStyle w:val="TDC3"/>
            <w:rPr>
              <w:rFonts w:asciiTheme="minorHAnsi" w:eastAsiaTheme="minorEastAsia" w:hAnsiTheme="minorHAnsi" w:cstheme="minorBidi"/>
              <w:noProof/>
              <w:szCs w:val="22"/>
              <w:lang w:eastAsia="es-CR"/>
            </w:rPr>
          </w:pPr>
          <w:hyperlink w:anchor="_Toc132639564" w:history="1">
            <w:r w:rsidR="00EC5306" w:rsidRPr="004F1A03">
              <w:rPr>
                <w:rStyle w:val="Hipervnculo"/>
                <w:rFonts w:eastAsiaTheme="majorEastAsia"/>
                <w:noProof/>
              </w:rPr>
              <w:t>12.3 Planes de Trabajos en Juzgados Agrarios con Personal Juzgador del CACMFJ</w:t>
            </w:r>
            <w:r w:rsidR="00EC5306">
              <w:rPr>
                <w:noProof/>
                <w:webHidden/>
              </w:rPr>
              <w:tab/>
            </w:r>
            <w:r w:rsidR="00EC5306">
              <w:rPr>
                <w:noProof/>
                <w:webHidden/>
              </w:rPr>
              <w:fldChar w:fldCharType="begin"/>
            </w:r>
            <w:r w:rsidR="00EC5306">
              <w:rPr>
                <w:noProof/>
                <w:webHidden/>
              </w:rPr>
              <w:instrText xml:space="preserve"> PAGEREF _Toc132639564 \h </w:instrText>
            </w:r>
            <w:r w:rsidR="00EC5306">
              <w:rPr>
                <w:noProof/>
                <w:webHidden/>
              </w:rPr>
            </w:r>
            <w:r w:rsidR="00EC5306">
              <w:rPr>
                <w:noProof/>
                <w:webHidden/>
              </w:rPr>
              <w:fldChar w:fldCharType="separate"/>
            </w:r>
            <w:r w:rsidR="00EC5306">
              <w:rPr>
                <w:noProof/>
                <w:webHidden/>
              </w:rPr>
              <w:t>82</w:t>
            </w:r>
            <w:r w:rsidR="00EC5306">
              <w:rPr>
                <w:noProof/>
                <w:webHidden/>
              </w:rPr>
              <w:fldChar w:fldCharType="end"/>
            </w:r>
          </w:hyperlink>
        </w:p>
        <w:p w14:paraId="1A3D56BD" w14:textId="7BB4A103" w:rsidR="00EC5306" w:rsidRDefault="00000000">
          <w:pPr>
            <w:pStyle w:val="TDC3"/>
            <w:rPr>
              <w:rFonts w:asciiTheme="minorHAnsi" w:eastAsiaTheme="minorEastAsia" w:hAnsiTheme="minorHAnsi" w:cstheme="minorBidi"/>
              <w:noProof/>
              <w:szCs w:val="22"/>
              <w:lang w:eastAsia="es-CR"/>
            </w:rPr>
          </w:pPr>
          <w:hyperlink w:anchor="_Toc132639565" w:history="1">
            <w:r w:rsidR="00EC5306" w:rsidRPr="004F1A03">
              <w:rPr>
                <w:rStyle w:val="Hipervnculo"/>
                <w:rFonts w:eastAsiaTheme="majorEastAsia"/>
                <w:noProof/>
              </w:rPr>
              <w:t>12.4 Planes de Trabajos en el Tribunal Agrario con Personal Juzgador del CACMFJ</w:t>
            </w:r>
            <w:r w:rsidR="00EC5306">
              <w:rPr>
                <w:noProof/>
                <w:webHidden/>
              </w:rPr>
              <w:tab/>
            </w:r>
            <w:r w:rsidR="00EC5306">
              <w:rPr>
                <w:noProof/>
                <w:webHidden/>
              </w:rPr>
              <w:fldChar w:fldCharType="begin"/>
            </w:r>
            <w:r w:rsidR="00EC5306">
              <w:rPr>
                <w:noProof/>
                <w:webHidden/>
              </w:rPr>
              <w:instrText xml:space="preserve"> PAGEREF _Toc132639565 \h </w:instrText>
            </w:r>
            <w:r w:rsidR="00EC5306">
              <w:rPr>
                <w:noProof/>
                <w:webHidden/>
              </w:rPr>
            </w:r>
            <w:r w:rsidR="00EC5306">
              <w:rPr>
                <w:noProof/>
                <w:webHidden/>
              </w:rPr>
              <w:fldChar w:fldCharType="separate"/>
            </w:r>
            <w:r w:rsidR="00EC5306">
              <w:rPr>
                <w:noProof/>
                <w:webHidden/>
              </w:rPr>
              <w:t>83</w:t>
            </w:r>
            <w:r w:rsidR="00EC5306">
              <w:rPr>
                <w:noProof/>
                <w:webHidden/>
              </w:rPr>
              <w:fldChar w:fldCharType="end"/>
            </w:r>
          </w:hyperlink>
        </w:p>
        <w:p w14:paraId="3E356149" w14:textId="5C3CA2D9"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66" w:history="1">
            <w:r w:rsidR="00EC5306" w:rsidRPr="004F1A03">
              <w:rPr>
                <w:rStyle w:val="Hipervnculo"/>
                <w:rFonts w:eastAsiaTheme="majorEastAsia"/>
                <w:noProof/>
              </w:rPr>
              <w:t>13. Planes de trabajo a proponer</w:t>
            </w:r>
            <w:r w:rsidR="00EC5306">
              <w:rPr>
                <w:noProof/>
                <w:webHidden/>
              </w:rPr>
              <w:tab/>
            </w:r>
            <w:r w:rsidR="00EC5306">
              <w:rPr>
                <w:noProof/>
                <w:webHidden/>
              </w:rPr>
              <w:fldChar w:fldCharType="begin"/>
            </w:r>
            <w:r w:rsidR="00EC5306">
              <w:rPr>
                <w:noProof/>
                <w:webHidden/>
              </w:rPr>
              <w:instrText xml:space="preserve"> PAGEREF _Toc132639566 \h </w:instrText>
            </w:r>
            <w:r w:rsidR="00EC5306">
              <w:rPr>
                <w:noProof/>
                <w:webHidden/>
              </w:rPr>
            </w:r>
            <w:r w:rsidR="00EC5306">
              <w:rPr>
                <w:noProof/>
                <w:webHidden/>
              </w:rPr>
              <w:fldChar w:fldCharType="separate"/>
            </w:r>
            <w:r w:rsidR="00EC5306">
              <w:rPr>
                <w:noProof/>
                <w:webHidden/>
              </w:rPr>
              <w:t>83</w:t>
            </w:r>
            <w:r w:rsidR="00EC5306">
              <w:rPr>
                <w:noProof/>
                <w:webHidden/>
              </w:rPr>
              <w:fldChar w:fldCharType="end"/>
            </w:r>
          </w:hyperlink>
        </w:p>
        <w:p w14:paraId="20E1FD95" w14:textId="23BCCFFF"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67" w:history="1">
            <w:r w:rsidR="00EC5306" w:rsidRPr="004F1A03">
              <w:rPr>
                <w:rStyle w:val="Hipervnculo"/>
                <w:rFonts w:eastAsiaTheme="majorEastAsia"/>
                <w:noProof/>
              </w:rPr>
              <w:t>14. Análisis del Circulante</w:t>
            </w:r>
            <w:r w:rsidR="00EC5306">
              <w:rPr>
                <w:noProof/>
                <w:webHidden/>
              </w:rPr>
              <w:tab/>
            </w:r>
            <w:r w:rsidR="00EC5306">
              <w:rPr>
                <w:noProof/>
                <w:webHidden/>
              </w:rPr>
              <w:fldChar w:fldCharType="begin"/>
            </w:r>
            <w:r w:rsidR="00EC5306">
              <w:rPr>
                <w:noProof/>
                <w:webHidden/>
              </w:rPr>
              <w:instrText xml:space="preserve"> PAGEREF _Toc132639567 \h </w:instrText>
            </w:r>
            <w:r w:rsidR="00EC5306">
              <w:rPr>
                <w:noProof/>
                <w:webHidden/>
              </w:rPr>
            </w:r>
            <w:r w:rsidR="00EC5306">
              <w:rPr>
                <w:noProof/>
                <w:webHidden/>
              </w:rPr>
              <w:fldChar w:fldCharType="separate"/>
            </w:r>
            <w:r w:rsidR="00EC5306">
              <w:rPr>
                <w:noProof/>
                <w:webHidden/>
              </w:rPr>
              <w:t>84</w:t>
            </w:r>
            <w:r w:rsidR="00EC5306">
              <w:rPr>
                <w:noProof/>
                <w:webHidden/>
              </w:rPr>
              <w:fldChar w:fldCharType="end"/>
            </w:r>
          </w:hyperlink>
        </w:p>
        <w:p w14:paraId="18CA0703" w14:textId="60FB0CEB" w:rsidR="00EC5306" w:rsidRDefault="00000000">
          <w:pPr>
            <w:pStyle w:val="TDC3"/>
            <w:rPr>
              <w:rFonts w:asciiTheme="minorHAnsi" w:eastAsiaTheme="minorEastAsia" w:hAnsiTheme="minorHAnsi" w:cstheme="minorBidi"/>
              <w:noProof/>
              <w:szCs w:val="22"/>
              <w:lang w:eastAsia="es-CR"/>
            </w:rPr>
          </w:pPr>
          <w:hyperlink w:anchor="_Toc132639568" w:history="1">
            <w:r w:rsidR="00EC5306" w:rsidRPr="004F1A03">
              <w:rPr>
                <w:rStyle w:val="Hipervnculo"/>
                <w:rFonts w:eastAsiaTheme="majorEastAsia"/>
                <w:noProof/>
                <w:lang w:eastAsia="en-US"/>
              </w:rPr>
              <w:t>14.1 Análisis del Circulante por Clase de Asunto</w:t>
            </w:r>
            <w:r w:rsidR="00EC5306">
              <w:rPr>
                <w:noProof/>
                <w:webHidden/>
              </w:rPr>
              <w:tab/>
            </w:r>
            <w:r w:rsidR="00EC5306">
              <w:rPr>
                <w:noProof/>
                <w:webHidden/>
              </w:rPr>
              <w:fldChar w:fldCharType="begin"/>
            </w:r>
            <w:r w:rsidR="00EC5306">
              <w:rPr>
                <w:noProof/>
                <w:webHidden/>
              </w:rPr>
              <w:instrText xml:space="preserve"> PAGEREF _Toc132639568 \h </w:instrText>
            </w:r>
            <w:r w:rsidR="00EC5306">
              <w:rPr>
                <w:noProof/>
                <w:webHidden/>
              </w:rPr>
            </w:r>
            <w:r w:rsidR="00EC5306">
              <w:rPr>
                <w:noProof/>
                <w:webHidden/>
              </w:rPr>
              <w:fldChar w:fldCharType="separate"/>
            </w:r>
            <w:r w:rsidR="00EC5306">
              <w:rPr>
                <w:noProof/>
                <w:webHidden/>
              </w:rPr>
              <w:t>90</w:t>
            </w:r>
            <w:r w:rsidR="00EC5306">
              <w:rPr>
                <w:noProof/>
                <w:webHidden/>
              </w:rPr>
              <w:fldChar w:fldCharType="end"/>
            </w:r>
          </w:hyperlink>
        </w:p>
        <w:p w14:paraId="197BB551" w14:textId="318E7958"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69" w:history="1">
            <w:r w:rsidR="00EC5306" w:rsidRPr="004F1A03">
              <w:rPr>
                <w:rStyle w:val="Hipervnculo"/>
                <w:rFonts w:eastAsiaTheme="majorEastAsia"/>
                <w:noProof/>
              </w:rPr>
              <w:t>15. Valoración de Necesidades de Vehículos</w:t>
            </w:r>
            <w:r w:rsidR="00EC5306">
              <w:rPr>
                <w:noProof/>
                <w:webHidden/>
              </w:rPr>
              <w:tab/>
            </w:r>
            <w:r w:rsidR="00EC5306">
              <w:rPr>
                <w:noProof/>
                <w:webHidden/>
              </w:rPr>
              <w:fldChar w:fldCharType="begin"/>
            </w:r>
            <w:r w:rsidR="00EC5306">
              <w:rPr>
                <w:noProof/>
                <w:webHidden/>
              </w:rPr>
              <w:instrText xml:space="preserve"> PAGEREF _Toc132639569 \h </w:instrText>
            </w:r>
            <w:r w:rsidR="00EC5306">
              <w:rPr>
                <w:noProof/>
                <w:webHidden/>
              </w:rPr>
            </w:r>
            <w:r w:rsidR="00EC5306">
              <w:rPr>
                <w:noProof/>
                <w:webHidden/>
              </w:rPr>
              <w:fldChar w:fldCharType="separate"/>
            </w:r>
            <w:r w:rsidR="00EC5306">
              <w:rPr>
                <w:noProof/>
                <w:webHidden/>
              </w:rPr>
              <w:t>95</w:t>
            </w:r>
            <w:r w:rsidR="00EC5306">
              <w:rPr>
                <w:noProof/>
                <w:webHidden/>
              </w:rPr>
              <w:fldChar w:fldCharType="end"/>
            </w:r>
          </w:hyperlink>
        </w:p>
        <w:p w14:paraId="39E792E2" w14:textId="678B4EAA"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70" w:history="1">
            <w:r w:rsidR="00EC5306" w:rsidRPr="004F1A03">
              <w:rPr>
                <w:rStyle w:val="Hipervnculo"/>
                <w:rFonts w:eastAsiaTheme="majorEastAsia"/>
                <w:noProof/>
              </w:rPr>
              <w:t>16. Rediseño de Despachos previo a la entrada en vigencia del Código Procesal Agrario</w:t>
            </w:r>
            <w:r w:rsidR="00EC5306">
              <w:rPr>
                <w:noProof/>
                <w:webHidden/>
              </w:rPr>
              <w:tab/>
            </w:r>
            <w:r w:rsidR="00EC5306">
              <w:rPr>
                <w:noProof/>
                <w:webHidden/>
              </w:rPr>
              <w:fldChar w:fldCharType="begin"/>
            </w:r>
            <w:r w:rsidR="00EC5306">
              <w:rPr>
                <w:noProof/>
                <w:webHidden/>
              </w:rPr>
              <w:instrText xml:space="preserve"> PAGEREF _Toc132639570 \h </w:instrText>
            </w:r>
            <w:r w:rsidR="00EC5306">
              <w:rPr>
                <w:noProof/>
                <w:webHidden/>
              </w:rPr>
            </w:r>
            <w:r w:rsidR="00EC5306">
              <w:rPr>
                <w:noProof/>
                <w:webHidden/>
              </w:rPr>
              <w:fldChar w:fldCharType="separate"/>
            </w:r>
            <w:r w:rsidR="00EC5306">
              <w:rPr>
                <w:noProof/>
                <w:webHidden/>
              </w:rPr>
              <w:t>109</w:t>
            </w:r>
            <w:r w:rsidR="00EC5306">
              <w:rPr>
                <w:noProof/>
                <w:webHidden/>
              </w:rPr>
              <w:fldChar w:fldCharType="end"/>
            </w:r>
          </w:hyperlink>
        </w:p>
        <w:p w14:paraId="03FAB342" w14:textId="3C02AD4A" w:rsidR="00EC5306" w:rsidRDefault="00000000">
          <w:pPr>
            <w:pStyle w:val="TDC1"/>
            <w:tabs>
              <w:tab w:val="right" w:leader="dot" w:pos="8828"/>
            </w:tabs>
            <w:rPr>
              <w:rFonts w:asciiTheme="minorHAnsi" w:eastAsiaTheme="minorEastAsia" w:hAnsiTheme="minorHAnsi" w:cstheme="minorBidi"/>
              <w:noProof/>
              <w:szCs w:val="22"/>
              <w:lang w:eastAsia="es-CR"/>
            </w:rPr>
          </w:pPr>
          <w:hyperlink w:anchor="_Toc132639571" w:history="1">
            <w:r w:rsidR="00EC5306" w:rsidRPr="004F1A03">
              <w:rPr>
                <w:rStyle w:val="Hipervnculo"/>
                <w:rFonts w:eastAsiaTheme="majorEastAsia"/>
                <w:noProof/>
              </w:rPr>
              <w:t>17. Atención de Asuntos Varios</w:t>
            </w:r>
            <w:r w:rsidR="00EC5306">
              <w:rPr>
                <w:noProof/>
                <w:webHidden/>
              </w:rPr>
              <w:tab/>
            </w:r>
            <w:r w:rsidR="00EC5306">
              <w:rPr>
                <w:noProof/>
                <w:webHidden/>
              </w:rPr>
              <w:fldChar w:fldCharType="begin"/>
            </w:r>
            <w:r w:rsidR="00EC5306">
              <w:rPr>
                <w:noProof/>
                <w:webHidden/>
              </w:rPr>
              <w:instrText xml:space="preserve"> PAGEREF _Toc132639571 \h </w:instrText>
            </w:r>
            <w:r w:rsidR="00EC5306">
              <w:rPr>
                <w:noProof/>
                <w:webHidden/>
              </w:rPr>
            </w:r>
            <w:r w:rsidR="00EC5306">
              <w:rPr>
                <w:noProof/>
                <w:webHidden/>
              </w:rPr>
              <w:fldChar w:fldCharType="separate"/>
            </w:r>
            <w:r w:rsidR="00EC5306">
              <w:rPr>
                <w:noProof/>
                <w:webHidden/>
              </w:rPr>
              <w:t>116</w:t>
            </w:r>
            <w:r w:rsidR="00EC5306">
              <w:rPr>
                <w:noProof/>
                <w:webHidden/>
              </w:rPr>
              <w:fldChar w:fldCharType="end"/>
            </w:r>
          </w:hyperlink>
        </w:p>
        <w:p w14:paraId="43BBA592" w14:textId="74A276B4" w:rsidR="00EC5306" w:rsidRDefault="00000000">
          <w:pPr>
            <w:pStyle w:val="TDC1"/>
            <w:tabs>
              <w:tab w:val="right" w:leader="dot" w:pos="8828"/>
            </w:tabs>
            <w:rPr>
              <w:rFonts w:asciiTheme="minorHAnsi" w:eastAsiaTheme="minorEastAsia" w:hAnsiTheme="minorHAnsi" w:cstheme="minorBidi"/>
              <w:noProof/>
              <w:szCs w:val="22"/>
              <w:lang w:eastAsia="es-CR"/>
            </w:rPr>
          </w:pPr>
          <w:hyperlink w:anchor="_Toc132639572" w:history="1">
            <w:r w:rsidR="00EC5306" w:rsidRPr="004F1A03">
              <w:rPr>
                <w:rStyle w:val="Hipervnculo"/>
                <w:rFonts w:eastAsiaTheme="majorEastAsia"/>
                <w:noProof/>
              </w:rPr>
              <w:t>18. Estimación de necesidades</w:t>
            </w:r>
            <w:r w:rsidR="00EC5306">
              <w:rPr>
                <w:noProof/>
                <w:webHidden/>
              </w:rPr>
              <w:tab/>
            </w:r>
            <w:r w:rsidR="00EC5306">
              <w:rPr>
                <w:noProof/>
                <w:webHidden/>
              </w:rPr>
              <w:fldChar w:fldCharType="begin"/>
            </w:r>
            <w:r w:rsidR="00EC5306">
              <w:rPr>
                <w:noProof/>
                <w:webHidden/>
              </w:rPr>
              <w:instrText xml:space="preserve"> PAGEREF _Toc132639572 \h </w:instrText>
            </w:r>
            <w:r w:rsidR="00EC5306">
              <w:rPr>
                <w:noProof/>
                <w:webHidden/>
              </w:rPr>
            </w:r>
            <w:r w:rsidR="00EC5306">
              <w:rPr>
                <w:noProof/>
                <w:webHidden/>
              </w:rPr>
              <w:fldChar w:fldCharType="separate"/>
            </w:r>
            <w:r w:rsidR="00EC5306">
              <w:rPr>
                <w:noProof/>
                <w:webHidden/>
              </w:rPr>
              <w:t>119</w:t>
            </w:r>
            <w:r w:rsidR="00EC5306">
              <w:rPr>
                <w:noProof/>
                <w:webHidden/>
              </w:rPr>
              <w:fldChar w:fldCharType="end"/>
            </w:r>
          </w:hyperlink>
        </w:p>
        <w:p w14:paraId="10CBAD88" w14:textId="6F1EA859"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73" w:history="1">
            <w:r w:rsidR="00EC5306" w:rsidRPr="004F1A03">
              <w:rPr>
                <w:rStyle w:val="Hipervnculo"/>
                <w:rFonts w:eastAsiaTheme="majorEastAsia"/>
                <w:noProof/>
              </w:rPr>
              <w:t>18.1 Recurso Humano</w:t>
            </w:r>
            <w:r w:rsidR="00EC5306">
              <w:rPr>
                <w:noProof/>
                <w:webHidden/>
              </w:rPr>
              <w:tab/>
            </w:r>
            <w:r w:rsidR="00EC5306">
              <w:rPr>
                <w:noProof/>
                <w:webHidden/>
              </w:rPr>
              <w:fldChar w:fldCharType="begin"/>
            </w:r>
            <w:r w:rsidR="00EC5306">
              <w:rPr>
                <w:noProof/>
                <w:webHidden/>
              </w:rPr>
              <w:instrText xml:space="preserve"> PAGEREF _Toc132639573 \h </w:instrText>
            </w:r>
            <w:r w:rsidR="00EC5306">
              <w:rPr>
                <w:noProof/>
                <w:webHidden/>
              </w:rPr>
            </w:r>
            <w:r w:rsidR="00EC5306">
              <w:rPr>
                <w:noProof/>
                <w:webHidden/>
              </w:rPr>
              <w:fldChar w:fldCharType="separate"/>
            </w:r>
            <w:r w:rsidR="00EC5306">
              <w:rPr>
                <w:noProof/>
                <w:webHidden/>
              </w:rPr>
              <w:t>119</w:t>
            </w:r>
            <w:r w:rsidR="00EC5306">
              <w:rPr>
                <w:noProof/>
                <w:webHidden/>
              </w:rPr>
              <w:fldChar w:fldCharType="end"/>
            </w:r>
          </w:hyperlink>
        </w:p>
        <w:p w14:paraId="70CCE590" w14:textId="2A5F23C0"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74" w:history="1">
            <w:r w:rsidR="00EC5306" w:rsidRPr="004F1A03">
              <w:rPr>
                <w:rStyle w:val="Hipervnculo"/>
                <w:rFonts w:eastAsiaTheme="majorEastAsia"/>
                <w:noProof/>
              </w:rPr>
              <w:t>18.2 Gasto Variable</w:t>
            </w:r>
            <w:r w:rsidR="00EC5306">
              <w:rPr>
                <w:noProof/>
                <w:webHidden/>
              </w:rPr>
              <w:tab/>
            </w:r>
            <w:r w:rsidR="00EC5306">
              <w:rPr>
                <w:noProof/>
                <w:webHidden/>
              </w:rPr>
              <w:fldChar w:fldCharType="begin"/>
            </w:r>
            <w:r w:rsidR="00EC5306">
              <w:rPr>
                <w:noProof/>
                <w:webHidden/>
              </w:rPr>
              <w:instrText xml:space="preserve"> PAGEREF _Toc132639574 \h </w:instrText>
            </w:r>
            <w:r w:rsidR="00EC5306">
              <w:rPr>
                <w:noProof/>
                <w:webHidden/>
              </w:rPr>
            </w:r>
            <w:r w:rsidR="00EC5306">
              <w:rPr>
                <w:noProof/>
                <w:webHidden/>
              </w:rPr>
              <w:fldChar w:fldCharType="separate"/>
            </w:r>
            <w:r w:rsidR="00EC5306">
              <w:rPr>
                <w:noProof/>
                <w:webHidden/>
              </w:rPr>
              <w:t>121</w:t>
            </w:r>
            <w:r w:rsidR="00EC5306">
              <w:rPr>
                <w:noProof/>
                <w:webHidden/>
              </w:rPr>
              <w:fldChar w:fldCharType="end"/>
            </w:r>
          </w:hyperlink>
        </w:p>
        <w:p w14:paraId="7F8FB720" w14:textId="55EEE194"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75" w:history="1">
            <w:r w:rsidR="00EC5306" w:rsidRPr="004F1A03">
              <w:rPr>
                <w:rStyle w:val="Hipervnculo"/>
                <w:rFonts w:eastAsiaTheme="majorEastAsia"/>
                <w:noProof/>
              </w:rPr>
              <w:t>18.3 Costo Estimado de la Propuesta</w:t>
            </w:r>
            <w:r w:rsidR="00EC5306">
              <w:rPr>
                <w:noProof/>
                <w:webHidden/>
              </w:rPr>
              <w:tab/>
            </w:r>
            <w:r w:rsidR="00EC5306">
              <w:rPr>
                <w:noProof/>
                <w:webHidden/>
              </w:rPr>
              <w:fldChar w:fldCharType="begin"/>
            </w:r>
            <w:r w:rsidR="00EC5306">
              <w:rPr>
                <w:noProof/>
                <w:webHidden/>
              </w:rPr>
              <w:instrText xml:space="preserve"> PAGEREF _Toc132639575 \h </w:instrText>
            </w:r>
            <w:r w:rsidR="00EC5306">
              <w:rPr>
                <w:noProof/>
                <w:webHidden/>
              </w:rPr>
            </w:r>
            <w:r w:rsidR="00EC5306">
              <w:rPr>
                <w:noProof/>
                <w:webHidden/>
              </w:rPr>
              <w:fldChar w:fldCharType="separate"/>
            </w:r>
            <w:r w:rsidR="00EC5306">
              <w:rPr>
                <w:noProof/>
                <w:webHidden/>
              </w:rPr>
              <w:t>121</w:t>
            </w:r>
            <w:r w:rsidR="00EC5306">
              <w:rPr>
                <w:noProof/>
                <w:webHidden/>
              </w:rPr>
              <w:fldChar w:fldCharType="end"/>
            </w:r>
          </w:hyperlink>
        </w:p>
        <w:p w14:paraId="47714388" w14:textId="7693E650" w:rsidR="00EC5306" w:rsidRDefault="00000000">
          <w:pPr>
            <w:pStyle w:val="TDC1"/>
            <w:tabs>
              <w:tab w:val="right" w:leader="dot" w:pos="8828"/>
            </w:tabs>
            <w:rPr>
              <w:rFonts w:asciiTheme="minorHAnsi" w:eastAsiaTheme="minorEastAsia" w:hAnsiTheme="minorHAnsi" w:cstheme="minorBidi"/>
              <w:noProof/>
              <w:szCs w:val="22"/>
              <w:lang w:eastAsia="es-CR"/>
            </w:rPr>
          </w:pPr>
          <w:hyperlink w:anchor="_Toc132639576" w:history="1">
            <w:r w:rsidR="00EC5306" w:rsidRPr="004F1A03">
              <w:rPr>
                <w:rStyle w:val="Hipervnculo"/>
                <w:rFonts w:eastAsiaTheme="majorEastAsia"/>
                <w:noProof/>
              </w:rPr>
              <w:t>19. Elementos Resolutivos</w:t>
            </w:r>
            <w:r w:rsidR="00EC5306">
              <w:rPr>
                <w:noProof/>
                <w:webHidden/>
              </w:rPr>
              <w:tab/>
            </w:r>
            <w:r w:rsidR="00EC5306">
              <w:rPr>
                <w:noProof/>
                <w:webHidden/>
              </w:rPr>
              <w:fldChar w:fldCharType="begin"/>
            </w:r>
            <w:r w:rsidR="00EC5306">
              <w:rPr>
                <w:noProof/>
                <w:webHidden/>
              </w:rPr>
              <w:instrText xml:space="preserve"> PAGEREF _Toc132639576 \h </w:instrText>
            </w:r>
            <w:r w:rsidR="00EC5306">
              <w:rPr>
                <w:noProof/>
                <w:webHidden/>
              </w:rPr>
            </w:r>
            <w:r w:rsidR="00EC5306">
              <w:rPr>
                <w:noProof/>
                <w:webHidden/>
              </w:rPr>
              <w:fldChar w:fldCharType="separate"/>
            </w:r>
            <w:r w:rsidR="00EC5306">
              <w:rPr>
                <w:noProof/>
                <w:webHidden/>
              </w:rPr>
              <w:t>126</w:t>
            </w:r>
            <w:r w:rsidR="00EC5306">
              <w:rPr>
                <w:noProof/>
                <w:webHidden/>
              </w:rPr>
              <w:fldChar w:fldCharType="end"/>
            </w:r>
          </w:hyperlink>
        </w:p>
        <w:p w14:paraId="5F388A73" w14:textId="71270BC2" w:rsidR="00EC5306" w:rsidRDefault="00000000">
          <w:pPr>
            <w:pStyle w:val="TDC1"/>
            <w:tabs>
              <w:tab w:val="right" w:leader="dot" w:pos="8828"/>
            </w:tabs>
            <w:rPr>
              <w:rFonts w:asciiTheme="minorHAnsi" w:eastAsiaTheme="minorEastAsia" w:hAnsiTheme="minorHAnsi" w:cstheme="minorBidi"/>
              <w:noProof/>
              <w:szCs w:val="22"/>
              <w:lang w:eastAsia="es-CR"/>
            </w:rPr>
          </w:pPr>
          <w:hyperlink w:anchor="_Toc132639577" w:history="1">
            <w:r w:rsidR="00EC5306" w:rsidRPr="004F1A03">
              <w:rPr>
                <w:rStyle w:val="Hipervnculo"/>
                <w:rFonts w:eastAsiaTheme="majorEastAsia"/>
                <w:noProof/>
              </w:rPr>
              <w:t>20. Recomendaciones</w:t>
            </w:r>
            <w:r w:rsidR="00EC5306">
              <w:rPr>
                <w:noProof/>
                <w:webHidden/>
              </w:rPr>
              <w:tab/>
            </w:r>
            <w:r w:rsidR="00EC5306">
              <w:rPr>
                <w:noProof/>
                <w:webHidden/>
              </w:rPr>
              <w:fldChar w:fldCharType="begin"/>
            </w:r>
            <w:r w:rsidR="00EC5306">
              <w:rPr>
                <w:noProof/>
                <w:webHidden/>
              </w:rPr>
              <w:instrText xml:space="preserve"> PAGEREF _Toc132639577 \h </w:instrText>
            </w:r>
            <w:r w:rsidR="00EC5306">
              <w:rPr>
                <w:noProof/>
                <w:webHidden/>
              </w:rPr>
            </w:r>
            <w:r w:rsidR="00EC5306">
              <w:rPr>
                <w:noProof/>
                <w:webHidden/>
              </w:rPr>
              <w:fldChar w:fldCharType="separate"/>
            </w:r>
            <w:r w:rsidR="00EC5306">
              <w:rPr>
                <w:noProof/>
                <w:webHidden/>
              </w:rPr>
              <w:t>132</w:t>
            </w:r>
            <w:r w:rsidR="00EC5306">
              <w:rPr>
                <w:noProof/>
                <w:webHidden/>
              </w:rPr>
              <w:fldChar w:fldCharType="end"/>
            </w:r>
          </w:hyperlink>
        </w:p>
        <w:p w14:paraId="17245A03" w14:textId="30134472" w:rsidR="00EC5306" w:rsidRDefault="00000000">
          <w:pPr>
            <w:pStyle w:val="TDC3"/>
            <w:rPr>
              <w:rFonts w:asciiTheme="minorHAnsi" w:eastAsiaTheme="minorEastAsia" w:hAnsiTheme="minorHAnsi" w:cstheme="minorBidi"/>
              <w:noProof/>
              <w:szCs w:val="22"/>
              <w:lang w:eastAsia="es-CR"/>
            </w:rPr>
          </w:pPr>
          <w:hyperlink w:anchor="_Toc132639578" w:history="1">
            <w:r w:rsidR="00EC5306" w:rsidRPr="004F1A03">
              <w:rPr>
                <w:rStyle w:val="Hipervnculo"/>
                <w:rFonts w:eastAsiaTheme="majorEastAsia"/>
                <w:noProof/>
                <w:lang w:eastAsia="en-US"/>
              </w:rPr>
              <w:t>A Corte Plena</w:t>
            </w:r>
            <w:r w:rsidR="00EC5306">
              <w:rPr>
                <w:noProof/>
                <w:webHidden/>
              </w:rPr>
              <w:tab/>
            </w:r>
            <w:r w:rsidR="00EC5306">
              <w:rPr>
                <w:noProof/>
                <w:webHidden/>
              </w:rPr>
              <w:fldChar w:fldCharType="begin"/>
            </w:r>
            <w:r w:rsidR="00EC5306">
              <w:rPr>
                <w:noProof/>
                <w:webHidden/>
              </w:rPr>
              <w:instrText xml:space="preserve"> PAGEREF _Toc132639578 \h </w:instrText>
            </w:r>
            <w:r w:rsidR="00EC5306">
              <w:rPr>
                <w:noProof/>
                <w:webHidden/>
              </w:rPr>
            </w:r>
            <w:r w:rsidR="00EC5306">
              <w:rPr>
                <w:noProof/>
                <w:webHidden/>
              </w:rPr>
              <w:fldChar w:fldCharType="separate"/>
            </w:r>
            <w:r w:rsidR="00EC5306">
              <w:rPr>
                <w:noProof/>
                <w:webHidden/>
              </w:rPr>
              <w:t>132</w:t>
            </w:r>
            <w:r w:rsidR="00EC5306">
              <w:rPr>
                <w:noProof/>
                <w:webHidden/>
              </w:rPr>
              <w:fldChar w:fldCharType="end"/>
            </w:r>
          </w:hyperlink>
        </w:p>
        <w:p w14:paraId="689DDEB5" w14:textId="374AAFD8"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79" w:history="1">
            <w:r w:rsidR="00EC5306" w:rsidRPr="004F1A03">
              <w:rPr>
                <w:rStyle w:val="Hipervnculo"/>
                <w:rFonts w:eastAsiaTheme="majorEastAsia"/>
                <w:noProof/>
              </w:rPr>
              <w:t>20.1 Propuesta</w:t>
            </w:r>
            <w:r w:rsidR="00EC5306">
              <w:rPr>
                <w:noProof/>
                <w:webHidden/>
              </w:rPr>
              <w:tab/>
            </w:r>
            <w:r w:rsidR="00EC5306">
              <w:rPr>
                <w:noProof/>
                <w:webHidden/>
              </w:rPr>
              <w:fldChar w:fldCharType="begin"/>
            </w:r>
            <w:r w:rsidR="00EC5306">
              <w:rPr>
                <w:noProof/>
                <w:webHidden/>
              </w:rPr>
              <w:instrText xml:space="preserve"> PAGEREF _Toc132639579 \h </w:instrText>
            </w:r>
            <w:r w:rsidR="00EC5306">
              <w:rPr>
                <w:noProof/>
                <w:webHidden/>
              </w:rPr>
            </w:r>
            <w:r w:rsidR="00EC5306">
              <w:rPr>
                <w:noProof/>
                <w:webHidden/>
              </w:rPr>
              <w:fldChar w:fldCharType="separate"/>
            </w:r>
            <w:r w:rsidR="00EC5306">
              <w:rPr>
                <w:noProof/>
                <w:webHidden/>
              </w:rPr>
              <w:t>132</w:t>
            </w:r>
            <w:r w:rsidR="00EC5306">
              <w:rPr>
                <w:noProof/>
                <w:webHidden/>
              </w:rPr>
              <w:fldChar w:fldCharType="end"/>
            </w:r>
          </w:hyperlink>
        </w:p>
        <w:p w14:paraId="0B75B9BF" w14:textId="7497B2F9" w:rsidR="00EC5306" w:rsidRDefault="00000000">
          <w:pPr>
            <w:pStyle w:val="TDC3"/>
            <w:rPr>
              <w:rFonts w:asciiTheme="minorHAnsi" w:eastAsiaTheme="minorEastAsia" w:hAnsiTheme="minorHAnsi" w:cstheme="minorBidi"/>
              <w:noProof/>
              <w:szCs w:val="22"/>
              <w:lang w:eastAsia="es-CR"/>
            </w:rPr>
          </w:pPr>
          <w:hyperlink w:anchor="_Toc132639580" w:history="1">
            <w:r w:rsidR="00EC5306" w:rsidRPr="004F1A03">
              <w:rPr>
                <w:rStyle w:val="Hipervnculo"/>
                <w:rFonts w:eastAsiaTheme="majorEastAsia"/>
                <w:noProof/>
              </w:rPr>
              <w:t>20.1.1 Recurso Humano</w:t>
            </w:r>
            <w:r w:rsidR="00EC5306">
              <w:rPr>
                <w:noProof/>
                <w:webHidden/>
              </w:rPr>
              <w:tab/>
            </w:r>
            <w:r w:rsidR="00EC5306">
              <w:rPr>
                <w:noProof/>
                <w:webHidden/>
              </w:rPr>
              <w:fldChar w:fldCharType="begin"/>
            </w:r>
            <w:r w:rsidR="00EC5306">
              <w:rPr>
                <w:noProof/>
                <w:webHidden/>
              </w:rPr>
              <w:instrText xml:space="preserve"> PAGEREF _Toc132639580 \h </w:instrText>
            </w:r>
            <w:r w:rsidR="00EC5306">
              <w:rPr>
                <w:noProof/>
                <w:webHidden/>
              </w:rPr>
            </w:r>
            <w:r w:rsidR="00EC5306">
              <w:rPr>
                <w:noProof/>
                <w:webHidden/>
              </w:rPr>
              <w:fldChar w:fldCharType="separate"/>
            </w:r>
            <w:r w:rsidR="00EC5306">
              <w:rPr>
                <w:noProof/>
                <w:webHidden/>
              </w:rPr>
              <w:t>132</w:t>
            </w:r>
            <w:r w:rsidR="00EC5306">
              <w:rPr>
                <w:noProof/>
                <w:webHidden/>
              </w:rPr>
              <w:fldChar w:fldCharType="end"/>
            </w:r>
          </w:hyperlink>
        </w:p>
        <w:p w14:paraId="3E638EC2" w14:textId="7D0AA5D6" w:rsidR="00EC5306" w:rsidRDefault="00000000">
          <w:pPr>
            <w:pStyle w:val="TDC3"/>
            <w:rPr>
              <w:rFonts w:asciiTheme="minorHAnsi" w:eastAsiaTheme="minorEastAsia" w:hAnsiTheme="minorHAnsi" w:cstheme="minorBidi"/>
              <w:noProof/>
              <w:szCs w:val="22"/>
              <w:lang w:eastAsia="es-CR"/>
            </w:rPr>
          </w:pPr>
          <w:hyperlink w:anchor="_Toc132639581" w:history="1">
            <w:r w:rsidR="00EC5306" w:rsidRPr="004F1A03">
              <w:rPr>
                <w:rStyle w:val="Hipervnculo"/>
                <w:rFonts w:eastAsiaTheme="majorEastAsia"/>
                <w:noProof/>
              </w:rPr>
              <w:t>20.1.2 Gasto Variable</w:t>
            </w:r>
            <w:r w:rsidR="00EC5306">
              <w:rPr>
                <w:noProof/>
                <w:webHidden/>
              </w:rPr>
              <w:tab/>
            </w:r>
            <w:r w:rsidR="00EC5306">
              <w:rPr>
                <w:noProof/>
                <w:webHidden/>
              </w:rPr>
              <w:fldChar w:fldCharType="begin"/>
            </w:r>
            <w:r w:rsidR="00EC5306">
              <w:rPr>
                <w:noProof/>
                <w:webHidden/>
              </w:rPr>
              <w:instrText xml:space="preserve"> PAGEREF _Toc132639581 \h </w:instrText>
            </w:r>
            <w:r w:rsidR="00EC5306">
              <w:rPr>
                <w:noProof/>
                <w:webHidden/>
              </w:rPr>
            </w:r>
            <w:r w:rsidR="00EC5306">
              <w:rPr>
                <w:noProof/>
                <w:webHidden/>
              </w:rPr>
              <w:fldChar w:fldCharType="separate"/>
            </w:r>
            <w:r w:rsidR="00EC5306">
              <w:rPr>
                <w:noProof/>
                <w:webHidden/>
              </w:rPr>
              <w:t>134</w:t>
            </w:r>
            <w:r w:rsidR="00EC5306">
              <w:rPr>
                <w:noProof/>
                <w:webHidden/>
              </w:rPr>
              <w:fldChar w:fldCharType="end"/>
            </w:r>
          </w:hyperlink>
        </w:p>
        <w:p w14:paraId="0C686F10" w14:textId="7A697C65" w:rsidR="00EC5306" w:rsidRDefault="00000000">
          <w:pPr>
            <w:pStyle w:val="TDC3"/>
            <w:rPr>
              <w:rFonts w:asciiTheme="minorHAnsi" w:eastAsiaTheme="minorEastAsia" w:hAnsiTheme="minorHAnsi" w:cstheme="minorBidi"/>
              <w:noProof/>
              <w:szCs w:val="22"/>
              <w:lang w:eastAsia="es-CR"/>
            </w:rPr>
          </w:pPr>
          <w:hyperlink w:anchor="_Toc132639582" w:history="1">
            <w:r w:rsidR="00EC5306" w:rsidRPr="004F1A03">
              <w:rPr>
                <w:rStyle w:val="Hipervnculo"/>
                <w:rFonts w:eastAsiaTheme="majorEastAsia"/>
                <w:noProof/>
              </w:rPr>
              <w:t>20.1.3 Costo Estimado de la Propuesta</w:t>
            </w:r>
            <w:r w:rsidR="00EC5306">
              <w:rPr>
                <w:noProof/>
                <w:webHidden/>
              </w:rPr>
              <w:tab/>
            </w:r>
            <w:r w:rsidR="00EC5306">
              <w:rPr>
                <w:noProof/>
                <w:webHidden/>
              </w:rPr>
              <w:fldChar w:fldCharType="begin"/>
            </w:r>
            <w:r w:rsidR="00EC5306">
              <w:rPr>
                <w:noProof/>
                <w:webHidden/>
              </w:rPr>
              <w:instrText xml:space="preserve"> PAGEREF _Toc132639582 \h </w:instrText>
            </w:r>
            <w:r w:rsidR="00EC5306">
              <w:rPr>
                <w:noProof/>
                <w:webHidden/>
              </w:rPr>
            </w:r>
            <w:r w:rsidR="00EC5306">
              <w:rPr>
                <w:noProof/>
                <w:webHidden/>
              </w:rPr>
              <w:fldChar w:fldCharType="separate"/>
            </w:r>
            <w:r w:rsidR="00EC5306">
              <w:rPr>
                <w:noProof/>
                <w:webHidden/>
              </w:rPr>
              <w:t>135</w:t>
            </w:r>
            <w:r w:rsidR="00EC5306">
              <w:rPr>
                <w:noProof/>
                <w:webHidden/>
              </w:rPr>
              <w:fldChar w:fldCharType="end"/>
            </w:r>
          </w:hyperlink>
        </w:p>
        <w:p w14:paraId="1D797056" w14:textId="713CFE13" w:rsidR="00EC5306" w:rsidRDefault="00000000">
          <w:pPr>
            <w:pStyle w:val="TDC3"/>
            <w:rPr>
              <w:rFonts w:asciiTheme="minorHAnsi" w:eastAsiaTheme="minorEastAsia" w:hAnsiTheme="minorHAnsi" w:cstheme="minorBidi"/>
              <w:noProof/>
              <w:szCs w:val="22"/>
              <w:lang w:eastAsia="es-CR"/>
            </w:rPr>
          </w:pPr>
          <w:hyperlink w:anchor="_Toc132639583" w:history="1">
            <w:r w:rsidR="00EC5306" w:rsidRPr="004F1A03">
              <w:rPr>
                <w:rStyle w:val="Hipervnculo"/>
                <w:rFonts w:eastAsiaTheme="majorEastAsia"/>
                <w:bCs/>
                <w:noProof/>
              </w:rPr>
              <w:t>20.2.1 Solicitar a la Comisión Alterna de Conflictos, coordinar con la Comisión Agraria y que de forma conjunta se puedan promover acciones para que los Centros de Conciliación den soporte a la materia agraria, y con ello lograr incrementar el porcentaje de conciliación, que pueda beneficiar en la celeridad de los asuntos.</w:t>
            </w:r>
            <w:r w:rsidR="00EC5306">
              <w:rPr>
                <w:noProof/>
                <w:webHidden/>
              </w:rPr>
              <w:tab/>
            </w:r>
            <w:r w:rsidR="00EC5306">
              <w:rPr>
                <w:noProof/>
                <w:webHidden/>
              </w:rPr>
              <w:fldChar w:fldCharType="begin"/>
            </w:r>
            <w:r w:rsidR="00EC5306">
              <w:rPr>
                <w:noProof/>
                <w:webHidden/>
              </w:rPr>
              <w:instrText xml:space="preserve"> PAGEREF _Toc132639583 \h </w:instrText>
            </w:r>
            <w:r w:rsidR="00EC5306">
              <w:rPr>
                <w:noProof/>
                <w:webHidden/>
              </w:rPr>
            </w:r>
            <w:r w:rsidR="00EC5306">
              <w:rPr>
                <w:noProof/>
                <w:webHidden/>
              </w:rPr>
              <w:fldChar w:fldCharType="separate"/>
            </w:r>
            <w:r w:rsidR="00EC5306">
              <w:rPr>
                <w:noProof/>
                <w:webHidden/>
              </w:rPr>
              <w:t>140</w:t>
            </w:r>
            <w:r w:rsidR="00EC5306">
              <w:rPr>
                <w:noProof/>
                <w:webHidden/>
              </w:rPr>
              <w:fldChar w:fldCharType="end"/>
            </w:r>
          </w:hyperlink>
        </w:p>
        <w:p w14:paraId="56D75D92" w14:textId="3C585392" w:rsidR="00EC5306" w:rsidRDefault="00000000">
          <w:pPr>
            <w:pStyle w:val="TDC3"/>
            <w:rPr>
              <w:rFonts w:asciiTheme="minorHAnsi" w:eastAsiaTheme="minorEastAsia" w:hAnsiTheme="minorHAnsi" w:cstheme="minorBidi"/>
              <w:noProof/>
              <w:szCs w:val="22"/>
              <w:lang w:eastAsia="es-CR"/>
            </w:rPr>
          </w:pPr>
          <w:hyperlink w:anchor="_Toc132639584" w:history="1">
            <w:r w:rsidR="00EC5306" w:rsidRPr="004F1A03">
              <w:rPr>
                <w:rStyle w:val="Hipervnculo"/>
                <w:rFonts w:eastAsiaTheme="majorEastAsia"/>
                <w:bCs/>
                <w:noProof/>
              </w:rPr>
              <w:t>20.2.2 Solicitar a la Defensa Pública, realizar un análisis del impacto de los servicios prestados a partir de la creación de las plazas de las personas defensoras públicas en la materia, e informe al Consejo Superior, los beneficios obtenidos, así como el impacto en el servicio brindado. Considerando, las acciones realizadas en impulsar la celeridad de los procesos judiciales.</w:t>
            </w:r>
            <w:r w:rsidR="00EC5306">
              <w:rPr>
                <w:noProof/>
                <w:webHidden/>
              </w:rPr>
              <w:tab/>
            </w:r>
            <w:r w:rsidR="00EC5306">
              <w:rPr>
                <w:noProof/>
                <w:webHidden/>
              </w:rPr>
              <w:fldChar w:fldCharType="begin"/>
            </w:r>
            <w:r w:rsidR="00EC5306">
              <w:rPr>
                <w:noProof/>
                <w:webHidden/>
              </w:rPr>
              <w:instrText xml:space="preserve"> PAGEREF _Toc132639584 \h </w:instrText>
            </w:r>
            <w:r w:rsidR="00EC5306">
              <w:rPr>
                <w:noProof/>
                <w:webHidden/>
              </w:rPr>
            </w:r>
            <w:r w:rsidR="00EC5306">
              <w:rPr>
                <w:noProof/>
                <w:webHidden/>
              </w:rPr>
              <w:fldChar w:fldCharType="separate"/>
            </w:r>
            <w:r w:rsidR="00EC5306">
              <w:rPr>
                <w:noProof/>
                <w:webHidden/>
              </w:rPr>
              <w:t>140</w:t>
            </w:r>
            <w:r w:rsidR="00EC5306">
              <w:rPr>
                <w:noProof/>
                <w:webHidden/>
              </w:rPr>
              <w:fldChar w:fldCharType="end"/>
            </w:r>
          </w:hyperlink>
        </w:p>
        <w:p w14:paraId="1F2D8B13" w14:textId="63C1E0A0" w:rsidR="00EC5306" w:rsidRDefault="00000000">
          <w:pPr>
            <w:pStyle w:val="TDC3"/>
            <w:rPr>
              <w:rFonts w:asciiTheme="minorHAnsi" w:eastAsiaTheme="minorEastAsia" w:hAnsiTheme="minorHAnsi" w:cstheme="minorBidi"/>
              <w:noProof/>
              <w:szCs w:val="22"/>
              <w:lang w:eastAsia="es-CR"/>
            </w:rPr>
          </w:pPr>
          <w:hyperlink w:anchor="_Toc132639585" w:history="1">
            <w:r w:rsidR="00EC5306" w:rsidRPr="004F1A03">
              <w:rPr>
                <w:rStyle w:val="Hipervnculo"/>
                <w:rFonts w:eastAsiaTheme="majorEastAsia"/>
                <w:bCs/>
                <w:noProof/>
              </w:rPr>
              <w:t>20.2.3 Solicitar al Centro de Apoyo y Mejoramiento de la Función Jurisdiccional un seguimiento más cercano a los despachos agrarios, de tal forma, que puedan revisar el impacto de los planes de trabajo propuestos por cada oficina y que visualicen en el fondo la mejora de los tiempos de respuesta a lo interno de los Juzgados, ya que las clasificaciones descritas demuestran como los asuntos se mantienen mucho tiempo sin impulso procesal.</w:t>
            </w:r>
            <w:r w:rsidR="00EC5306">
              <w:rPr>
                <w:noProof/>
                <w:webHidden/>
              </w:rPr>
              <w:tab/>
            </w:r>
            <w:r w:rsidR="00EC5306">
              <w:rPr>
                <w:noProof/>
                <w:webHidden/>
              </w:rPr>
              <w:fldChar w:fldCharType="begin"/>
            </w:r>
            <w:r w:rsidR="00EC5306">
              <w:rPr>
                <w:noProof/>
                <w:webHidden/>
              </w:rPr>
              <w:instrText xml:space="preserve"> PAGEREF _Toc132639585 \h </w:instrText>
            </w:r>
            <w:r w:rsidR="00EC5306">
              <w:rPr>
                <w:noProof/>
                <w:webHidden/>
              </w:rPr>
            </w:r>
            <w:r w:rsidR="00EC5306">
              <w:rPr>
                <w:noProof/>
                <w:webHidden/>
              </w:rPr>
              <w:fldChar w:fldCharType="separate"/>
            </w:r>
            <w:r w:rsidR="00EC5306">
              <w:rPr>
                <w:noProof/>
                <w:webHidden/>
              </w:rPr>
              <w:t>141</w:t>
            </w:r>
            <w:r w:rsidR="00EC5306">
              <w:rPr>
                <w:noProof/>
                <w:webHidden/>
              </w:rPr>
              <w:fldChar w:fldCharType="end"/>
            </w:r>
          </w:hyperlink>
        </w:p>
        <w:p w14:paraId="313D13FF" w14:textId="16BFB13E" w:rsidR="00EC5306" w:rsidRDefault="00000000">
          <w:pPr>
            <w:pStyle w:val="TDC2"/>
            <w:tabs>
              <w:tab w:val="right" w:leader="dot" w:pos="8828"/>
            </w:tabs>
            <w:rPr>
              <w:rFonts w:asciiTheme="minorHAnsi" w:eastAsiaTheme="minorEastAsia" w:hAnsiTheme="minorHAnsi" w:cstheme="minorBidi"/>
              <w:noProof/>
              <w:szCs w:val="22"/>
              <w:lang w:eastAsia="es-CR"/>
            </w:rPr>
          </w:pPr>
          <w:hyperlink w:anchor="_Toc132639586" w:history="1">
            <w:r w:rsidR="00EC5306" w:rsidRPr="004F1A03">
              <w:rPr>
                <w:rStyle w:val="Hipervnculo"/>
                <w:rFonts w:eastAsiaTheme="majorEastAsia"/>
                <w:noProof/>
              </w:rPr>
              <w:t>21. Otras Recomendaciones</w:t>
            </w:r>
            <w:r w:rsidR="00EC5306">
              <w:rPr>
                <w:noProof/>
                <w:webHidden/>
              </w:rPr>
              <w:tab/>
            </w:r>
            <w:r w:rsidR="00EC5306">
              <w:rPr>
                <w:noProof/>
                <w:webHidden/>
              </w:rPr>
              <w:fldChar w:fldCharType="begin"/>
            </w:r>
            <w:r w:rsidR="00EC5306">
              <w:rPr>
                <w:noProof/>
                <w:webHidden/>
              </w:rPr>
              <w:instrText xml:space="preserve"> PAGEREF _Toc132639586 \h </w:instrText>
            </w:r>
            <w:r w:rsidR="00EC5306">
              <w:rPr>
                <w:noProof/>
                <w:webHidden/>
              </w:rPr>
            </w:r>
            <w:r w:rsidR="00EC5306">
              <w:rPr>
                <w:noProof/>
                <w:webHidden/>
              </w:rPr>
              <w:fldChar w:fldCharType="separate"/>
            </w:r>
            <w:r w:rsidR="00EC5306">
              <w:rPr>
                <w:noProof/>
                <w:webHidden/>
              </w:rPr>
              <w:t>141</w:t>
            </w:r>
            <w:r w:rsidR="00EC5306">
              <w:rPr>
                <w:noProof/>
                <w:webHidden/>
              </w:rPr>
              <w:fldChar w:fldCharType="end"/>
            </w:r>
          </w:hyperlink>
        </w:p>
        <w:p w14:paraId="0F34EB0A" w14:textId="4990B0F3" w:rsidR="00EC5306" w:rsidRDefault="00000000">
          <w:pPr>
            <w:pStyle w:val="TDC1"/>
            <w:tabs>
              <w:tab w:val="right" w:leader="dot" w:pos="8828"/>
            </w:tabs>
            <w:rPr>
              <w:rFonts w:asciiTheme="minorHAnsi" w:eastAsiaTheme="minorEastAsia" w:hAnsiTheme="minorHAnsi" w:cstheme="minorBidi"/>
              <w:noProof/>
              <w:szCs w:val="22"/>
              <w:lang w:eastAsia="es-CR"/>
            </w:rPr>
          </w:pPr>
          <w:hyperlink w:anchor="_Toc132639587" w:history="1">
            <w:r w:rsidR="00EC5306" w:rsidRPr="004F1A03">
              <w:rPr>
                <w:rStyle w:val="Hipervnculo"/>
                <w:rFonts w:eastAsiaTheme="majorEastAsia"/>
                <w:noProof/>
              </w:rPr>
              <w:t>22. Anexos</w:t>
            </w:r>
            <w:r w:rsidR="00EC5306">
              <w:rPr>
                <w:noProof/>
                <w:webHidden/>
              </w:rPr>
              <w:tab/>
            </w:r>
            <w:r w:rsidR="00EC5306">
              <w:rPr>
                <w:noProof/>
                <w:webHidden/>
              </w:rPr>
              <w:fldChar w:fldCharType="begin"/>
            </w:r>
            <w:r w:rsidR="00EC5306">
              <w:rPr>
                <w:noProof/>
                <w:webHidden/>
              </w:rPr>
              <w:instrText xml:space="preserve"> PAGEREF _Toc132639587 \h </w:instrText>
            </w:r>
            <w:r w:rsidR="00EC5306">
              <w:rPr>
                <w:noProof/>
                <w:webHidden/>
              </w:rPr>
            </w:r>
            <w:r w:rsidR="00EC5306">
              <w:rPr>
                <w:noProof/>
                <w:webHidden/>
              </w:rPr>
              <w:fldChar w:fldCharType="separate"/>
            </w:r>
            <w:r w:rsidR="00EC5306">
              <w:rPr>
                <w:noProof/>
                <w:webHidden/>
              </w:rPr>
              <w:t>142</w:t>
            </w:r>
            <w:r w:rsidR="00EC5306">
              <w:rPr>
                <w:noProof/>
                <w:webHidden/>
              </w:rPr>
              <w:fldChar w:fldCharType="end"/>
            </w:r>
          </w:hyperlink>
        </w:p>
        <w:p w14:paraId="1BC2D794" w14:textId="7C29AA75" w:rsidR="00BD0289" w:rsidRPr="00033E65" w:rsidRDefault="00BD0289">
          <w:r w:rsidRPr="00033E65">
            <w:rPr>
              <w:b/>
              <w:bCs/>
              <w:lang w:val="es-ES"/>
            </w:rPr>
            <w:fldChar w:fldCharType="end"/>
          </w:r>
        </w:p>
      </w:sdtContent>
    </w:sdt>
    <w:p w14:paraId="6A035E0F" w14:textId="77777777" w:rsidR="0090454A" w:rsidRPr="00033E65" w:rsidRDefault="0090454A" w:rsidP="0090454A">
      <w:pPr>
        <w:spacing w:before="0" w:after="160" w:line="259" w:lineRule="auto"/>
        <w:jc w:val="left"/>
        <w:rPr>
          <w:sz w:val="36"/>
          <w:szCs w:val="40"/>
        </w:rPr>
      </w:pPr>
      <w:r w:rsidRPr="00033E65">
        <w:rPr>
          <w:sz w:val="36"/>
          <w:szCs w:val="40"/>
        </w:rPr>
        <w:br w:type="page"/>
      </w:r>
    </w:p>
    <w:p w14:paraId="1E3C552B" w14:textId="03410A50" w:rsidR="00447AAF" w:rsidRPr="00033E65" w:rsidRDefault="00EC5306" w:rsidP="00EC5306">
      <w:pPr>
        <w:pStyle w:val="Ttulo1"/>
        <w:numPr>
          <w:ilvl w:val="0"/>
          <w:numId w:val="0"/>
        </w:numPr>
      </w:pPr>
      <w:bookmarkStart w:id="0" w:name="_Toc37670444"/>
      <w:bookmarkStart w:id="1" w:name="_Toc132639499"/>
      <w:r>
        <w:lastRenderedPageBreak/>
        <w:t xml:space="preserve">1. </w:t>
      </w:r>
      <w:r w:rsidR="00447AAF" w:rsidRPr="00033E65">
        <w:t>Antecedentes</w:t>
      </w:r>
      <w:bookmarkEnd w:id="0"/>
      <w:bookmarkEnd w:id="1"/>
    </w:p>
    <w:p w14:paraId="0B9C25CC" w14:textId="5C5A0DDD" w:rsidR="00447AAF" w:rsidRPr="00033E65" w:rsidRDefault="00447AAF" w:rsidP="005967E5">
      <w:pPr>
        <w:widowControl w:val="0"/>
        <w:suppressAutoHyphens/>
        <w:autoSpaceDE w:val="0"/>
        <w:autoSpaceDN w:val="0"/>
        <w:adjustRightInd w:val="0"/>
        <w:rPr>
          <w:rFonts w:cs="Arial"/>
          <w:szCs w:val="22"/>
          <w:lang w:val="es-ES" w:eastAsia="zh-CN"/>
        </w:rPr>
      </w:pPr>
      <w:bookmarkStart w:id="2" w:name="_Hlk7170525"/>
      <w:r w:rsidRPr="00033E65">
        <w:rPr>
          <w:rFonts w:cs="Arial"/>
          <w:szCs w:val="22"/>
          <w:lang w:val="es-ES" w:eastAsia="zh-CN"/>
        </w:rPr>
        <w:t xml:space="preserve">El proyecto de Ley que contempla la creación del “Código Procesal Agrario”, el cual fue aprobado bajo Decreto Legislativo 9609 el 27 de febrero del 2019, el cual entra en vigencia un año después de su publicación en el Diario Oficial La Gaceta. </w:t>
      </w:r>
      <w:bookmarkEnd w:id="2"/>
    </w:p>
    <w:p w14:paraId="0062A80E" w14:textId="065F6C3A" w:rsidR="00447AAF" w:rsidRPr="00033E65" w:rsidRDefault="00447AAF" w:rsidP="005967E5">
      <w:pPr>
        <w:widowControl w:val="0"/>
        <w:suppressAutoHyphens/>
        <w:autoSpaceDE w:val="0"/>
        <w:autoSpaceDN w:val="0"/>
        <w:adjustRightInd w:val="0"/>
        <w:rPr>
          <w:rFonts w:cs="Arial"/>
          <w:szCs w:val="22"/>
          <w:lang w:val="es-ES" w:eastAsia="zh-CN"/>
        </w:rPr>
      </w:pPr>
      <w:r w:rsidRPr="00033E65">
        <w:rPr>
          <w:rFonts w:cs="Arial"/>
          <w:szCs w:val="22"/>
          <w:lang w:val="es-ES" w:eastAsia="zh-CN"/>
        </w:rPr>
        <w:t>El proyecto se tramitó en la Asamblea Legislativa bajo el expediente legislativo 15.887, fue dictaminado por la Comisión Permanente de Asuntos Jurídicos el 11 de junio del 2013.</w:t>
      </w:r>
    </w:p>
    <w:p w14:paraId="63D5C340" w14:textId="77777777" w:rsidR="00447AAF" w:rsidRPr="00033E65" w:rsidRDefault="00447AAF" w:rsidP="005967E5">
      <w:pPr>
        <w:widowControl w:val="0"/>
        <w:suppressAutoHyphens/>
        <w:autoSpaceDE w:val="0"/>
        <w:autoSpaceDN w:val="0"/>
        <w:adjustRightInd w:val="0"/>
        <w:rPr>
          <w:rFonts w:cs="Arial"/>
          <w:szCs w:val="22"/>
          <w:lang w:val="es-ES" w:eastAsia="zh-CN"/>
        </w:rPr>
      </w:pPr>
      <w:r w:rsidRPr="00033E65">
        <w:rPr>
          <w:rFonts w:cs="Arial"/>
          <w:szCs w:val="22"/>
          <w:lang w:val="es-ES" w:eastAsia="zh-CN"/>
        </w:rPr>
        <w:t>El Código Procesal Agrario impulsa una reforma basada en la oralidad por audiencias que elimina las limitaciones actuales de la Ley de Jurisdicción Agraria, la cual establece un modelo procesal verbal y no desecha los beneficios de la escritura en etapas en las que ésta es fundamental, como lo son la interposición de la demanda, la contestación, la contrademanda y la réplica, en los supuestos en los que estas dos últimas proceden. Sin embargo, no mantiene el sistema tradicional, sino que facilita el trámite virtual de tales gestiones y la gestión en línea para que las personas usuarias tengan acceso a sistemas informáticos, garantizando así, economía y celeridad a las partes.</w:t>
      </w:r>
    </w:p>
    <w:p w14:paraId="1AB067DD" w14:textId="1B2BC190" w:rsidR="00447AAF" w:rsidRPr="00033E65" w:rsidRDefault="00447AAF" w:rsidP="005967E5">
      <w:pPr>
        <w:widowControl w:val="0"/>
        <w:suppressAutoHyphens/>
        <w:autoSpaceDE w:val="0"/>
        <w:autoSpaceDN w:val="0"/>
        <w:adjustRightInd w:val="0"/>
        <w:rPr>
          <w:rFonts w:cs="Arial"/>
          <w:szCs w:val="22"/>
          <w:lang w:val="es-ES" w:eastAsia="zh-CN"/>
        </w:rPr>
      </w:pPr>
      <w:bookmarkStart w:id="3" w:name="_Hlk3994674"/>
      <w:r w:rsidRPr="00033E65">
        <w:rPr>
          <w:rFonts w:cs="Arial"/>
          <w:szCs w:val="22"/>
          <w:lang w:val="es-ES" w:eastAsia="zh-CN"/>
        </w:rPr>
        <w:t xml:space="preserve">Por lo anterior, </w:t>
      </w:r>
      <w:bookmarkEnd w:id="3"/>
      <w:r w:rsidRPr="00033E65">
        <w:rPr>
          <w:rFonts w:cs="Arial"/>
          <w:szCs w:val="22"/>
          <w:lang w:val="es-ES" w:eastAsia="zh-CN"/>
        </w:rPr>
        <w:t>surge la necesidad de analizar los posibles cambios que implicaría a nivel de estructura organizativa de los despachos y oficinas del Poder Judicial, así como lo</w:t>
      </w:r>
      <w:r w:rsidR="009403A2" w:rsidRPr="00033E65">
        <w:rPr>
          <w:rFonts w:cs="Arial"/>
          <w:szCs w:val="22"/>
          <w:lang w:val="es-ES" w:eastAsia="zh-CN"/>
        </w:rPr>
        <w:t>s costos presupuestarios en 2022</w:t>
      </w:r>
      <w:r w:rsidRPr="00033E65">
        <w:rPr>
          <w:rFonts w:cs="Arial"/>
          <w:szCs w:val="22"/>
          <w:lang w:val="es-ES" w:eastAsia="zh-CN"/>
        </w:rPr>
        <w:t xml:space="preserve"> para su debida implementación.</w:t>
      </w:r>
    </w:p>
    <w:p w14:paraId="7C8D4393" w14:textId="77777777" w:rsidR="00447AAF" w:rsidRPr="00033E65" w:rsidRDefault="00447AAF" w:rsidP="005967E5">
      <w:pPr>
        <w:widowControl w:val="0"/>
        <w:suppressAutoHyphens/>
        <w:autoSpaceDE w:val="0"/>
        <w:autoSpaceDN w:val="0"/>
        <w:adjustRightInd w:val="0"/>
        <w:rPr>
          <w:rFonts w:cs="Arial"/>
          <w:szCs w:val="22"/>
          <w:lang w:val="es-ES" w:eastAsia="zh-CN"/>
        </w:rPr>
      </w:pPr>
      <w:bookmarkStart w:id="4" w:name="_Hlk518567303"/>
      <w:r w:rsidRPr="00033E65">
        <w:rPr>
          <w:rFonts w:cs="Arial"/>
          <w:szCs w:val="22"/>
          <w:lang w:val="es-ES" w:eastAsia="zh-CN"/>
        </w:rPr>
        <w:t>El estudio 27-PLA-MI-2017, el cual fue remitido al Consejo Superior, conocido y aprobado en la sesión 39-17 (Presupuesto 2018), celebrada el 26 de abril de 2017, artículo IV, así como las reconsideraciones planteadas en la sesión extraordinaria 43-17, celebrada el 05 de mayo de 2017 del Consejo Superior del Poder Judicial, que se citan a continuación:</w:t>
      </w:r>
    </w:p>
    <w:p w14:paraId="52666ABE" w14:textId="1131C4F0" w:rsidR="00447AAF" w:rsidRPr="00033E65" w:rsidRDefault="00447AAF" w:rsidP="005967E5">
      <w:pPr>
        <w:numPr>
          <w:ilvl w:val="0"/>
          <w:numId w:val="1"/>
        </w:numPr>
        <w:ind w:left="714" w:hanging="357"/>
      </w:pPr>
      <w:r w:rsidRPr="00033E65">
        <w:rPr>
          <w:b/>
          <w:bCs/>
        </w:rPr>
        <w:t xml:space="preserve">Artículo VIII: </w:t>
      </w:r>
      <w:r w:rsidRPr="00033E65">
        <w:t xml:space="preserve">se acoge la reconsideración presentada </w:t>
      </w:r>
      <w:r w:rsidR="001D1871" w:rsidRPr="00033E65">
        <w:t>y,</w:t>
      </w:r>
      <w:r w:rsidRPr="00033E65">
        <w:t xml:space="preserve"> en consecuencia, se modifica la recomendación “13.4”, del informe 27-PLA-MI-2017 del Proyecto de Ley denominado Código Procesal Agrario, por lo </w:t>
      </w:r>
      <w:r w:rsidR="001D1871" w:rsidRPr="00033E65">
        <w:t>tanto,</w:t>
      </w:r>
      <w:r w:rsidRPr="00033E65">
        <w:t xml:space="preserve"> se contará con cinco plazas extraordinarias de Defensora o Defensor Público, para que realice las funciones de suplencia, contraparte y de curador procesal, según las nuevas labores que le delega el Código Procesal Agrario. </w:t>
      </w:r>
    </w:p>
    <w:p w14:paraId="3E19DD1B" w14:textId="77777777" w:rsidR="00447AAF" w:rsidRPr="00033E65" w:rsidRDefault="00447AAF" w:rsidP="005967E5">
      <w:pPr>
        <w:numPr>
          <w:ilvl w:val="0"/>
          <w:numId w:val="1"/>
        </w:numPr>
        <w:ind w:left="714" w:hanging="357"/>
      </w:pPr>
      <w:r w:rsidRPr="00033E65">
        <w:rPr>
          <w:b/>
          <w:bCs/>
        </w:rPr>
        <w:t>Artículo IX:</w:t>
      </w:r>
      <w:r w:rsidRPr="00033E65">
        <w:t xml:space="preserve"> se acoge la reconsideración presentada y se modifica lo dispuesto en la sesión extraordinaria 39-17 (Presupuesto 2018) celebrada el 26 de abril de 2017, artículo IV, en consecuencia, la plaza aprobada en forma extraordinaria para el Tribunal Agrario de Técnica o Técnico Judicial 2 será de categoría “3”.</w:t>
      </w:r>
    </w:p>
    <w:p w14:paraId="014425BC" w14:textId="69B72F85" w:rsidR="00447AAF" w:rsidRPr="00033E65" w:rsidRDefault="00447AAF" w:rsidP="005967E5">
      <w:pPr>
        <w:numPr>
          <w:ilvl w:val="0"/>
          <w:numId w:val="1"/>
        </w:numPr>
        <w:ind w:left="714" w:hanging="357"/>
      </w:pPr>
      <w:r w:rsidRPr="00033E65">
        <w:rPr>
          <w:b/>
          <w:bCs/>
        </w:rPr>
        <w:t>Artículo XI:</w:t>
      </w:r>
      <w:r w:rsidRPr="00033E65">
        <w:t xml:space="preserve"> se autoriza la creación de dos plazas extraordinarias de </w:t>
      </w:r>
      <w:r w:rsidR="002479E3" w:rsidRPr="00033E65">
        <w:t>Jueza o Juez</w:t>
      </w:r>
      <w:r w:rsidRPr="00033E65">
        <w:t xml:space="preserve"> categoría 3 del escalafón de agrario para la atención en forma itinerante de la etapa de ejecución de los procesos agrarios ubicadas en el Centro de Apoyo a la Función Jurisdiccional, debiendo ser utilizadas en otras necesidades para cubrir su carga de trabajo si se llegará a requerir.</w:t>
      </w:r>
    </w:p>
    <w:p w14:paraId="2E68575E" w14:textId="67A20EB0" w:rsidR="00447AAF" w:rsidRPr="00033E65" w:rsidRDefault="00447AAF" w:rsidP="005967E5">
      <w:pPr>
        <w:widowControl w:val="0"/>
        <w:suppressAutoHyphens/>
        <w:autoSpaceDE w:val="0"/>
        <w:autoSpaceDN w:val="0"/>
        <w:adjustRightInd w:val="0"/>
        <w:rPr>
          <w:rFonts w:cs="Arial"/>
          <w:szCs w:val="22"/>
          <w:lang w:val="es-ES" w:eastAsia="zh-CN"/>
        </w:rPr>
      </w:pPr>
      <w:r w:rsidRPr="00033E65">
        <w:rPr>
          <w:rFonts w:cs="Arial"/>
          <w:szCs w:val="22"/>
          <w:lang w:val="es-ES" w:eastAsia="zh-CN"/>
        </w:rPr>
        <w:t>Sin embargo, en ese momento al no considerarse como Ley aprobada, la Corte Plena dispuso no incluir recursos como parte del anteproyecto de presupuesto del Poder Judicial para el 2018.</w:t>
      </w:r>
    </w:p>
    <w:p w14:paraId="73EC8238" w14:textId="0375E887" w:rsidR="00447AAF" w:rsidRPr="00033E65" w:rsidRDefault="00447AAF" w:rsidP="005967E5">
      <w:pPr>
        <w:widowControl w:val="0"/>
        <w:suppressAutoHyphens/>
        <w:autoSpaceDE w:val="0"/>
        <w:autoSpaceDN w:val="0"/>
        <w:adjustRightInd w:val="0"/>
        <w:rPr>
          <w:rFonts w:cs="Arial"/>
          <w:szCs w:val="22"/>
          <w:lang w:val="es-ES" w:eastAsia="zh-CN"/>
        </w:rPr>
      </w:pPr>
      <w:r w:rsidRPr="00033E65">
        <w:rPr>
          <w:rFonts w:cs="Arial"/>
          <w:szCs w:val="22"/>
          <w:lang w:val="es-ES" w:eastAsia="zh-CN"/>
        </w:rPr>
        <w:lastRenderedPageBreak/>
        <w:t>En el Informe 27-PLA-MI-2017, del 26 de abril del 2017, relac</w:t>
      </w:r>
      <w:r w:rsidR="00BB1B91" w:rsidRPr="00033E65">
        <w:rPr>
          <w:rFonts w:cs="Arial"/>
          <w:szCs w:val="22"/>
          <w:lang w:val="es-ES" w:eastAsia="zh-CN"/>
        </w:rPr>
        <w:t>ionado con el Impacto Organizacional y P</w:t>
      </w:r>
      <w:r w:rsidRPr="00033E65">
        <w:rPr>
          <w:rFonts w:cs="Arial"/>
          <w:szCs w:val="22"/>
          <w:lang w:val="es-ES" w:eastAsia="zh-CN"/>
        </w:rPr>
        <w:t xml:space="preserve">resupuestario en el Poder Judicial ante la posible aprobación en ese momento del Proyecto de Ley denominado Código Procesal de Agrario, en el cual se determina la necesidad de asignar 7 plazas ordinarias de Defensora o Defensor Público para garantizar al menos un profesional por cada Juzgado Agrario y 5 plazas extraordinarias de Defensora o Defensor Público, para que realice las funciones de suplencia, contraparte y de curador procesal, según las nuevas labores que le delega el Código Procesal Agrario. Estas últimas plazas destacadas, en Liberia, San Ramón, San José, </w:t>
      </w:r>
      <w:r w:rsidR="00245C01" w:rsidRPr="00033E65">
        <w:rPr>
          <w:rFonts w:cs="Arial"/>
          <w:szCs w:val="22"/>
          <w:lang w:val="es-ES" w:eastAsia="zh-CN"/>
        </w:rPr>
        <w:t>Pococí</w:t>
      </w:r>
      <w:r w:rsidRPr="00033E65">
        <w:rPr>
          <w:rFonts w:cs="Arial"/>
          <w:szCs w:val="22"/>
          <w:lang w:val="es-ES" w:eastAsia="zh-CN"/>
        </w:rPr>
        <w:t xml:space="preserve"> y Corredores.</w:t>
      </w:r>
    </w:p>
    <w:p w14:paraId="534C9837" w14:textId="77777777" w:rsidR="00447AAF" w:rsidRPr="00033E65" w:rsidRDefault="00447AAF" w:rsidP="005967E5">
      <w:pPr>
        <w:widowControl w:val="0"/>
        <w:suppressAutoHyphens/>
        <w:autoSpaceDE w:val="0"/>
        <w:autoSpaceDN w:val="0"/>
        <w:adjustRightInd w:val="0"/>
        <w:rPr>
          <w:rFonts w:cs="Arial"/>
          <w:szCs w:val="22"/>
          <w:lang w:val="es-ES" w:eastAsia="zh-CN"/>
        </w:rPr>
      </w:pPr>
      <w:r w:rsidRPr="00033E65">
        <w:rPr>
          <w:rFonts w:cs="Arial"/>
          <w:szCs w:val="22"/>
          <w:lang w:val="es-ES" w:eastAsia="zh-CN"/>
        </w:rPr>
        <w:t>El oficio 7550-17 acuerdo tomado por la Corte Plena, en la sesión N° 15-17 celebrada el 31 de mayo del año 2017, se adiciona dos recursos extraordinarios para materia Agraria, quedando un total de siete plazas extraordinarias de Defensora o Defensor Público</w:t>
      </w:r>
    </w:p>
    <w:p w14:paraId="3C784D92" w14:textId="77777777" w:rsidR="00447AAF" w:rsidRPr="00033E65" w:rsidRDefault="00447AAF" w:rsidP="005967E5">
      <w:pPr>
        <w:widowControl w:val="0"/>
        <w:suppressAutoHyphens/>
        <w:autoSpaceDE w:val="0"/>
        <w:autoSpaceDN w:val="0"/>
        <w:adjustRightInd w:val="0"/>
        <w:rPr>
          <w:rFonts w:cs="Arial"/>
          <w:szCs w:val="22"/>
          <w:lang w:val="es-ES" w:eastAsia="zh-CN"/>
        </w:rPr>
      </w:pPr>
      <w:r w:rsidRPr="00033E65">
        <w:rPr>
          <w:rFonts w:cs="Arial"/>
          <w:szCs w:val="22"/>
          <w:lang w:val="es-ES" w:eastAsia="zh-CN"/>
        </w:rPr>
        <w:t>En el informe 20-PLA-OI-2018 realizado por la Dirección de Planificación el 16 de marzo del 2018, relacionado con el Análisis de las Plazas Nuevas aprobadas por Corte Plena para apoyar la Materia Agraria (Tribunal y Defesa Pública Agraria), se emite la recomendación de las 7 plazas extraordinarias para la Atención de materia Agraria, por todo el período 2018 en apoyo del plan de descongestionamiento del Tribunal Agrario. Se estima la continuidad de las plazas de Defensores para el período 2019.</w:t>
      </w:r>
    </w:p>
    <w:bookmarkEnd w:id="4"/>
    <w:p w14:paraId="6E44C0D7" w14:textId="77777777" w:rsidR="00447AAF" w:rsidRPr="00033E65" w:rsidRDefault="00447AAF" w:rsidP="005967E5">
      <w:pPr>
        <w:widowControl w:val="0"/>
        <w:suppressAutoHyphens/>
        <w:autoSpaceDE w:val="0"/>
        <w:autoSpaceDN w:val="0"/>
        <w:adjustRightInd w:val="0"/>
        <w:rPr>
          <w:rFonts w:cs="Arial"/>
          <w:szCs w:val="22"/>
          <w:lang w:val="es-ES" w:eastAsia="zh-CN"/>
        </w:rPr>
      </w:pPr>
      <w:r w:rsidRPr="00033E65">
        <w:rPr>
          <w:rFonts w:cs="Arial"/>
          <w:szCs w:val="22"/>
          <w:lang w:val="es-ES" w:eastAsia="zh-CN"/>
        </w:rPr>
        <w:t>Posteriormente, se tiene el informe 820-PLA-2018, de la Dirección de Planificación que contienen el informe 193-MI-2018-B que contiene el estudio y estimación del posible costo que representa la implementación del Código Procesal Agrario, así como de las posibles fuentes de financiamiento; enviado a la Magistrada Carmen María Escoto Fernández, Presidenta en Ejercicio de la Corte Suprema de Justicia, el 19 de julio del 2018.</w:t>
      </w:r>
    </w:p>
    <w:p w14:paraId="5EA6DA09" w14:textId="77777777" w:rsidR="00447AAF" w:rsidRPr="00033E65" w:rsidRDefault="00447AAF" w:rsidP="005967E5">
      <w:pPr>
        <w:widowControl w:val="0"/>
        <w:suppressAutoHyphens/>
        <w:autoSpaceDE w:val="0"/>
        <w:autoSpaceDN w:val="0"/>
        <w:adjustRightInd w:val="0"/>
        <w:rPr>
          <w:rFonts w:cs="Arial"/>
          <w:szCs w:val="22"/>
          <w:lang w:val="es-ES" w:eastAsia="zh-CN"/>
        </w:rPr>
      </w:pPr>
      <w:r w:rsidRPr="00033E65">
        <w:rPr>
          <w:rFonts w:cs="Arial"/>
          <w:szCs w:val="22"/>
          <w:lang w:val="es-ES" w:eastAsia="zh-CN"/>
        </w:rPr>
        <w:t>En el oficio 0292-P-2018, de la Presidencia de la Corte Suprema de Justicia relacionado con el informe emitido por la Dirección de Planificación respecto a los escenarios sobre la posible implementación del Código Procesal Agrario; enviado a la Señora Carolina Hidalgo Herrera, Presidenta de la Asamblea Legislativa el 19 de julio de 2018.</w:t>
      </w:r>
    </w:p>
    <w:p w14:paraId="420774B2" w14:textId="77777777" w:rsidR="00447AAF" w:rsidRPr="00033E65" w:rsidRDefault="00447AAF" w:rsidP="005967E5">
      <w:pPr>
        <w:widowControl w:val="0"/>
        <w:suppressAutoHyphens/>
        <w:autoSpaceDE w:val="0"/>
        <w:autoSpaceDN w:val="0"/>
        <w:adjustRightInd w:val="0"/>
        <w:rPr>
          <w:rFonts w:cs="Arial"/>
          <w:szCs w:val="22"/>
          <w:u w:val="single"/>
          <w:lang w:val="es-ES" w:eastAsia="zh-CN"/>
        </w:rPr>
      </w:pPr>
      <w:r w:rsidRPr="00033E65">
        <w:rPr>
          <w:rFonts w:cs="Arial"/>
          <w:szCs w:val="22"/>
          <w:lang w:val="es-ES" w:eastAsia="zh-CN"/>
        </w:rPr>
        <w:t>En la sesión extraordinaria 47-19 (Presupuesto 2020), celebrada el 23 de mayo del año 2020, “artículo VIII, oficio 102-</w:t>
      </w:r>
      <w:r w:rsidRPr="00033E65">
        <w:rPr>
          <w:rFonts w:cs="Arial"/>
          <w:szCs w:val="22"/>
          <w:lang w:val="es-ES" w:eastAsia="zh-CN"/>
        </w:rPr>
        <w:softHyphen/>
        <w:t xml:space="preserve">CSP-19, se conoce el consolidado de las plazas aprobadas para el 2020 por el Consejo Superior, propuestas en el informe 634-PLA-RH-MI-2019, donde las plazas extraordinarias de Defensora o Defensor Público se trasladan a plazas Ordinarias. </w:t>
      </w:r>
    </w:p>
    <w:p w14:paraId="331499F2" w14:textId="429DF27F" w:rsidR="00447AAF" w:rsidRPr="00033E65" w:rsidRDefault="00447AAF" w:rsidP="005967E5">
      <w:pPr>
        <w:widowControl w:val="0"/>
        <w:suppressAutoHyphens/>
        <w:autoSpaceDE w:val="0"/>
        <w:autoSpaceDN w:val="0"/>
        <w:adjustRightInd w:val="0"/>
        <w:rPr>
          <w:rFonts w:cs="Arial"/>
          <w:szCs w:val="22"/>
          <w:lang w:val="es-ES" w:eastAsia="zh-CN"/>
        </w:rPr>
      </w:pPr>
      <w:r w:rsidRPr="00033E65">
        <w:rPr>
          <w:rFonts w:cs="Arial"/>
          <w:szCs w:val="22"/>
          <w:lang w:val="es-ES" w:eastAsia="zh-CN"/>
        </w:rPr>
        <w:t>En sesión extraordinaria del Consejo Superior 44-19 (Presupuesto 2019), celebrada el 16 de mayo del 2019, se conoce el informe 630-PLA-RH-MI-2019 y se acuerda:</w:t>
      </w:r>
    </w:p>
    <w:p w14:paraId="3862A51E" w14:textId="406CC04A" w:rsidR="00447AAF" w:rsidRPr="00033E65" w:rsidRDefault="00447AAF" w:rsidP="005967E5">
      <w:pPr>
        <w:ind w:left="426" w:right="474"/>
        <w:rPr>
          <w:rFonts w:cs="Arial"/>
          <w:i/>
          <w:iCs/>
          <w:szCs w:val="22"/>
          <w:lang w:val="es-ES" w:eastAsia="zh-CN"/>
        </w:rPr>
      </w:pPr>
      <w:r w:rsidRPr="00033E65">
        <w:rPr>
          <w:rFonts w:cs="Arial"/>
          <w:i/>
          <w:iCs/>
          <w:szCs w:val="22"/>
          <w:lang w:val="es-ES" w:eastAsia="zh-CN"/>
        </w:rPr>
        <w:t xml:space="preserve">“…1) Aprobar el informe 630-PLA-RH-MI-2019 y sus recomendaciones, excepto la recomendación 5.1 que corresponde a una plaza de Técnico Administrativo 2, ya que se deberá atender la labor con recursos ordinarios de la Defensa Pública, específicamente con recurso que se brindó para administrar los recursos del Fondo de Materia Laboral para lo cual también deberá contar con la colaboración del Departamento de Financiero Contable. Lo anterior, ya que es necesario esperar a visibilizar el impacto real de la carga de trabajo; producto de la entrada en vigencia de la reforma procesal agraria. 2) Adicionar en el anteproyecto de presupuesto para los temas de capacitación: a) 100millones para sustituciones, b) los recursos que se requieran para el pago viáticos a las personas que se </w:t>
      </w:r>
      <w:r w:rsidRPr="00033E65">
        <w:rPr>
          <w:rFonts w:cs="Arial"/>
          <w:i/>
          <w:iCs/>
          <w:szCs w:val="22"/>
          <w:lang w:val="es-ES" w:eastAsia="zh-CN"/>
        </w:rPr>
        <w:lastRenderedPageBreak/>
        <w:t>capacitan, c) el recurso humano necesario administrativo que se requiera para organizar la capacitación lo deberá cubrir la Escuela Judicial con su personal ordinario…”</w:t>
      </w:r>
      <w:r w:rsidR="00AD0453" w:rsidRPr="00033E65">
        <w:rPr>
          <w:rFonts w:cs="Arial"/>
          <w:i/>
          <w:iCs/>
          <w:szCs w:val="22"/>
          <w:lang w:val="es-ES" w:eastAsia="zh-CN"/>
        </w:rPr>
        <w:t>.</w:t>
      </w:r>
    </w:p>
    <w:p w14:paraId="3B653F53" w14:textId="77777777" w:rsidR="00447AAF" w:rsidRPr="00033E65" w:rsidRDefault="00447AAF" w:rsidP="005967E5">
      <w:pPr>
        <w:widowControl w:val="0"/>
        <w:suppressAutoHyphens/>
        <w:autoSpaceDE w:val="0"/>
        <w:autoSpaceDN w:val="0"/>
        <w:adjustRightInd w:val="0"/>
        <w:rPr>
          <w:rFonts w:cs="Arial"/>
          <w:szCs w:val="22"/>
          <w:lang w:val="es-ES" w:eastAsia="zh-CN"/>
        </w:rPr>
      </w:pPr>
    </w:p>
    <w:p w14:paraId="363B1B4F" w14:textId="77777777" w:rsidR="00447AAF" w:rsidRPr="00033E65" w:rsidRDefault="00447AAF" w:rsidP="005967E5">
      <w:pPr>
        <w:widowControl w:val="0"/>
        <w:suppressAutoHyphens/>
        <w:autoSpaceDE w:val="0"/>
        <w:autoSpaceDN w:val="0"/>
        <w:adjustRightInd w:val="0"/>
        <w:rPr>
          <w:rFonts w:cs="Arial"/>
          <w:szCs w:val="22"/>
          <w:lang w:val="es-ES" w:eastAsia="zh-CN"/>
        </w:rPr>
      </w:pPr>
      <w:r w:rsidRPr="00033E65">
        <w:rPr>
          <w:rFonts w:cs="Arial"/>
          <w:szCs w:val="22"/>
          <w:lang w:val="es-ES" w:eastAsia="zh-CN"/>
        </w:rPr>
        <w:t xml:space="preserve">El acuerdo anterior fue comunicado mediante oficio 73-CSP-19, del 17 de mayo del 2019 de la Secretaría de la Corte.  </w:t>
      </w:r>
    </w:p>
    <w:p w14:paraId="14937C78" w14:textId="77777777" w:rsidR="00447AAF" w:rsidRPr="00033E65" w:rsidRDefault="00447AAF" w:rsidP="005967E5">
      <w:pPr>
        <w:widowControl w:val="0"/>
        <w:suppressAutoHyphens/>
        <w:autoSpaceDE w:val="0"/>
        <w:autoSpaceDN w:val="0"/>
        <w:adjustRightInd w:val="0"/>
        <w:rPr>
          <w:rFonts w:cs="Arial"/>
          <w:szCs w:val="22"/>
          <w:lang w:val="es-ES" w:eastAsia="zh-CN"/>
        </w:rPr>
      </w:pPr>
      <w:r w:rsidRPr="00033E65">
        <w:rPr>
          <w:rFonts w:cs="Arial"/>
          <w:szCs w:val="22"/>
          <w:lang w:val="es-ES" w:eastAsia="zh-CN"/>
        </w:rPr>
        <w:t xml:space="preserve">De lo anterior se recibieron reconsideraciones, por parte del Tribunal Agrario, mediante correo electrónico del 21 de mayo del 2019, del Centro de Apoyo Coordinación y Mejoramiento de la Función Jurisdiccional mediante oficio 229-CACMFJ-JEF-2019, por parte de un equipo de Juezas y Jueces Agrarios mediante correo electrónico del 22 de mayo del 2019 y la Escuela Judicial mediante oficio 040-CD-2019.  </w:t>
      </w:r>
    </w:p>
    <w:p w14:paraId="791AC81B" w14:textId="27199BAB" w:rsidR="00447AAF" w:rsidRPr="00033E65" w:rsidRDefault="00447AAF" w:rsidP="005967E5">
      <w:pPr>
        <w:widowControl w:val="0"/>
        <w:suppressAutoHyphens/>
        <w:autoSpaceDE w:val="0"/>
        <w:autoSpaceDN w:val="0"/>
        <w:adjustRightInd w:val="0"/>
        <w:rPr>
          <w:rFonts w:cs="Arial"/>
          <w:szCs w:val="22"/>
          <w:lang w:val="es-ES" w:eastAsia="zh-CN"/>
        </w:rPr>
      </w:pPr>
      <w:r w:rsidRPr="00033E65">
        <w:rPr>
          <w:rFonts w:cs="Arial"/>
          <w:szCs w:val="22"/>
          <w:lang w:val="es-ES" w:eastAsia="zh-CN"/>
        </w:rPr>
        <w:t>La Dirección de Planificación emite oficio de respuestas a las reconsideraciones planteadas por el Tribunal Agrario, el Centro de Apoyo Coordinación y Mejoramiento de la Función Jurisdiccional, el equipo de Juezas y Jueces Agrarios y la Escuela Judicial</w:t>
      </w:r>
      <w:r w:rsidR="00AD0453" w:rsidRPr="00033E65">
        <w:rPr>
          <w:rFonts w:cs="Arial"/>
          <w:szCs w:val="22"/>
          <w:lang w:val="es-ES" w:eastAsia="zh-CN"/>
        </w:rPr>
        <w:t>.</w:t>
      </w:r>
      <w:r w:rsidRPr="00033E65">
        <w:rPr>
          <w:rFonts w:cs="Arial"/>
          <w:szCs w:val="22"/>
          <w:lang w:val="es-ES" w:eastAsia="zh-CN"/>
        </w:rPr>
        <w:t xml:space="preserve"> </w:t>
      </w:r>
    </w:p>
    <w:p w14:paraId="137B9CB6" w14:textId="1C75BF39" w:rsidR="00447AAF" w:rsidRPr="00033E65" w:rsidRDefault="00447AAF" w:rsidP="005967E5">
      <w:pPr>
        <w:widowControl w:val="0"/>
        <w:suppressAutoHyphens/>
        <w:autoSpaceDE w:val="0"/>
        <w:autoSpaceDN w:val="0"/>
        <w:adjustRightInd w:val="0"/>
        <w:rPr>
          <w:rFonts w:cs="Arial"/>
          <w:szCs w:val="22"/>
          <w:lang w:val="es-ES" w:eastAsia="zh-CN"/>
        </w:rPr>
      </w:pPr>
      <w:bookmarkStart w:id="5" w:name="_Hlk31016348"/>
      <w:r w:rsidRPr="00033E65">
        <w:rPr>
          <w:rFonts w:cs="Arial"/>
          <w:szCs w:val="22"/>
          <w:lang w:val="es-ES" w:eastAsia="zh-CN"/>
        </w:rPr>
        <w:t xml:space="preserve">En sesión extraordinaria del Consejo Superior 47-19 (Presupuesto 2020) artículo XX, celebrada el 23 de mayo del </w:t>
      </w:r>
      <w:bookmarkEnd w:id="5"/>
      <w:r w:rsidRPr="00033E65">
        <w:rPr>
          <w:rFonts w:cs="Arial"/>
          <w:szCs w:val="22"/>
          <w:lang w:val="es-ES" w:eastAsia="zh-CN"/>
        </w:rPr>
        <w:t xml:space="preserve">2019, se conoce la reconsideración planteada mediante correo electrónico del 21 mayo de 2019, Antonio Darcia Carranza, Juez Coordinador del Tribunal Agrario, se dispuso: </w:t>
      </w:r>
    </w:p>
    <w:p w14:paraId="0837B0FC" w14:textId="61752E3C" w:rsidR="00447AAF" w:rsidRPr="00033E65" w:rsidRDefault="00447AAF" w:rsidP="005967E5">
      <w:pPr>
        <w:widowControl w:val="0"/>
        <w:suppressAutoHyphens/>
        <w:autoSpaceDE w:val="0"/>
        <w:autoSpaceDN w:val="0"/>
        <w:adjustRightInd w:val="0"/>
        <w:ind w:left="426" w:right="474"/>
        <w:rPr>
          <w:rFonts w:cs="Arial"/>
          <w:i/>
          <w:iCs/>
          <w:szCs w:val="22"/>
          <w:lang w:val="es-ES" w:eastAsia="zh-CN"/>
        </w:rPr>
      </w:pPr>
      <w:r w:rsidRPr="00033E65">
        <w:rPr>
          <w:rFonts w:cs="Arial"/>
          <w:i/>
          <w:iCs/>
          <w:szCs w:val="22"/>
          <w:lang w:val="es-ES" w:eastAsia="zh-CN"/>
        </w:rPr>
        <w:t>“…Se acordó: Aprobar las recomendaciones de la Dirección de Planificación y en consecuencia mantener lo dispuesto por el Consejo Superior en la sesión extraordinaria 44-19 (Presupuesto 2020) celebrada el 16 de mayo de 2019, artículo I…”</w:t>
      </w:r>
      <w:r w:rsidR="00AD0453" w:rsidRPr="00033E65">
        <w:rPr>
          <w:rFonts w:cs="Arial"/>
          <w:i/>
          <w:iCs/>
          <w:szCs w:val="22"/>
          <w:lang w:val="es-ES" w:eastAsia="zh-CN"/>
        </w:rPr>
        <w:t>.</w:t>
      </w:r>
    </w:p>
    <w:p w14:paraId="677B9E1E" w14:textId="77777777" w:rsidR="00AD0453" w:rsidRPr="00033E65" w:rsidRDefault="00AD0453" w:rsidP="005967E5">
      <w:pPr>
        <w:widowControl w:val="0"/>
        <w:suppressAutoHyphens/>
        <w:autoSpaceDE w:val="0"/>
        <w:autoSpaceDN w:val="0"/>
        <w:adjustRightInd w:val="0"/>
        <w:ind w:left="426" w:right="474"/>
        <w:rPr>
          <w:rFonts w:cs="Arial"/>
          <w:i/>
          <w:iCs/>
          <w:szCs w:val="22"/>
          <w:lang w:val="es-ES" w:eastAsia="zh-CN"/>
        </w:rPr>
      </w:pPr>
    </w:p>
    <w:p w14:paraId="5B8D763B" w14:textId="77777777" w:rsidR="00447AAF" w:rsidRPr="00033E65" w:rsidRDefault="00447AAF" w:rsidP="005967E5">
      <w:pPr>
        <w:widowControl w:val="0"/>
        <w:suppressAutoHyphens/>
        <w:autoSpaceDE w:val="0"/>
        <w:autoSpaceDN w:val="0"/>
        <w:adjustRightInd w:val="0"/>
        <w:rPr>
          <w:rFonts w:cs="Arial"/>
          <w:szCs w:val="22"/>
          <w:lang w:val="es-ES" w:eastAsia="zh-CN"/>
        </w:rPr>
      </w:pPr>
      <w:r w:rsidRPr="00033E65">
        <w:rPr>
          <w:rFonts w:cs="Arial"/>
          <w:szCs w:val="22"/>
          <w:lang w:val="es-ES" w:eastAsia="zh-CN"/>
        </w:rPr>
        <w:t>Las reconsideraciones y respuestas de la Dirección de Planificación, en sesión extraordinaria del Consejo Superior 47-19 artículo XXII, celebrada el 24 de mayo del 2019, donde se aprobó:</w:t>
      </w:r>
    </w:p>
    <w:p w14:paraId="5CFDA899" w14:textId="0C6DDB70" w:rsidR="00447AAF" w:rsidRPr="00033E65" w:rsidRDefault="00447AAF" w:rsidP="005967E5">
      <w:pPr>
        <w:widowControl w:val="0"/>
        <w:suppressAutoHyphens/>
        <w:autoSpaceDE w:val="0"/>
        <w:autoSpaceDN w:val="0"/>
        <w:adjustRightInd w:val="0"/>
        <w:ind w:left="426" w:right="474"/>
        <w:rPr>
          <w:rFonts w:cs="Arial"/>
          <w:i/>
          <w:iCs/>
          <w:szCs w:val="22"/>
          <w:lang w:val="es-ES" w:eastAsia="zh-CN"/>
        </w:rPr>
      </w:pPr>
      <w:r w:rsidRPr="00033E65">
        <w:rPr>
          <w:rFonts w:cs="Arial"/>
          <w:i/>
          <w:iCs/>
          <w:szCs w:val="22"/>
          <w:lang w:val="es-ES" w:eastAsia="zh-CN"/>
        </w:rPr>
        <w:t xml:space="preserve">“…Se acordó:1) Tener por rendidos los argumentos expuestos por la Dirección de Planificación en relación a las reconsideraciones presentadas por las personas Juzgadoras en materia Agraria y el Centro de Apoyo, Coordinación y Mejoramiento de la Función Jurisdicción (CACMFJ). Se aprueba: a- Se debe incorporar en el informe, en la parte de estructura organizacional, la siguiente aclaración: “17 varones y 15 mujeres”, b-La propuesta de cargas de trabajo realizada por las Juezas o Jueces agrarios, en donde se considere la variable género, se deberá remitir directamente al Consejo Superior, por parte del grupo de personas juzgadoras para su análisis respectivo, dentro de las sesiones ordinarias de este Consejo Superior, esto debido al impacto a nivel institucional que pudiese representar la propuesta. c-Las funciones y metodología de trabajo de las Juezas o Jueces agrarios actuales del CACMFJ, deberán mantenerse según su condición laboral, esto por cuanto el traslado de estas plazas al CACMFJ, contemplaba condiciones laborales específicas, por lo que, para reforzar la materia Agraria en planes de descongestionamiento de los diferentes despachos, se debe incorporar al anteproyecto de presupuesto dos plazas de Juez 3 itinerantes con competencia a nivel nacional, de forma extraordinaria, adscritos al CACMFJ, con el perfil competencial dado para este tipo de plaza (Juez 3 Agrario), por un monto adicional de </w:t>
      </w:r>
      <w:r w:rsidRPr="00033E65">
        <w:rPr>
          <w:rFonts w:ascii="Times New Roman" w:hAnsi="Times New Roman"/>
          <w:i/>
          <w:iCs/>
          <w:szCs w:val="22"/>
          <w:lang w:val="es-ES" w:eastAsia="zh-CN"/>
        </w:rPr>
        <w:t>₵</w:t>
      </w:r>
      <w:r w:rsidRPr="00033E65">
        <w:rPr>
          <w:rFonts w:cs="Arial"/>
          <w:i/>
          <w:iCs/>
          <w:szCs w:val="22"/>
          <w:lang w:val="es-ES" w:eastAsia="zh-CN"/>
        </w:rPr>
        <w:t xml:space="preserve">118.078.0968,76. d- La propuesta de equilibrio de cargas de trabajo a nivel nacional, en donde se plantea una posible ampliación de competencia territorial, para </w:t>
      </w:r>
      <w:r w:rsidRPr="00033E65">
        <w:rPr>
          <w:rFonts w:cs="Arial"/>
          <w:i/>
          <w:iCs/>
          <w:szCs w:val="22"/>
          <w:lang w:val="es-ES" w:eastAsia="zh-CN"/>
        </w:rPr>
        <w:lastRenderedPageBreak/>
        <w:t>los despachos que mantienen mayor capacidad instalada en materia agraria, se remite a Corte Plena, como parte del anteproyecto de presupuesto, quién en última instancia es quién tiene la potestad de aprobarlo, se aclara que dicha propuesta para su debida ejecución en caso de aprobarse por Corte Plena deberá proponerse ejecutar mediante un plan de trabajo que deberá contener todas las variables necesarias para su implementación .e- En otros ejercicios presupuestarios de análisis de contenido de impacto de reformas legales no se contempló el rubro de recalificación de puestos a nivel de judicatura, sin embargo, deberá la Dirección de Gestión Humana, como ente técnico responsable realizar el estudio para posteriormente incorporar los recursos en caso de requerirse…”</w:t>
      </w:r>
      <w:r w:rsidR="00AD0453" w:rsidRPr="00033E65">
        <w:rPr>
          <w:rFonts w:cs="Arial"/>
          <w:i/>
          <w:iCs/>
          <w:szCs w:val="22"/>
          <w:lang w:val="es-ES" w:eastAsia="zh-CN"/>
        </w:rPr>
        <w:t>.</w:t>
      </w:r>
    </w:p>
    <w:p w14:paraId="52489AF3" w14:textId="77777777" w:rsidR="00AD0453" w:rsidRPr="00033E65" w:rsidRDefault="00AD0453" w:rsidP="005967E5">
      <w:pPr>
        <w:widowControl w:val="0"/>
        <w:suppressAutoHyphens/>
        <w:autoSpaceDE w:val="0"/>
        <w:autoSpaceDN w:val="0"/>
        <w:adjustRightInd w:val="0"/>
        <w:rPr>
          <w:rFonts w:cs="Arial"/>
          <w:szCs w:val="22"/>
          <w:lang w:val="es-ES" w:eastAsia="zh-CN"/>
        </w:rPr>
      </w:pPr>
    </w:p>
    <w:p w14:paraId="0A39D665" w14:textId="697C6F24" w:rsidR="00447AAF" w:rsidRPr="00033E65" w:rsidRDefault="00447AAF" w:rsidP="005967E5">
      <w:pPr>
        <w:widowControl w:val="0"/>
        <w:suppressAutoHyphens/>
        <w:autoSpaceDE w:val="0"/>
        <w:autoSpaceDN w:val="0"/>
        <w:adjustRightInd w:val="0"/>
        <w:rPr>
          <w:rFonts w:cs="Arial"/>
          <w:szCs w:val="22"/>
          <w:lang w:val="es-ES" w:eastAsia="zh-CN"/>
        </w:rPr>
      </w:pPr>
      <w:r w:rsidRPr="00033E65">
        <w:rPr>
          <w:rFonts w:cs="Arial"/>
          <w:szCs w:val="22"/>
          <w:lang w:val="es-ES" w:eastAsia="zh-CN"/>
        </w:rPr>
        <w:t>Finalmente, en la sesión de Corte Plena 22-19 celebrada el 6 de junio del 2019, artículo VI, se dispuso:</w:t>
      </w:r>
    </w:p>
    <w:p w14:paraId="65C0B3DC" w14:textId="77777777" w:rsidR="00AD0453" w:rsidRPr="00033E65" w:rsidRDefault="00AD0453" w:rsidP="005967E5">
      <w:pPr>
        <w:widowControl w:val="0"/>
        <w:suppressAutoHyphens/>
        <w:autoSpaceDE w:val="0"/>
        <w:autoSpaceDN w:val="0"/>
        <w:adjustRightInd w:val="0"/>
        <w:rPr>
          <w:rFonts w:cs="Arial"/>
          <w:szCs w:val="22"/>
          <w:lang w:val="es-ES" w:eastAsia="zh-CN"/>
        </w:rPr>
      </w:pPr>
    </w:p>
    <w:p w14:paraId="67E287E0" w14:textId="22BE16C9" w:rsidR="00447AAF" w:rsidRPr="00033E65" w:rsidRDefault="00447AAF" w:rsidP="005967E5">
      <w:pPr>
        <w:widowControl w:val="0"/>
        <w:suppressAutoHyphens/>
        <w:autoSpaceDE w:val="0"/>
        <w:autoSpaceDN w:val="0"/>
        <w:adjustRightInd w:val="0"/>
        <w:ind w:left="426" w:right="474"/>
        <w:rPr>
          <w:rFonts w:cs="Arial"/>
          <w:i/>
          <w:iCs/>
          <w:szCs w:val="22"/>
          <w:lang w:val="es-ES" w:eastAsia="zh-CN"/>
        </w:rPr>
      </w:pPr>
      <w:r w:rsidRPr="00033E65">
        <w:rPr>
          <w:rFonts w:cs="Arial"/>
          <w:i/>
          <w:iCs/>
          <w:szCs w:val="22"/>
          <w:lang w:val="es-ES" w:eastAsia="zh-CN"/>
        </w:rPr>
        <w:t>“…Aprobar por separado del Presupuesto del Poder Judicial, el costo de la implementación del Nuevo Código Procesal Agrario en los términos señalados. Así votaron las magistradas y los magistrados Cruz, Solís, Molinari, Aguirre, Sánchez, Olaso, Chacón, Ramírez, Solano, Hernández, Salazar Alvarado, Araya, Aragón Cambronero, León Díaz, Blanco González, Zúñiga Morales, Segura Bonilla, Alfaro Vargas y Chacón Jiménez…”</w:t>
      </w:r>
      <w:r w:rsidR="00AD0453" w:rsidRPr="00033E65">
        <w:rPr>
          <w:rFonts w:cs="Arial"/>
          <w:i/>
          <w:iCs/>
          <w:szCs w:val="22"/>
          <w:lang w:val="es-ES" w:eastAsia="zh-CN"/>
        </w:rPr>
        <w:t>.</w:t>
      </w:r>
    </w:p>
    <w:p w14:paraId="717CE40D" w14:textId="77777777" w:rsidR="00AD0453" w:rsidRPr="00033E65" w:rsidRDefault="00AD0453" w:rsidP="005967E5">
      <w:pPr>
        <w:widowControl w:val="0"/>
        <w:suppressAutoHyphens/>
        <w:autoSpaceDE w:val="0"/>
        <w:autoSpaceDN w:val="0"/>
        <w:adjustRightInd w:val="0"/>
        <w:ind w:left="426" w:right="474"/>
        <w:rPr>
          <w:rFonts w:cs="Arial"/>
          <w:i/>
          <w:iCs/>
          <w:szCs w:val="22"/>
          <w:lang w:val="es-ES" w:eastAsia="zh-CN"/>
        </w:rPr>
      </w:pPr>
    </w:p>
    <w:p w14:paraId="78839C80" w14:textId="0E4CF921" w:rsidR="00447AAF" w:rsidRPr="00033E65" w:rsidRDefault="00447AAF" w:rsidP="005967E5">
      <w:pPr>
        <w:widowControl w:val="0"/>
        <w:suppressAutoHyphens/>
        <w:autoSpaceDE w:val="0"/>
        <w:autoSpaceDN w:val="0"/>
        <w:adjustRightInd w:val="0"/>
        <w:ind w:right="49"/>
        <w:rPr>
          <w:rFonts w:cs="Arial"/>
          <w:szCs w:val="22"/>
          <w:lang w:val="es-ES" w:eastAsia="zh-CN"/>
        </w:rPr>
      </w:pPr>
      <w:r w:rsidRPr="00033E65">
        <w:rPr>
          <w:rFonts w:cs="Arial"/>
          <w:szCs w:val="22"/>
          <w:lang w:val="es-ES" w:eastAsia="zh-CN"/>
        </w:rPr>
        <w:t xml:space="preserve">En sesión de Corte Plena 39-2019 celebrada el 16 de septiembre de 2019, artículo X, se acordó: </w:t>
      </w:r>
    </w:p>
    <w:p w14:paraId="39FE2AE0" w14:textId="77777777" w:rsidR="00AD0453" w:rsidRPr="00033E65" w:rsidRDefault="00AD0453" w:rsidP="005967E5">
      <w:pPr>
        <w:widowControl w:val="0"/>
        <w:suppressAutoHyphens/>
        <w:autoSpaceDE w:val="0"/>
        <w:autoSpaceDN w:val="0"/>
        <w:adjustRightInd w:val="0"/>
        <w:ind w:right="49"/>
        <w:rPr>
          <w:rFonts w:cs="Arial"/>
          <w:szCs w:val="22"/>
          <w:lang w:val="es-ES" w:eastAsia="zh-CN"/>
        </w:rPr>
      </w:pPr>
    </w:p>
    <w:p w14:paraId="6C17CB90" w14:textId="5FE6C55C" w:rsidR="00447AAF" w:rsidRPr="00033E65" w:rsidRDefault="00447AAF" w:rsidP="005967E5">
      <w:pPr>
        <w:widowControl w:val="0"/>
        <w:suppressAutoHyphens/>
        <w:autoSpaceDE w:val="0"/>
        <w:autoSpaceDN w:val="0"/>
        <w:adjustRightInd w:val="0"/>
        <w:ind w:left="426" w:right="474"/>
        <w:rPr>
          <w:rFonts w:cs="Arial"/>
          <w:i/>
          <w:iCs/>
          <w:szCs w:val="22"/>
          <w:lang w:val="es-ES" w:eastAsia="zh-CN"/>
        </w:rPr>
      </w:pPr>
      <w:r w:rsidRPr="00033E65">
        <w:rPr>
          <w:rFonts w:cs="Arial"/>
          <w:i/>
          <w:iCs/>
          <w:szCs w:val="22"/>
          <w:lang w:val="es-ES" w:eastAsia="zh-CN"/>
        </w:rPr>
        <w:t>“…3) Aprobar la solicitud al Poder Ejecutivo en la persona del señor Presidente de la República y de la señora Ministra de Justicia, para que envíe a sesiones extraordinarias de la Asamblea Legislativa, la propuesta de reforma a la ley en que se contemple una vacatio legis de 24 meses para la implementación del Código Procesal Agrario y que su entrada en vigor rija a partir del 27 de febrero de 2021…”</w:t>
      </w:r>
      <w:r w:rsidR="00AD0453" w:rsidRPr="00033E65">
        <w:rPr>
          <w:rFonts w:cs="Arial"/>
          <w:i/>
          <w:iCs/>
          <w:szCs w:val="22"/>
          <w:lang w:val="es-ES" w:eastAsia="zh-CN"/>
        </w:rPr>
        <w:t>.</w:t>
      </w:r>
    </w:p>
    <w:p w14:paraId="332E5455" w14:textId="136608AA" w:rsidR="00AD0453" w:rsidRPr="00033E65" w:rsidRDefault="00AD0453" w:rsidP="005967E5">
      <w:pPr>
        <w:widowControl w:val="0"/>
        <w:suppressAutoHyphens/>
        <w:autoSpaceDE w:val="0"/>
        <w:autoSpaceDN w:val="0"/>
        <w:adjustRightInd w:val="0"/>
        <w:ind w:left="426" w:right="474"/>
        <w:rPr>
          <w:rFonts w:cs="Arial"/>
          <w:i/>
          <w:iCs/>
          <w:szCs w:val="22"/>
          <w:lang w:val="es-ES" w:eastAsia="zh-CN"/>
        </w:rPr>
      </w:pPr>
    </w:p>
    <w:p w14:paraId="67E95742" w14:textId="29903EFE" w:rsidR="00447AAF" w:rsidRPr="00033E65" w:rsidRDefault="00447AAF" w:rsidP="005967E5">
      <w:pPr>
        <w:widowControl w:val="0"/>
        <w:suppressAutoHyphens/>
        <w:autoSpaceDE w:val="0"/>
        <w:autoSpaceDN w:val="0"/>
        <w:adjustRightInd w:val="0"/>
        <w:ind w:right="474"/>
        <w:rPr>
          <w:rFonts w:cs="Arial"/>
          <w:szCs w:val="22"/>
          <w:lang w:val="es-ES" w:eastAsia="zh-CN"/>
        </w:rPr>
      </w:pPr>
      <w:r w:rsidRPr="00033E65">
        <w:rPr>
          <w:rFonts w:cs="Arial"/>
          <w:szCs w:val="22"/>
          <w:lang w:val="es-ES" w:eastAsia="zh-CN"/>
        </w:rPr>
        <w:t xml:space="preserve">En la sesión 6-2020 celebrada el 10 de febrero del 2020, de Corte Plena, artículo XIII, se acordó: </w:t>
      </w:r>
    </w:p>
    <w:p w14:paraId="7DC57A3B" w14:textId="1DCD5C09" w:rsidR="00447AAF" w:rsidRPr="00033E65" w:rsidRDefault="00447AAF" w:rsidP="005967E5">
      <w:pPr>
        <w:ind w:left="709" w:right="616" w:firstLine="708"/>
        <w:rPr>
          <w:i/>
          <w:iCs/>
          <w:szCs w:val="24"/>
        </w:rPr>
      </w:pPr>
      <w:r w:rsidRPr="00033E65">
        <w:rPr>
          <w:i/>
          <w:iCs/>
          <w:szCs w:val="24"/>
          <w:lang w:val="es-ES"/>
        </w:rPr>
        <w:t xml:space="preserve">“…Tener por rendido el informe de la magistrada Vargas, y hacerlo de conocimiento del Departamento de Secretaría del Directorio de la Asamblea Legislativa, en respuesta a la consulta formulada, con la indicación expresa de que el proyecto de ley consultado </w:t>
      </w:r>
      <w:r w:rsidRPr="00033E65">
        <w:rPr>
          <w:i/>
          <w:iCs/>
          <w:szCs w:val="24"/>
        </w:rPr>
        <w:t>incide positivamente en la organización y funcionamiento del Poder Judicial.</w:t>
      </w:r>
    </w:p>
    <w:p w14:paraId="6A507CDD" w14:textId="77777777" w:rsidR="00AD0453" w:rsidRPr="00033E65" w:rsidRDefault="00AD0453" w:rsidP="005967E5">
      <w:pPr>
        <w:ind w:left="709" w:right="616" w:firstLine="708"/>
        <w:rPr>
          <w:i/>
          <w:iCs/>
          <w:szCs w:val="24"/>
          <w:lang w:val="es-ES"/>
        </w:rPr>
      </w:pPr>
    </w:p>
    <w:p w14:paraId="1BEF21EC" w14:textId="77777777" w:rsidR="00447AAF" w:rsidRPr="00033E65" w:rsidRDefault="00447AAF" w:rsidP="005967E5">
      <w:pPr>
        <w:ind w:left="709" w:right="616" w:firstLine="709"/>
        <w:rPr>
          <w:i/>
          <w:iCs/>
          <w:szCs w:val="24"/>
          <w:lang w:val="es-ES"/>
        </w:rPr>
      </w:pPr>
      <w:r w:rsidRPr="00033E65">
        <w:rPr>
          <w:i/>
          <w:iCs/>
          <w:szCs w:val="24"/>
          <w:lang w:val="es-ES"/>
        </w:rPr>
        <w:t xml:space="preserve">El informe es el siguiente: </w:t>
      </w:r>
    </w:p>
    <w:p w14:paraId="3FF51135" w14:textId="77777777" w:rsidR="00447AAF" w:rsidRPr="00033E65" w:rsidRDefault="00447AAF" w:rsidP="005967E5">
      <w:pPr>
        <w:ind w:left="709" w:right="616" w:firstLine="709"/>
        <w:rPr>
          <w:i/>
          <w:iCs/>
          <w:szCs w:val="24"/>
          <w:lang w:val="es-ES"/>
        </w:rPr>
      </w:pPr>
      <w:r w:rsidRPr="00033E65">
        <w:rPr>
          <w:i/>
          <w:iCs/>
          <w:szCs w:val="24"/>
          <w:lang w:val="es-ES"/>
        </w:rPr>
        <w:t>“(…)</w:t>
      </w:r>
    </w:p>
    <w:p w14:paraId="37A1FA1E" w14:textId="3ACA1DD3" w:rsidR="00447AAF" w:rsidRPr="00033E65" w:rsidRDefault="00447AAF" w:rsidP="005967E5">
      <w:pPr>
        <w:ind w:left="709" w:right="616"/>
        <w:rPr>
          <w:i/>
          <w:iCs/>
          <w:szCs w:val="24"/>
        </w:rPr>
      </w:pPr>
      <w:r w:rsidRPr="00033E65">
        <w:rPr>
          <w:i/>
          <w:iCs/>
          <w:szCs w:val="24"/>
        </w:rPr>
        <w:lastRenderedPageBreak/>
        <w:t>“El informe está asociado al texto base del Proyecto de Ley denominado: “Ley para modificar el párrafo segundo del transitorio VI del Código Procesal Agrario Ley No. 9609 de 27 de setiembre de 2018”, Expediente Legislativo N.º 21.746…”</w:t>
      </w:r>
      <w:r w:rsidR="00AD0453" w:rsidRPr="00033E65">
        <w:rPr>
          <w:i/>
          <w:iCs/>
          <w:szCs w:val="24"/>
        </w:rPr>
        <w:t>.</w:t>
      </w:r>
    </w:p>
    <w:p w14:paraId="76E70A7B" w14:textId="77777777" w:rsidR="00AD0453" w:rsidRPr="00033E65" w:rsidRDefault="00AD0453" w:rsidP="005967E5">
      <w:pPr>
        <w:ind w:left="709" w:right="616"/>
        <w:rPr>
          <w:i/>
          <w:iCs/>
          <w:szCs w:val="24"/>
        </w:rPr>
      </w:pPr>
    </w:p>
    <w:p w14:paraId="5C051EE6" w14:textId="188A00EE" w:rsidR="00447AAF" w:rsidRPr="00033E65" w:rsidRDefault="00447AAF" w:rsidP="005967E5">
      <w:pPr>
        <w:widowControl w:val="0"/>
        <w:suppressAutoHyphens/>
        <w:autoSpaceDE w:val="0"/>
        <w:autoSpaceDN w:val="0"/>
        <w:adjustRightInd w:val="0"/>
        <w:ind w:right="474"/>
        <w:rPr>
          <w:rFonts w:cs="Arial"/>
          <w:szCs w:val="22"/>
          <w:lang w:val="es-ES" w:eastAsia="zh-CN"/>
        </w:rPr>
      </w:pPr>
      <w:r w:rsidRPr="00033E65">
        <w:rPr>
          <w:rFonts w:cs="Arial"/>
          <w:szCs w:val="22"/>
          <w:lang w:val="es-ES" w:eastAsia="zh-CN"/>
        </w:rPr>
        <w:t>En el segundo período de sesiones extraordinarias, Asamblea Legislativa de la República de Costa Rica, redacción final el 03 de febrero del 2020, de la Ley para ampliar la entrada en vigencia de la ley 9609, Código Procesal Agrario, de 27 de setiembre de 2018:</w:t>
      </w:r>
    </w:p>
    <w:p w14:paraId="015261D6" w14:textId="77777777" w:rsidR="00AD0453" w:rsidRPr="00033E65" w:rsidRDefault="00AD0453" w:rsidP="005967E5">
      <w:pPr>
        <w:widowControl w:val="0"/>
        <w:suppressAutoHyphens/>
        <w:autoSpaceDE w:val="0"/>
        <w:autoSpaceDN w:val="0"/>
        <w:adjustRightInd w:val="0"/>
        <w:ind w:right="474"/>
        <w:rPr>
          <w:rFonts w:cs="Arial"/>
          <w:szCs w:val="22"/>
          <w:lang w:val="es-ES" w:eastAsia="zh-CN"/>
        </w:rPr>
      </w:pPr>
    </w:p>
    <w:p w14:paraId="4B7F3AC4" w14:textId="77777777" w:rsidR="00447AAF" w:rsidRPr="00033E65" w:rsidRDefault="00447AAF" w:rsidP="005967E5">
      <w:pPr>
        <w:widowControl w:val="0"/>
        <w:tabs>
          <w:tab w:val="left" w:pos="8080"/>
        </w:tabs>
        <w:suppressAutoHyphens/>
        <w:autoSpaceDE w:val="0"/>
        <w:autoSpaceDN w:val="0"/>
        <w:adjustRightInd w:val="0"/>
        <w:ind w:left="426" w:right="900"/>
        <w:rPr>
          <w:rFonts w:cs="Arial"/>
          <w:i/>
          <w:iCs/>
          <w:szCs w:val="22"/>
          <w:lang w:val="es-ES" w:eastAsia="zh-CN"/>
        </w:rPr>
      </w:pPr>
      <w:r w:rsidRPr="00033E65">
        <w:rPr>
          <w:rFonts w:cs="Arial"/>
          <w:i/>
          <w:iCs/>
          <w:szCs w:val="22"/>
          <w:lang w:val="es-ES" w:eastAsia="zh-CN"/>
        </w:rPr>
        <w:t>“…ARTÍCULO ÚNICO- Se amplía el plazo de entrada en vigencia de la Ley 9609, Código Procesal Agrario, de 27 de setiembre de 2018. El texto es el siguiente:</w:t>
      </w:r>
    </w:p>
    <w:p w14:paraId="6AFE498B" w14:textId="5B3800A0" w:rsidR="00447AAF" w:rsidRPr="00033E65" w:rsidRDefault="00447AAF" w:rsidP="005967E5">
      <w:pPr>
        <w:widowControl w:val="0"/>
        <w:tabs>
          <w:tab w:val="left" w:pos="8080"/>
        </w:tabs>
        <w:suppressAutoHyphens/>
        <w:autoSpaceDE w:val="0"/>
        <w:autoSpaceDN w:val="0"/>
        <w:adjustRightInd w:val="0"/>
        <w:ind w:left="426" w:right="900"/>
        <w:rPr>
          <w:rFonts w:cs="Arial"/>
          <w:i/>
          <w:iCs/>
          <w:szCs w:val="22"/>
          <w:lang w:val="es-ES" w:eastAsia="zh-CN"/>
        </w:rPr>
      </w:pPr>
      <w:r w:rsidRPr="00033E65">
        <w:rPr>
          <w:rFonts w:cs="Arial"/>
          <w:i/>
          <w:iCs/>
          <w:szCs w:val="22"/>
          <w:lang w:val="es-ES" w:eastAsia="zh-CN"/>
        </w:rPr>
        <w:t>Rige a partir del 28 de febrero del año 2021…”</w:t>
      </w:r>
      <w:r w:rsidR="00AD0453" w:rsidRPr="00033E65">
        <w:rPr>
          <w:rFonts w:cs="Arial"/>
          <w:i/>
          <w:iCs/>
          <w:szCs w:val="22"/>
          <w:lang w:val="es-ES" w:eastAsia="zh-CN"/>
        </w:rPr>
        <w:t>.</w:t>
      </w:r>
    </w:p>
    <w:p w14:paraId="0E7CE74D" w14:textId="77777777" w:rsidR="00AD0453" w:rsidRPr="00033E65" w:rsidRDefault="00AD0453" w:rsidP="005967E5">
      <w:pPr>
        <w:widowControl w:val="0"/>
        <w:tabs>
          <w:tab w:val="left" w:pos="8080"/>
        </w:tabs>
        <w:suppressAutoHyphens/>
        <w:autoSpaceDE w:val="0"/>
        <w:autoSpaceDN w:val="0"/>
        <w:adjustRightInd w:val="0"/>
        <w:ind w:left="426" w:right="900"/>
        <w:rPr>
          <w:rFonts w:cs="Arial"/>
          <w:i/>
          <w:iCs/>
          <w:szCs w:val="22"/>
          <w:lang w:val="es-ES" w:eastAsia="zh-CN"/>
        </w:rPr>
      </w:pPr>
    </w:p>
    <w:p w14:paraId="38583941" w14:textId="77777777" w:rsidR="00447AAF" w:rsidRPr="00033E6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033E65">
        <w:rPr>
          <w:rFonts w:cs="Arial"/>
          <w:szCs w:val="22"/>
          <w:lang w:val="es-ES" w:eastAsia="zh-CN"/>
        </w:rPr>
        <w:t>Se envía a consulta por parte de la Dirección de Planificación a la Comisión de la Jurisdicción Agraria y a la Comisión de la Jurisdicción Civil, el 13 de marzo del 2020 el oficio 151-PLA-MI-2019 referente a los acuerdos tomados en la reunión del 20 de noviembre del año 2019 realizada con el Equipo Gestor en Materia Agraria, de las cuales se indica la necesidad de generar un tipo de muestreo que permita exponer el impacto a nivel de competencias materiales que la Jurisdicción Agraria va a conocer, como son los casos Sucesorios y Cobratorios.</w:t>
      </w:r>
    </w:p>
    <w:p w14:paraId="2B9951D9" w14:textId="77777777" w:rsidR="00447AAF" w:rsidRPr="00033E6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033E65">
        <w:rPr>
          <w:rFonts w:cs="Arial"/>
          <w:szCs w:val="22"/>
          <w:lang w:val="es-ES" w:eastAsia="zh-CN"/>
        </w:rPr>
        <w:t>Se reciben observaciones de la Comisión de la Jurisdicción Civil mediante oficio</w:t>
      </w:r>
      <w:r w:rsidRPr="00033E65">
        <w:t xml:space="preserve"> </w:t>
      </w:r>
      <w:r w:rsidRPr="00033E65">
        <w:rPr>
          <w:rFonts w:cs="Arial"/>
          <w:szCs w:val="22"/>
          <w:lang w:val="es-ES" w:eastAsia="zh-CN"/>
        </w:rPr>
        <w:t>0006-CJC-2020, en el artículo III, de la sesión 1-2020, celebrada el 5 de febrero de 2020, donde plantean su disconformidad al oficio 151-PLA-MI-2020.</w:t>
      </w:r>
    </w:p>
    <w:p w14:paraId="1BCD3516" w14:textId="46816FFA" w:rsidR="00AA196D" w:rsidRPr="00033E6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033E65">
        <w:rPr>
          <w:rFonts w:cs="Arial"/>
          <w:szCs w:val="22"/>
          <w:lang w:val="es-ES" w:eastAsia="zh-CN"/>
        </w:rPr>
        <w:t xml:space="preserve">Posterior, la Dirección de Planificación remite el oficio </w:t>
      </w:r>
      <w:r w:rsidR="00AA196D" w:rsidRPr="00033E65">
        <w:rPr>
          <w:rFonts w:cs="Arial"/>
          <w:szCs w:val="22"/>
          <w:lang w:val="es-ES" w:eastAsia="zh-CN"/>
        </w:rPr>
        <w:t xml:space="preserve">preliminar </w:t>
      </w:r>
      <w:r w:rsidRPr="00033E65">
        <w:rPr>
          <w:rFonts w:cs="Arial"/>
          <w:szCs w:val="22"/>
          <w:lang w:val="es-ES" w:eastAsia="zh-CN"/>
        </w:rPr>
        <w:t xml:space="preserve">471-PLA-MI-2020 el 19 de marzo de 2020, relacionado con las respuestas y aclaraciones sobre la disconformidad planteada en el oficio 0006-CJC-2020, </w:t>
      </w:r>
      <w:r w:rsidR="00AA196D" w:rsidRPr="00033E65">
        <w:rPr>
          <w:rFonts w:cs="Arial"/>
          <w:szCs w:val="22"/>
          <w:lang w:val="es-ES" w:eastAsia="zh-CN"/>
        </w:rPr>
        <w:t>referente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 se puso en conocimiento el preliminar de este documento al Magistrado Luis Guillermo Rivas Loáiciga, a las Magistradas y los Magistrados de la Sala Primera, al Centro de Apoyo, Coordinación y Mejoramiento de la Función Jurisdiccional y a la Dirección de Tecnología de Información. Como respuesta se recibieron observaciones de la Dirección de Tecnología de Información, suscrito por la Msc. Kattia Morales Navarro, Directora, por medio del oficio 643-DTI-2020 del 25 de marzo 2020 en el cual hace referencia sobre el oficio 642-DTI-2020, remitido por la Msc. Vivian Rímola Soto, Jefa a.í. del Subproceso Sistemas Jurisdiccionales</w:t>
      </w:r>
      <w:r w:rsidRPr="00033E65">
        <w:rPr>
          <w:rFonts w:cs="Arial"/>
          <w:szCs w:val="22"/>
          <w:lang w:val="es-ES" w:eastAsia="zh-CN"/>
        </w:rPr>
        <w:t xml:space="preserve">.  </w:t>
      </w:r>
    </w:p>
    <w:p w14:paraId="48B05AFF" w14:textId="145FE09D" w:rsidR="00AA196D" w:rsidRPr="00033E65" w:rsidRDefault="00AA196D" w:rsidP="005967E5">
      <w:pPr>
        <w:widowControl w:val="0"/>
        <w:tabs>
          <w:tab w:val="left" w:pos="8080"/>
        </w:tabs>
        <w:suppressAutoHyphens/>
        <w:autoSpaceDE w:val="0"/>
        <w:autoSpaceDN w:val="0"/>
        <w:adjustRightInd w:val="0"/>
        <w:ind w:right="474"/>
        <w:rPr>
          <w:rFonts w:cs="Arial"/>
          <w:szCs w:val="22"/>
          <w:lang w:val="es-ES" w:eastAsia="zh-CN"/>
        </w:rPr>
      </w:pPr>
      <w:r w:rsidRPr="00033E65">
        <w:rPr>
          <w:rFonts w:cs="Arial"/>
          <w:szCs w:val="22"/>
          <w:lang w:val="es-ES" w:eastAsia="zh-CN"/>
        </w:rPr>
        <w:t>El oficio definitivo 816-PLA-MI-2020 de la Dirección de Planificación remitido el 1 de junio del 2020, fue aprobado en sesión del Consejo Superior 64-2020 del 23 de junio del 2020, artículo LI</w:t>
      </w:r>
      <w:r w:rsidR="00AD0453" w:rsidRPr="00033E65">
        <w:rPr>
          <w:rFonts w:cs="Arial"/>
          <w:szCs w:val="22"/>
          <w:lang w:val="es-ES" w:eastAsia="zh-CN"/>
        </w:rPr>
        <w:t>:</w:t>
      </w:r>
    </w:p>
    <w:p w14:paraId="3D38B5C9" w14:textId="77777777" w:rsidR="00AD0453" w:rsidRPr="00033E65" w:rsidRDefault="00AD0453" w:rsidP="005967E5">
      <w:pPr>
        <w:widowControl w:val="0"/>
        <w:tabs>
          <w:tab w:val="left" w:pos="8080"/>
        </w:tabs>
        <w:suppressAutoHyphens/>
        <w:autoSpaceDE w:val="0"/>
        <w:autoSpaceDN w:val="0"/>
        <w:adjustRightInd w:val="0"/>
        <w:ind w:right="474"/>
        <w:rPr>
          <w:rFonts w:cs="Arial"/>
          <w:szCs w:val="22"/>
          <w:lang w:val="es-ES" w:eastAsia="zh-CN"/>
        </w:rPr>
      </w:pPr>
    </w:p>
    <w:p w14:paraId="58E38BB4" w14:textId="284762F7" w:rsidR="00AA196D" w:rsidRPr="00033E65" w:rsidRDefault="00AA196D" w:rsidP="00921A27">
      <w:pPr>
        <w:widowControl w:val="0"/>
        <w:tabs>
          <w:tab w:val="left" w:pos="8080"/>
        </w:tabs>
        <w:suppressAutoHyphens/>
        <w:autoSpaceDE w:val="0"/>
        <w:autoSpaceDN w:val="0"/>
        <w:adjustRightInd w:val="0"/>
        <w:ind w:left="284" w:right="993"/>
        <w:rPr>
          <w:rFonts w:cs="Arial"/>
          <w:i/>
          <w:iCs/>
          <w:szCs w:val="22"/>
          <w:lang w:val="es-ES" w:eastAsia="zh-CN"/>
        </w:rPr>
      </w:pPr>
      <w:r w:rsidRPr="00033E65">
        <w:rPr>
          <w:rFonts w:cs="Arial"/>
          <w:i/>
          <w:iCs/>
          <w:szCs w:val="22"/>
          <w:lang w:val="es-ES" w:eastAsia="zh-CN"/>
        </w:rPr>
        <w:t>“(…)se acordó: 1.) Tener por rendido el Informe N°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entrada en vigencia del nuevo Código Procesal Agrario.” 2.) Avalar las recomendaciones que fueron emitidas en este informe, por consiguiente se debe: a) Solicitar a la Sala 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sidR="00AD0453" w:rsidRPr="00033E65">
        <w:rPr>
          <w:rFonts w:cs="Arial"/>
          <w:i/>
          <w:iCs/>
          <w:szCs w:val="22"/>
          <w:lang w:val="es-ES" w:eastAsia="zh-CN"/>
        </w:rPr>
        <w:t>”.</w:t>
      </w:r>
      <w:r w:rsidRPr="00033E65">
        <w:rPr>
          <w:rFonts w:cs="Arial"/>
          <w:i/>
          <w:iCs/>
          <w:szCs w:val="22"/>
          <w:lang w:val="es-ES" w:eastAsia="zh-CN"/>
        </w:rPr>
        <w:t xml:space="preserve">  </w:t>
      </w:r>
    </w:p>
    <w:p w14:paraId="33E5C681" w14:textId="26230EC8" w:rsidR="00447AAF" w:rsidRPr="00033E65" w:rsidRDefault="00447AAF" w:rsidP="005967E5">
      <w:pPr>
        <w:widowControl w:val="0"/>
        <w:tabs>
          <w:tab w:val="left" w:pos="8080"/>
        </w:tabs>
        <w:suppressAutoHyphens/>
        <w:autoSpaceDE w:val="0"/>
        <w:autoSpaceDN w:val="0"/>
        <w:adjustRightInd w:val="0"/>
        <w:ind w:right="474"/>
        <w:rPr>
          <w:rFonts w:cs="Arial"/>
          <w:szCs w:val="22"/>
          <w:lang w:val="es-ES" w:eastAsia="zh-CN"/>
        </w:rPr>
      </w:pPr>
    </w:p>
    <w:p w14:paraId="10FD0015" w14:textId="77777777" w:rsidR="00447AAF" w:rsidRPr="00033E6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033E65">
        <w:rPr>
          <w:rFonts w:cs="Arial"/>
          <w:szCs w:val="22"/>
          <w:lang w:val="es-ES" w:eastAsia="zh-CN"/>
        </w:rPr>
        <w:t xml:space="preserve">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 </w:t>
      </w:r>
    </w:p>
    <w:p w14:paraId="3C53910E" w14:textId="77777777" w:rsidR="00AD0453" w:rsidRPr="00033E65" w:rsidRDefault="00AD0453" w:rsidP="005967E5">
      <w:pPr>
        <w:widowControl w:val="0"/>
        <w:tabs>
          <w:tab w:val="left" w:pos="8080"/>
        </w:tabs>
        <w:suppressAutoHyphens/>
        <w:autoSpaceDE w:val="0"/>
        <w:autoSpaceDN w:val="0"/>
        <w:adjustRightInd w:val="0"/>
        <w:ind w:left="284" w:right="993"/>
        <w:rPr>
          <w:rFonts w:cs="Arial"/>
          <w:i/>
          <w:iCs/>
          <w:szCs w:val="22"/>
          <w:lang w:val="es-ES" w:eastAsia="zh-CN"/>
        </w:rPr>
      </w:pPr>
    </w:p>
    <w:p w14:paraId="54F8E877" w14:textId="4F77A722" w:rsidR="00447AAF" w:rsidRPr="00033E65" w:rsidRDefault="00447AAF" w:rsidP="005967E5">
      <w:pPr>
        <w:widowControl w:val="0"/>
        <w:tabs>
          <w:tab w:val="left" w:pos="8080"/>
        </w:tabs>
        <w:suppressAutoHyphens/>
        <w:autoSpaceDE w:val="0"/>
        <w:autoSpaceDN w:val="0"/>
        <w:adjustRightInd w:val="0"/>
        <w:ind w:left="284" w:right="993"/>
        <w:rPr>
          <w:rFonts w:cs="Arial"/>
          <w:i/>
          <w:iCs/>
          <w:szCs w:val="22"/>
          <w:lang w:val="es-ES" w:eastAsia="zh-CN"/>
        </w:rPr>
      </w:pPr>
      <w:r w:rsidRPr="00033E65">
        <w:rPr>
          <w:rFonts w:cs="Arial"/>
          <w:i/>
          <w:iCs/>
          <w:szCs w:val="22"/>
          <w:lang w:val="es-ES" w:eastAsia="zh-CN"/>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AD0453" w:rsidRPr="00033E65">
        <w:rPr>
          <w:rFonts w:cs="Arial"/>
          <w:i/>
          <w:iCs/>
          <w:szCs w:val="22"/>
          <w:lang w:val="es-ES" w:eastAsia="zh-CN"/>
        </w:rPr>
        <w:t>.</w:t>
      </w:r>
    </w:p>
    <w:p w14:paraId="6288230F" w14:textId="77777777" w:rsidR="00AD0453" w:rsidRPr="00033E65" w:rsidRDefault="00AD0453" w:rsidP="005967E5">
      <w:pPr>
        <w:widowControl w:val="0"/>
        <w:tabs>
          <w:tab w:val="left" w:pos="8080"/>
        </w:tabs>
        <w:suppressAutoHyphens/>
        <w:autoSpaceDE w:val="0"/>
        <w:autoSpaceDN w:val="0"/>
        <w:adjustRightInd w:val="0"/>
        <w:ind w:right="474"/>
        <w:rPr>
          <w:rFonts w:cs="Arial"/>
          <w:szCs w:val="22"/>
          <w:lang w:val="es-ES" w:eastAsia="zh-CN"/>
        </w:rPr>
      </w:pPr>
    </w:p>
    <w:p w14:paraId="6BFAF7F7" w14:textId="1BB5D4C9" w:rsidR="00447AAF" w:rsidRPr="00033E6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033E65">
        <w:rPr>
          <w:rFonts w:cs="Arial"/>
          <w:szCs w:val="22"/>
          <w:lang w:val="es-ES" w:eastAsia="zh-CN"/>
        </w:rPr>
        <w:t xml:space="preserve">Posteriormente mediante oficio DM-0945-2019, de fecha 11 de junio del 2019, la señora Ministra de Hacienda y en alusión a lo indicado en el oficio 101-P-2019, comunica al presidente de la Corte Suprema de Justicia: </w:t>
      </w:r>
    </w:p>
    <w:p w14:paraId="1607BDA9" w14:textId="77777777" w:rsidR="00447AAF" w:rsidRPr="00033E65"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033E65">
        <w:rPr>
          <w:rFonts w:cs="Arial"/>
          <w:i/>
          <w:iCs/>
          <w:szCs w:val="22"/>
          <w:lang w:val="es-ES" w:eastAsia="zh-CN"/>
        </w:rPr>
        <w:t>“(…) Finalmente, en relación con las solicitudes complementarias al Anteproyecto de presupuesto de la institución a que se hace alusión en su oficio, le informo que el cumplimiento de la regla fiscal no da espacio para el financiamiento de nuevos gastos”.</w:t>
      </w:r>
    </w:p>
    <w:p w14:paraId="211F88BE" w14:textId="77777777" w:rsidR="00541283" w:rsidRPr="00033E65" w:rsidRDefault="00541283" w:rsidP="005967E5">
      <w:pPr>
        <w:widowControl w:val="0"/>
        <w:tabs>
          <w:tab w:val="left" w:pos="8080"/>
        </w:tabs>
        <w:suppressAutoHyphens/>
        <w:autoSpaceDE w:val="0"/>
        <w:autoSpaceDN w:val="0"/>
        <w:adjustRightInd w:val="0"/>
        <w:ind w:right="474"/>
        <w:rPr>
          <w:rFonts w:cs="Arial"/>
          <w:szCs w:val="22"/>
          <w:lang w:val="es-ES" w:eastAsia="zh-CN"/>
        </w:rPr>
      </w:pPr>
    </w:p>
    <w:p w14:paraId="4203CAD8" w14:textId="5DE7CFE6" w:rsidR="00447AAF" w:rsidRPr="00033E6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033E65">
        <w:rPr>
          <w:rFonts w:cs="Arial"/>
          <w:szCs w:val="22"/>
          <w:lang w:val="es-ES" w:eastAsia="zh-CN"/>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35C2E556" w14:textId="77777777" w:rsidR="00541283" w:rsidRPr="00033E6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033E65">
        <w:rPr>
          <w:rFonts w:cs="Arial"/>
          <w:szCs w:val="22"/>
          <w:lang w:val="es-ES" w:eastAsia="zh-CN"/>
        </w:rPr>
        <w:t>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w:t>
      </w:r>
    </w:p>
    <w:p w14:paraId="2689A121" w14:textId="58A10ED5" w:rsidR="00447AAF" w:rsidRPr="00033E6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033E65">
        <w:rPr>
          <w:rFonts w:cs="Arial"/>
          <w:szCs w:val="22"/>
          <w:lang w:val="es-ES" w:eastAsia="zh-CN"/>
        </w:rPr>
        <w:t xml:space="preserve"> </w:t>
      </w:r>
    </w:p>
    <w:p w14:paraId="08F72E9B" w14:textId="10E4D38F" w:rsidR="00447AAF" w:rsidRPr="00033E65"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033E65">
        <w:rPr>
          <w:rFonts w:cs="Arial"/>
          <w:i/>
          <w:iCs/>
          <w:szCs w:val="22"/>
          <w:lang w:val="es-ES" w:eastAsia="zh-CN"/>
        </w:rPr>
        <w:t>“(…) No fueron incorporados por el Ministerio de Hacienda al presupuesto ordinario, ni tampoco se remitieron como requerimiento adicional a la Asamblea Legislativa”.</w:t>
      </w:r>
    </w:p>
    <w:p w14:paraId="155FABE4" w14:textId="77777777" w:rsidR="006748A4" w:rsidRPr="00033E65" w:rsidRDefault="006748A4" w:rsidP="005E63FE">
      <w:pPr>
        <w:widowControl w:val="0"/>
        <w:tabs>
          <w:tab w:val="left" w:pos="8080"/>
        </w:tabs>
        <w:suppressAutoHyphens/>
        <w:autoSpaceDE w:val="0"/>
        <w:autoSpaceDN w:val="0"/>
        <w:adjustRightInd w:val="0"/>
        <w:ind w:right="1134"/>
        <w:rPr>
          <w:rFonts w:cs="Arial"/>
          <w:i/>
          <w:iCs/>
          <w:szCs w:val="22"/>
          <w:lang w:val="es-ES" w:eastAsia="zh-CN"/>
        </w:rPr>
      </w:pPr>
    </w:p>
    <w:p w14:paraId="0DC3ABF4" w14:textId="77777777" w:rsidR="00447AAF" w:rsidRPr="00033E65"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033E65">
        <w:rPr>
          <w:rFonts w:cs="Arial"/>
          <w:i/>
          <w:iCs/>
          <w:szCs w:val="22"/>
          <w:lang w:val="es-ES" w:eastAsia="zh-CN"/>
        </w:rPr>
        <w:t>Este oficio mencionado anteriormente fue conocido por Corte Plena en sesión 41-2019, de fecha 30 de setiembre de 2019, artículo XV.</w:t>
      </w:r>
    </w:p>
    <w:p w14:paraId="26A87999" w14:textId="77777777" w:rsidR="00447AAF" w:rsidRPr="00033E65" w:rsidRDefault="00447AAF" w:rsidP="005967E5">
      <w:pPr>
        <w:ind w:left="-6"/>
      </w:pPr>
      <w:r w:rsidRPr="00033E65">
        <w:t>En sesión del Consejo Superior 45-2020 (Presupuesto 2021) artículo XVIII, celebrada el 8 de mayo del 2020, se acordó:</w:t>
      </w:r>
    </w:p>
    <w:p w14:paraId="56BD7333" w14:textId="60B17973" w:rsidR="00541283" w:rsidRPr="00033E65" w:rsidRDefault="00447AAF" w:rsidP="00FB7689">
      <w:pPr>
        <w:ind w:left="709" w:right="758"/>
        <w:rPr>
          <w:i/>
          <w:iCs/>
        </w:rPr>
      </w:pPr>
      <w:r w:rsidRPr="00033E65">
        <w:rPr>
          <w:i/>
          <w:iCs/>
        </w:rPr>
        <w:t xml:space="preserve">“…1.) Aprobar técnicamente el informe 555-PLA-RH-MI-2020 de la Dirección de “…e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en relación a los requerimientos:  El Centro de Apoyo, Coordinación y Mejoramiento de la Función Jurisdiccional, debe otorgar con su personal ordinario </w:t>
      </w:r>
      <w:r w:rsidRPr="00033E65">
        <w:rPr>
          <w:i/>
          <w:iCs/>
        </w:rPr>
        <w:lastRenderedPageBreak/>
        <w:t>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 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 Se mantiene el requerimiento para el 2021 de plazas extraordinarias para planes descongestionamiento, sin embargo, se plantea la necesidad de gestar un Plan de Trabajo para la implementación de estos planes a partir del año 2020, para ir brindando apoyo a los Juzgados. Se debe revisar el ahorro de recursos en sustituciones para ver que redireccionamiento se puede brindar, para estos recursos para materia Agrario. 2) Incluir el costo relativo a la remodelación del Juzgado Agrario de Jicaral indicado por la Dirección Ejecutiva por la suma de ¢19.350.000, como parte del presupuesto ordinario del Poder Judicial para el 2021.  3.) Remitir a la Corte Plena para que valore el cambio de la competencia propuesto desde el año 2020, a partir de que exista el recurso humano disponible. 4.) Solicitar al Departamento de Proveeduría, valorar que el automóvil asignado al Consejo Superior se utilice por la Comisión de la Jurisdicción Agraria en coordinación con la Dirección Ejecutiva y cuando corresponda el cambio se considere cambiar por un vehículo 4x4. Se declara este acuerdo firme</w:t>
      </w:r>
      <w:r w:rsidR="00541283" w:rsidRPr="00033E65">
        <w:rPr>
          <w:i/>
          <w:iCs/>
        </w:rPr>
        <w:t>.</w:t>
      </w:r>
      <w:r w:rsidRPr="00033E65">
        <w:rPr>
          <w:i/>
          <w:iCs/>
        </w:rPr>
        <w:t>”</w:t>
      </w:r>
      <w:r w:rsidR="00541283" w:rsidRPr="00033E65">
        <w:rPr>
          <w:i/>
          <w:iCs/>
        </w:rPr>
        <w:t>.</w:t>
      </w:r>
    </w:p>
    <w:p w14:paraId="138D0AFE" w14:textId="77777777" w:rsidR="00FB7689" w:rsidRPr="00033E65" w:rsidRDefault="00FB7689" w:rsidP="00FB7689">
      <w:pPr>
        <w:ind w:left="709" w:right="758"/>
        <w:rPr>
          <w:i/>
          <w:iCs/>
        </w:rPr>
      </w:pPr>
    </w:p>
    <w:p w14:paraId="451D9CA1" w14:textId="27523D19" w:rsidR="00447AAF" w:rsidRPr="00033E65" w:rsidRDefault="00447AAF" w:rsidP="005967E5">
      <w:pPr>
        <w:widowControl w:val="0"/>
        <w:tabs>
          <w:tab w:val="left" w:pos="8080"/>
        </w:tabs>
        <w:suppressAutoHyphens/>
        <w:autoSpaceDE w:val="0"/>
        <w:autoSpaceDN w:val="0"/>
        <w:adjustRightInd w:val="0"/>
        <w:rPr>
          <w:rFonts w:cs="Arial"/>
          <w:szCs w:val="22"/>
          <w:lang w:val="es-ES" w:eastAsia="zh-CN"/>
        </w:rPr>
      </w:pPr>
      <w:r w:rsidRPr="00033E65">
        <w:rPr>
          <w:rFonts w:cs="Arial"/>
          <w:szCs w:val="22"/>
          <w:lang w:val="es-ES" w:eastAsia="zh-CN"/>
        </w:rPr>
        <w:t>Las observaciones realizadas al informe 555-PLA-RH-MI-2020, puesto en consulta mediante el oficio 572-PLA-RH-MI-2020, contestadas en el oficio 693-PLA-RH-MI-2020, fueron aprobadas en sesión 48-2020 del 14 de mayo del 20</w:t>
      </w:r>
      <w:r w:rsidR="002C209E" w:rsidRPr="00033E65">
        <w:rPr>
          <w:rFonts w:cs="Arial"/>
          <w:szCs w:val="22"/>
          <w:lang w:val="es-ES" w:eastAsia="zh-CN"/>
        </w:rPr>
        <w:t>20</w:t>
      </w:r>
      <w:r w:rsidRPr="00033E65">
        <w:rPr>
          <w:rFonts w:cs="Arial"/>
          <w:szCs w:val="22"/>
          <w:lang w:val="es-ES" w:eastAsia="zh-CN"/>
        </w:rPr>
        <w:t>.</w:t>
      </w:r>
      <w:r w:rsidR="00376E6A" w:rsidRPr="00033E65">
        <w:rPr>
          <w:rFonts w:cs="Arial"/>
          <w:szCs w:val="22"/>
          <w:lang w:val="es-ES" w:eastAsia="zh-CN"/>
        </w:rPr>
        <w:t xml:space="preserve"> </w:t>
      </w:r>
      <w:r w:rsidR="00E35525" w:rsidRPr="00033E65">
        <w:rPr>
          <w:rFonts w:cs="Arial"/>
          <w:szCs w:val="22"/>
          <w:lang w:val="es-ES" w:eastAsia="zh-CN"/>
        </w:rPr>
        <w:t xml:space="preserve"> </w:t>
      </w:r>
      <w:r w:rsidRPr="00033E65">
        <w:rPr>
          <w:rFonts w:cs="Arial"/>
          <w:szCs w:val="22"/>
          <w:lang w:val="es-ES" w:eastAsia="zh-CN"/>
        </w:rPr>
        <w:t xml:space="preserve">Se recibieron observaciones de la Secretaría de la Defensa Pública del I Circuito Judicial de San José, Gestión Humana y Dirección Ejecutiva. Importante </w:t>
      </w:r>
      <w:r w:rsidR="005E63FE" w:rsidRPr="00033E65">
        <w:rPr>
          <w:rFonts w:cs="Arial"/>
          <w:szCs w:val="22"/>
          <w:lang w:val="es-ES" w:eastAsia="zh-CN"/>
        </w:rPr>
        <w:t>hay que mencionar</w:t>
      </w:r>
      <w:r w:rsidRPr="00033E65">
        <w:rPr>
          <w:rFonts w:cs="Arial"/>
          <w:szCs w:val="22"/>
          <w:lang w:val="es-ES" w:eastAsia="zh-CN"/>
        </w:rPr>
        <w:t xml:space="preserve"> que, el Centro de Apoyo, Coordinación y Mejoramiento de la Función Jurisdiccional (CACMFJ), la Comisión Agraria y la Escuela Judicial, no tuvieron observaciones del informe. </w:t>
      </w:r>
    </w:p>
    <w:p w14:paraId="1C0E9805" w14:textId="77777777" w:rsidR="00447AAF" w:rsidRPr="00033E65" w:rsidRDefault="00447AAF" w:rsidP="005967E5">
      <w:pPr>
        <w:widowControl w:val="0"/>
        <w:tabs>
          <w:tab w:val="left" w:pos="8080"/>
        </w:tabs>
        <w:suppressAutoHyphens/>
        <w:autoSpaceDE w:val="0"/>
        <w:autoSpaceDN w:val="0"/>
        <w:adjustRightInd w:val="0"/>
        <w:rPr>
          <w:rFonts w:cs="Arial"/>
          <w:szCs w:val="22"/>
          <w:lang w:val="es-ES" w:eastAsia="zh-CN"/>
        </w:rPr>
      </w:pPr>
      <w:r w:rsidRPr="00033E65">
        <w:rPr>
          <w:rFonts w:cs="Arial"/>
          <w:szCs w:val="22"/>
          <w:lang w:val="es-ES" w:eastAsia="zh-CN"/>
        </w:rPr>
        <w:t xml:space="preserve">En sesión de Corte Plena 31-2020 </w:t>
      </w:r>
      <w:r w:rsidRPr="00033E65">
        <w:t>(Presupuesto 2021) artículo II, celebrada el 2 de junio del 2020, se acordó:</w:t>
      </w:r>
    </w:p>
    <w:p w14:paraId="76EAAEE3" w14:textId="4300AC25" w:rsidR="00447AAF" w:rsidRPr="00033E65" w:rsidRDefault="00864530" w:rsidP="005967E5">
      <w:pPr>
        <w:widowControl w:val="0"/>
        <w:tabs>
          <w:tab w:val="left" w:pos="8080"/>
        </w:tabs>
        <w:suppressAutoHyphens/>
        <w:autoSpaceDE w:val="0"/>
        <w:autoSpaceDN w:val="0"/>
        <w:adjustRightInd w:val="0"/>
        <w:ind w:left="709" w:right="709"/>
        <w:rPr>
          <w:i/>
          <w:iCs/>
        </w:rPr>
      </w:pPr>
      <w:r w:rsidRPr="00033E65">
        <w:rPr>
          <w:rFonts w:cs="Arial"/>
          <w:i/>
          <w:iCs/>
          <w:szCs w:val="22"/>
          <w:lang w:val="es-ES" w:eastAsia="zh-CN"/>
        </w:rPr>
        <w:t xml:space="preserve">“(…) </w:t>
      </w:r>
      <w:r w:rsidR="00447AAF" w:rsidRPr="00033E65">
        <w:rPr>
          <w:i/>
          <w:iCs/>
        </w:rPr>
        <w:t>Aprobar por separado del Presupuesto ordinario del Poder Judicial, los requerimientos correspondientes a la Ley de Jurisdicción Especializada en Delincuencia Organizada, la Reforma Procesal Agraria, la Ley de Acceso a la Justicia de los Pueblos Indígenas de Costa Rica, la Reforma Procesal de Familia, Ley de Bienestar Animal y la propuesta para Anticorrupción, en la forma expuesta…”</w:t>
      </w:r>
      <w:r w:rsidR="00541283" w:rsidRPr="00033E65">
        <w:rPr>
          <w:i/>
          <w:iCs/>
        </w:rPr>
        <w:t>.</w:t>
      </w:r>
    </w:p>
    <w:p w14:paraId="0BD8F2F8" w14:textId="77777777" w:rsidR="00541283" w:rsidRPr="00033E65" w:rsidRDefault="00541283" w:rsidP="005967E5">
      <w:pPr>
        <w:widowControl w:val="0"/>
        <w:tabs>
          <w:tab w:val="left" w:pos="8080"/>
        </w:tabs>
        <w:suppressAutoHyphens/>
        <w:autoSpaceDE w:val="0"/>
        <w:autoSpaceDN w:val="0"/>
        <w:adjustRightInd w:val="0"/>
        <w:ind w:left="709" w:right="709"/>
        <w:rPr>
          <w:i/>
          <w:iCs/>
        </w:rPr>
      </w:pPr>
    </w:p>
    <w:p w14:paraId="67113499" w14:textId="2136B275" w:rsidR="00541283" w:rsidRPr="00033E65" w:rsidRDefault="00671E02" w:rsidP="00671E02">
      <w:pPr>
        <w:widowControl w:val="0"/>
        <w:tabs>
          <w:tab w:val="left" w:pos="8080"/>
        </w:tabs>
        <w:suppressAutoHyphens/>
        <w:autoSpaceDE w:val="0"/>
        <w:autoSpaceDN w:val="0"/>
        <w:adjustRightInd w:val="0"/>
        <w:rPr>
          <w:rFonts w:cs="Arial"/>
          <w:szCs w:val="22"/>
          <w:lang w:val="es-ES" w:eastAsia="zh-CN"/>
        </w:rPr>
      </w:pPr>
      <w:r w:rsidRPr="00033E65">
        <w:rPr>
          <w:rFonts w:cs="Arial"/>
          <w:szCs w:val="22"/>
          <w:lang w:val="es-ES" w:eastAsia="zh-CN"/>
        </w:rPr>
        <w:t xml:space="preserve">En sesión de Corte Plena 53-2020, celebrada el 21 de setiembre de 2020, artículo XV acogió la propuesta de la Dirección de Planificación contenida en el estudio 555-PLA-RH-MI-2020 denominado “Impacto organizacional y presupuestario en el Poder Judicial a partir de la </w:t>
      </w:r>
      <w:r w:rsidRPr="00033E65">
        <w:rPr>
          <w:rFonts w:cs="Arial"/>
          <w:szCs w:val="22"/>
          <w:lang w:val="es-ES" w:eastAsia="zh-CN"/>
        </w:rPr>
        <w:lastRenderedPageBreak/>
        <w:t>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w:t>
      </w:r>
    </w:p>
    <w:p w14:paraId="65B444A9" w14:textId="10E832FB" w:rsidR="00864530" w:rsidRPr="00033E65" w:rsidRDefault="00283FB9" w:rsidP="002141A9">
      <w:pPr>
        <w:widowControl w:val="0"/>
        <w:tabs>
          <w:tab w:val="left" w:pos="8080"/>
        </w:tabs>
        <w:suppressAutoHyphens/>
        <w:autoSpaceDE w:val="0"/>
        <w:autoSpaceDN w:val="0"/>
        <w:adjustRightInd w:val="0"/>
        <w:rPr>
          <w:rFonts w:cs="Arial"/>
          <w:szCs w:val="22"/>
          <w:lang w:val="es-ES" w:eastAsia="zh-CN"/>
        </w:rPr>
      </w:pPr>
      <w:r w:rsidRPr="00033E65">
        <w:rPr>
          <w:rFonts w:cs="Arial"/>
          <w:szCs w:val="22"/>
          <w:lang w:val="es-ES" w:eastAsia="zh-CN"/>
        </w:rPr>
        <w:t xml:space="preserve">En el oficio PJ-DGH-RS-008-2021 remitido por la Dirección de Gestión Humana, </w:t>
      </w:r>
      <w:r w:rsidR="002141A9" w:rsidRPr="00033E65">
        <w:rPr>
          <w:rFonts w:cs="Arial"/>
          <w:szCs w:val="22"/>
          <w:lang w:val="es-ES" w:eastAsia="zh-CN"/>
        </w:rPr>
        <w:t>se menciona la solicitud realizada por el Consejo Superior, en sesión</w:t>
      </w:r>
      <w:r w:rsidR="002141A9" w:rsidRPr="00033E65">
        <w:t xml:space="preserve"> </w:t>
      </w:r>
      <w:r w:rsidR="002141A9" w:rsidRPr="00033E65">
        <w:rPr>
          <w:rFonts w:cs="Arial"/>
          <w:szCs w:val="22"/>
          <w:lang w:val="es-ES" w:eastAsia="zh-CN"/>
        </w:rPr>
        <w:t xml:space="preserve">113-2020 celebrada el pasado 24 de noviembre, artículo </w:t>
      </w:r>
      <w:r w:rsidR="00230EC8" w:rsidRPr="00033E65">
        <w:rPr>
          <w:rFonts w:cs="Arial"/>
          <w:szCs w:val="22"/>
          <w:lang w:val="es-ES" w:eastAsia="zh-CN"/>
        </w:rPr>
        <w:t>XLIV:</w:t>
      </w:r>
      <w:r w:rsidR="00864530" w:rsidRPr="00033E65">
        <w:rPr>
          <w:rFonts w:cs="Arial"/>
          <w:szCs w:val="22"/>
          <w:lang w:val="es-ES" w:eastAsia="zh-CN"/>
        </w:rPr>
        <w:t xml:space="preserve"> </w:t>
      </w:r>
    </w:p>
    <w:p w14:paraId="4FBAF58A" w14:textId="1A1BD1DD" w:rsidR="00864530" w:rsidRPr="00033E65" w:rsidRDefault="00864530" w:rsidP="00864530">
      <w:pPr>
        <w:widowControl w:val="0"/>
        <w:tabs>
          <w:tab w:val="left" w:pos="8080"/>
        </w:tabs>
        <w:suppressAutoHyphens/>
        <w:autoSpaceDE w:val="0"/>
        <w:autoSpaceDN w:val="0"/>
        <w:adjustRightInd w:val="0"/>
        <w:ind w:left="567" w:right="474"/>
        <w:rPr>
          <w:rFonts w:cs="Arial"/>
          <w:i/>
          <w:iCs/>
          <w:szCs w:val="22"/>
          <w:lang w:val="es-ES" w:eastAsia="zh-CN"/>
        </w:rPr>
      </w:pPr>
      <w:r w:rsidRPr="00033E65">
        <w:rPr>
          <w:rFonts w:cs="Arial"/>
          <w:i/>
          <w:iCs/>
          <w:szCs w:val="22"/>
          <w:lang w:val="es-ES" w:eastAsia="zh-CN"/>
        </w:rPr>
        <w:t xml:space="preserve">“(…) 2.) Estar a la espera de que la Dirección de Gestión Humana remita, (…) el informe solicitado en sesión del Consejo Superior número 110-2020, del 12 de noviembre de 2020, artículo XLVIII, en cuanto a la consulta de permuta de una persona técnica judicial para el Juzgado Agrario de Jicaral. </w:t>
      </w:r>
      <w:r w:rsidRPr="00033E65">
        <w:rPr>
          <w:rFonts w:cs="Arial"/>
          <w:b/>
          <w:bCs/>
          <w:i/>
          <w:iCs/>
          <w:szCs w:val="22"/>
          <w:lang w:val="es-ES" w:eastAsia="zh-CN"/>
        </w:rPr>
        <w:t>3.) En cuanto a la plaza faltante que deberá ser asignada al Juzgado Agrario de Jicaral, tomando en consideración que el Centro de Apoyo no cuenta con ese recurso, deberá la Dirección de Gestión Humana coordinar con la Oficina de Cumplimiento (…)”</w:t>
      </w:r>
      <w:r w:rsidR="002141A9" w:rsidRPr="00033E65">
        <w:rPr>
          <w:rFonts w:cs="Arial"/>
          <w:i/>
          <w:iCs/>
          <w:szCs w:val="22"/>
          <w:lang w:val="es-ES" w:eastAsia="zh-CN"/>
        </w:rPr>
        <w:t xml:space="preserve"> </w:t>
      </w:r>
      <w:r w:rsidR="002141A9" w:rsidRPr="00033E65">
        <w:rPr>
          <w:rFonts w:cs="Arial"/>
          <w:b/>
          <w:bCs/>
          <w:szCs w:val="22"/>
          <w:lang w:val="es-ES" w:eastAsia="zh-CN"/>
        </w:rPr>
        <w:t>(Énfasis agregado)</w:t>
      </w:r>
      <w:r w:rsidR="00541283" w:rsidRPr="00033E65">
        <w:rPr>
          <w:rFonts w:cs="Arial"/>
          <w:b/>
          <w:bCs/>
          <w:szCs w:val="22"/>
          <w:lang w:val="es-ES" w:eastAsia="zh-CN"/>
        </w:rPr>
        <w:t>.</w:t>
      </w:r>
    </w:p>
    <w:p w14:paraId="526A896C" w14:textId="77777777" w:rsidR="00283FB9" w:rsidRPr="00033E65" w:rsidRDefault="002141A9" w:rsidP="00671E02">
      <w:pPr>
        <w:widowControl w:val="0"/>
        <w:tabs>
          <w:tab w:val="left" w:pos="8080"/>
        </w:tabs>
        <w:suppressAutoHyphens/>
        <w:autoSpaceDE w:val="0"/>
        <w:autoSpaceDN w:val="0"/>
        <w:adjustRightInd w:val="0"/>
        <w:rPr>
          <w:rFonts w:cs="Arial"/>
          <w:szCs w:val="22"/>
          <w:lang w:val="es-ES" w:eastAsia="zh-CN"/>
        </w:rPr>
      </w:pPr>
      <w:r w:rsidRPr="00033E65">
        <w:rPr>
          <w:rFonts w:cs="Arial"/>
          <w:szCs w:val="22"/>
          <w:lang w:val="es-ES" w:eastAsia="zh-CN"/>
        </w:rPr>
        <w:t xml:space="preserve">Mediante el mismo oficio, la Dirección de Gestión Humana, </w:t>
      </w:r>
      <w:r w:rsidR="00283FB9" w:rsidRPr="00033E65">
        <w:rPr>
          <w:rFonts w:cs="Arial"/>
          <w:szCs w:val="22"/>
          <w:lang w:val="es-ES" w:eastAsia="zh-CN"/>
        </w:rPr>
        <w:t xml:space="preserve">realiza la siguiente recomendación a la Dirección de Planificación: </w:t>
      </w:r>
    </w:p>
    <w:p w14:paraId="5C26C95A" w14:textId="384EBD90" w:rsidR="00283FB9" w:rsidRPr="00033E65" w:rsidRDefault="00864530" w:rsidP="00283FB9">
      <w:pPr>
        <w:widowControl w:val="0"/>
        <w:tabs>
          <w:tab w:val="left" w:pos="8080"/>
        </w:tabs>
        <w:suppressAutoHyphens/>
        <w:autoSpaceDE w:val="0"/>
        <w:autoSpaceDN w:val="0"/>
        <w:adjustRightInd w:val="0"/>
        <w:ind w:left="567" w:right="474"/>
        <w:rPr>
          <w:rFonts w:cs="Arial"/>
          <w:i/>
          <w:iCs/>
          <w:szCs w:val="22"/>
          <w:lang w:val="es-ES" w:eastAsia="zh-CN"/>
        </w:rPr>
      </w:pPr>
      <w:r w:rsidRPr="00033E65">
        <w:rPr>
          <w:rFonts w:cs="Arial"/>
          <w:i/>
          <w:iCs/>
          <w:szCs w:val="22"/>
          <w:lang w:val="es-ES" w:eastAsia="zh-CN"/>
        </w:rPr>
        <w:t>“(…)</w:t>
      </w:r>
      <w:r w:rsidR="002141A9" w:rsidRPr="00033E65">
        <w:rPr>
          <w:rFonts w:cs="Arial"/>
          <w:i/>
          <w:iCs/>
          <w:szCs w:val="22"/>
          <w:lang w:val="es-ES" w:eastAsia="zh-CN"/>
        </w:rPr>
        <w:t xml:space="preserve"> </w:t>
      </w:r>
      <w:r w:rsidR="00283FB9" w:rsidRPr="00033E65">
        <w:rPr>
          <w:rFonts w:cs="Arial"/>
          <w:i/>
          <w:iCs/>
          <w:szCs w:val="22"/>
          <w:lang w:val="es-ES" w:eastAsia="zh-CN"/>
        </w:rPr>
        <w:t>5.2 Para completar la estructura requerida, solicitar a la Dirección de Planificación la plaza a trasladar que ocupará el puesto de Coordinador o Coordinadora Judicial 2 en el Juzgado Agrario de Jicaral</w:t>
      </w:r>
      <w:r w:rsidRPr="00033E65">
        <w:rPr>
          <w:rFonts w:cs="Arial"/>
          <w:i/>
          <w:iCs/>
          <w:szCs w:val="22"/>
          <w:lang w:val="es-ES" w:eastAsia="zh-CN"/>
        </w:rPr>
        <w:t xml:space="preserve"> (…)”</w:t>
      </w:r>
      <w:r w:rsidR="00541283" w:rsidRPr="00033E65">
        <w:rPr>
          <w:rFonts w:cs="Arial"/>
          <w:i/>
          <w:iCs/>
          <w:szCs w:val="22"/>
          <w:lang w:val="es-ES" w:eastAsia="zh-CN"/>
        </w:rPr>
        <w:t>.</w:t>
      </w:r>
    </w:p>
    <w:p w14:paraId="570768B8" w14:textId="2EB7965C" w:rsidR="00283FB9" w:rsidRPr="00033E65" w:rsidRDefault="00283FB9" w:rsidP="00283FB9">
      <w:pPr>
        <w:widowControl w:val="0"/>
        <w:tabs>
          <w:tab w:val="left" w:pos="8080"/>
        </w:tabs>
        <w:suppressAutoHyphens/>
        <w:autoSpaceDE w:val="0"/>
        <w:autoSpaceDN w:val="0"/>
        <w:adjustRightInd w:val="0"/>
        <w:ind w:right="474"/>
        <w:rPr>
          <w:rFonts w:cs="Arial"/>
          <w:szCs w:val="22"/>
          <w:lang w:val="es-ES" w:eastAsia="zh-CN"/>
        </w:rPr>
      </w:pPr>
      <w:r w:rsidRPr="00033E65">
        <w:rPr>
          <w:rFonts w:cs="Arial"/>
          <w:szCs w:val="22"/>
          <w:lang w:val="es-ES" w:eastAsia="zh-CN"/>
        </w:rPr>
        <w:t xml:space="preserve">Lo anterior se da porque, la plaza de persona técnica judicial destinada </w:t>
      </w:r>
      <w:r w:rsidR="00864530" w:rsidRPr="00033E65">
        <w:rPr>
          <w:rFonts w:cs="Arial"/>
          <w:szCs w:val="22"/>
          <w:lang w:val="es-ES" w:eastAsia="zh-CN"/>
        </w:rPr>
        <w:t>a</w:t>
      </w:r>
      <w:r w:rsidRPr="00033E65">
        <w:rPr>
          <w:rFonts w:cs="Arial"/>
          <w:szCs w:val="22"/>
          <w:lang w:val="es-ES" w:eastAsia="zh-CN"/>
        </w:rPr>
        <w:t xml:space="preserve"> ocupar el puesto de Coordinadora o Coordinador Judicial en el nuevo Juzgado de Jicaral, de acuerdo con los acuerdos </w:t>
      </w:r>
      <w:r w:rsidR="00864530" w:rsidRPr="00033E65">
        <w:rPr>
          <w:rFonts w:cs="Arial"/>
          <w:szCs w:val="22"/>
          <w:lang w:val="es-ES" w:eastAsia="zh-CN"/>
        </w:rPr>
        <w:t>del</w:t>
      </w:r>
      <w:r w:rsidRPr="00033E65">
        <w:rPr>
          <w:rFonts w:cs="Arial"/>
          <w:szCs w:val="22"/>
          <w:lang w:val="es-ES" w:eastAsia="zh-CN"/>
        </w:rPr>
        <w:t xml:space="preserve"> Consejo </w:t>
      </w:r>
      <w:r w:rsidR="00864530" w:rsidRPr="00033E65">
        <w:rPr>
          <w:rFonts w:cs="Arial"/>
          <w:szCs w:val="22"/>
          <w:lang w:val="es-ES" w:eastAsia="zh-CN"/>
        </w:rPr>
        <w:t xml:space="preserve">Superior </w:t>
      </w:r>
      <w:r w:rsidRPr="00033E65">
        <w:rPr>
          <w:rFonts w:cs="Arial"/>
          <w:szCs w:val="22"/>
          <w:lang w:val="es-ES" w:eastAsia="zh-CN"/>
        </w:rPr>
        <w:t xml:space="preserve">en las sesiones 87-2020 del 8 de setiembre de 2020, artículo XXXI y 102-2020 del 22 de octubre de 2020, artículo XXVIII, donde se conocieron los informes 1346-PLA-2020 y 1600-PLA-2020 </w:t>
      </w:r>
      <w:r w:rsidR="00864530" w:rsidRPr="00033E65">
        <w:rPr>
          <w:rFonts w:cs="Arial"/>
          <w:szCs w:val="22"/>
          <w:lang w:val="es-ES" w:eastAsia="zh-CN"/>
        </w:rPr>
        <w:t xml:space="preserve">, se dejó </w:t>
      </w:r>
      <w:r w:rsidRPr="00033E65">
        <w:rPr>
          <w:rFonts w:cs="Arial"/>
          <w:szCs w:val="22"/>
          <w:lang w:val="es-ES" w:eastAsia="zh-CN"/>
        </w:rPr>
        <w:t xml:space="preserve">sin efecto el traslado de una plaza de Técnico Judicial 1 del Juzgado de Tránsito del Segundo Circuito Judicial de San José a la Oficina de Cumplimiento, y en su lugar </w:t>
      </w:r>
      <w:r w:rsidR="00864530" w:rsidRPr="00033E65">
        <w:rPr>
          <w:rFonts w:cs="Arial"/>
          <w:szCs w:val="22"/>
          <w:lang w:val="es-ES" w:eastAsia="zh-CN"/>
        </w:rPr>
        <w:t xml:space="preserve">se </w:t>
      </w:r>
      <w:r w:rsidRPr="00033E65">
        <w:rPr>
          <w:rFonts w:cs="Arial"/>
          <w:szCs w:val="22"/>
          <w:lang w:val="es-ES" w:eastAsia="zh-CN"/>
        </w:rPr>
        <w:t>traslada ese recurso al Tribunal de Juicio del Segundo Circuito Judicial de San José para su estructura mínima de trabajo</w:t>
      </w:r>
      <w:r w:rsidR="00864530" w:rsidRPr="00033E65">
        <w:rPr>
          <w:rFonts w:cs="Arial"/>
          <w:szCs w:val="22"/>
          <w:lang w:val="es-ES" w:eastAsia="zh-CN"/>
        </w:rPr>
        <w:t xml:space="preserve">. </w:t>
      </w:r>
    </w:p>
    <w:p w14:paraId="541020A9" w14:textId="34D82EBF" w:rsidR="001D1871" w:rsidRPr="00033E65" w:rsidRDefault="001D1871" w:rsidP="00283FB9">
      <w:pPr>
        <w:widowControl w:val="0"/>
        <w:tabs>
          <w:tab w:val="left" w:pos="8080"/>
        </w:tabs>
        <w:suppressAutoHyphens/>
        <w:autoSpaceDE w:val="0"/>
        <w:autoSpaceDN w:val="0"/>
        <w:adjustRightInd w:val="0"/>
        <w:ind w:right="474"/>
        <w:rPr>
          <w:rFonts w:cs="Arial"/>
          <w:szCs w:val="22"/>
          <w:lang w:val="es-ES" w:eastAsia="zh-CN"/>
        </w:rPr>
      </w:pPr>
      <w:r w:rsidRPr="00033E65">
        <w:rPr>
          <w:rFonts w:cs="Arial"/>
          <w:szCs w:val="22"/>
          <w:lang w:val="es-ES" w:eastAsia="zh-CN"/>
        </w:rPr>
        <w:t>En sesión 15-2021 del Consejo Superior celebrada el 23 de febrero del 2021, se conoció y aprobó el oficio 159-PLA-MI-2020, relacionado con la estructura y recurso humano del nuevo Juzgado Agrario de Jicaral y dispuso, en lo que interesa comunicar que el inicio de funciones del Juzgado Agrario de Jicaral, será a partir del 3 de mayo de 2021 y se definía la estructura final que tendría esa oficina con una Jueza o Juez, una Coordinadora o Coordinador Judicial y una Técnica o Técnico Judicial los cuales saldrían de traslados de recursos entre despachos.</w:t>
      </w:r>
    </w:p>
    <w:p w14:paraId="3E7944B4" w14:textId="206664A0" w:rsidR="00FB7689" w:rsidRPr="00033E65" w:rsidRDefault="00513616" w:rsidP="00283FB9">
      <w:pPr>
        <w:widowControl w:val="0"/>
        <w:tabs>
          <w:tab w:val="left" w:pos="8080"/>
        </w:tabs>
        <w:suppressAutoHyphens/>
        <w:autoSpaceDE w:val="0"/>
        <w:autoSpaceDN w:val="0"/>
        <w:adjustRightInd w:val="0"/>
        <w:ind w:right="474"/>
        <w:rPr>
          <w:rFonts w:cs="Arial"/>
          <w:i/>
          <w:szCs w:val="22"/>
          <w:lang w:val="es-ES" w:eastAsia="zh-CN"/>
        </w:rPr>
      </w:pPr>
      <w:r w:rsidRPr="00033E65">
        <w:rPr>
          <w:rFonts w:cs="Arial"/>
          <w:szCs w:val="22"/>
          <w:lang w:val="es-ES" w:eastAsia="zh-CN"/>
        </w:rPr>
        <w:t xml:space="preserve">Oficio </w:t>
      </w:r>
      <w:r w:rsidR="00FB7689" w:rsidRPr="00033E65">
        <w:rPr>
          <w:rFonts w:cs="Arial"/>
          <w:szCs w:val="22"/>
          <w:lang w:val="es-ES" w:eastAsia="zh-CN"/>
        </w:rPr>
        <w:t xml:space="preserve">428-PLA-RH-MI-2021de la Dirección de Planificación, aprobado en sesión extraordinaria (presupuesto) </w:t>
      </w:r>
      <w:r w:rsidR="008E605A" w:rsidRPr="00033E65">
        <w:rPr>
          <w:rFonts w:cs="Arial"/>
          <w:szCs w:val="22"/>
          <w:lang w:val="es-ES" w:eastAsia="zh-CN"/>
        </w:rPr>
        <w:t xml:space="preserve"> </w:t>
      </w:r>
      <w:r w:rsidR="00FB7689" w:rsidRPr="00033E65">
        <w:rPr>
          <w:rFonts w:cs="Arial"/>
          <w:szCs w:val="22"/>
          <w:lang w:val="es-ES" w:eastAsia="zh-CN"/>
        </w:rPr>
        <w:t xml:space="preserve">del Consejo Superior en sesión 30-2021 celebrada el 16 de abril de 2021, incorpora el acuerdo del Consejo Superior en sesión extraordinaria de presupuesto del 30 de abril de 2021, artículo XXII, relacionado con el estudio de requerimiento humano sobre el impacto organizacional y presupuestario en el Poder Judicial a partir de la promulgación del Nuevo Código Procesal Agrario para el 2022, </w:t>
      </w:r>
      <w:r w:rsidR="00FB7689" w:rsidRPr="00033E65">
        <w:rPr>
          <w:rFonts w:cs="Arial"/>
          <w:szCs w:val="22"/>
          <w:lang w:val="es-ES" w:eastAsia="zh-CN"/>
        </w:rPr>
        <w:lastRenderedPageBreak/>
        <w:t>Ley 9609; donde se acordó: “</w:t>
      </w:r>
      <w:r w:rsidR="00FB7689" w:rsidRPr="00033E65">
        <w:rPr>
          <w:rFonts w:cs="Arial"/>
          <w:i/>
          <w:szCs w:val="22"/>
          <w:lang w:val="es-ES" w:eastAsia="zh-CN"/>
        </w:rPr>
        <w:t>1) Aprobar el informe 428-PLA-RH-MI-2021, relacionado con el estudio de Requerimiento Humano sobre el Impacto organizacional y presupuestario en el Poder Judicial a partir de la promulgación del Nuevo Código Procesal Agrario para el 2022, Ley 9609 y sus recomendaciones…”</w:t>
      </w:r>
    </w:p>
    <w:p w14:paraId="6A2363F9" w14:textId="754372D6" w:rsidR="00BF5BAA" w:rsidRPr="00033E65" w:rsidRDefault="00BF5BAA" w:rsidP="00176BCF">
      <w:pPr>
        <w:widowControl w:val="0"/>
        <w:tabs>
          <w:tab w:val="left" w:pos="8080"/>
        </w:tabs>
        <w:suppressAutoHyphens/>
        <w:autoSpaceDE w:val="0"/>
        <w:autoSpaceDN w:val="0"/>
        <w:adjustRightInd w:val="0"/>
        <w:ind w:right="474"/>
        <w:rPr>
          <w:rFonts w:cs="Arial"/>
          <w:szCs w:val="22"/>
          <w:lang w:val="es-ES" w:eastAsia="zh-CN"/>
        </w:rPr>
      </w:pPr>
      <w:r w:rsidRPr="00033E65">
        <w:rPr>
          <w:rFonts w:cs="Arial"/>
          <w:szCs w:val="22"/>
          <w:lang w:val="es-ES" w:eastAsia="zh-CN"/>
        </w:rPr>
        <w:t>En el oficio N°279-PICPA-2021</w:t>
      </w:r>
      <w:r w:rsidR="00CA0FED" w:rsidRPr="00033E65">
        <w:rPr>
          <w:rFonts w:cs="Arial"/>
          <w:szCs w:val="22"/>
          <w:lang w:val="es-ES" w:eastAsia="zh-CN"/>
        </w:rPr>
        <w:t xml:space="preserve"> del 04 de octubre del 2021, la </w:t>
      </w:r>
      <w:r w:rsidR="00176BCF" w:rsidRPr="00033E65">
        <w:rPr>
          <w:rFonts w:cs="Arial"/>
          <w:szCs w:val="22"/>
          <w:lang w:val="es-ES" w:eastAsia="zh-CN"/>
        </w:rPr>
        <w:t>Gestora Agraria</w:t>
      </w:r>
      <w:r w:rsidR="00CA0FED" w:rsidRPr="00033E65">
        <w:rPr>
          <w:rFonts w:cs="Arial"/>
          <w:szCs w:val="22"/>
          <w:lang w:val="es-ES" w:eastAsia="zh-CN"/>
        </w:rPr>
        <w:t xml:space="preserve"> Rebeca Salazar Alcócer</w:t>
      </w:r>
      <w:r w:rsidR="00176BCF" w:rsidRPr="00033E65">
        <w:rPr>
          <w:rFonts w:cs="Arial"/>
          <w:szCs w:val="22"/>
          <w:lang w:val="es-ES" w:eastAsia="zh-CN"/>
        </w:rPr>
        <w:t>, Coordinadora Proyecto de Implementación Código Procesal Agrario</w:t>
      </w:r>
      <w:r w:rsidR="0098791B" w:rsidRPr="00033E65">
        <w:rPr>
          <w:rFonts w:cs="Arial"/>
          <w:szCs w:val="22"/>
          <w:lang w:val="es-ES" w:eastAsia="zh-CN"/>
        </w:rPr>
        <w:t xml:space="preserve">, </w:t>
      </w:r>
      <w:r w:rsidR="0040100D" w:rsidRPr="00033E65">
        <w:rPr>
          <w:rFonts w:cs="Arial"/>
          <w:szCs w:val="22"/>
          <w:lang w:val="es-ES" w:eastAsia="zh-CN"/>
        </w:rPr>
        <w:t xml:space="preserve">con instrucciones del Magistrado Luis Guillermo Rivas Loáiciga, Director del Proyecto de Implementación del Código Procesal Agrario y Coordinador de la Comisión de la Jurisdicción Agraria, comunica el acuerdo tomado por la Comisión de la Jurisdicción Agraria en la sesión N° 10-2021 celebrada en octubre del 2021, Artículo XIX, que literalmente indica: </w:t>
      </w:r>
    </w:p>
    <w:p w14:paraId="4A4E6379" w14:textId="0B51BC2F" w:rsidR="00216D83" w:rsidRPr="00033E65" w:rsidRDefault="0040100D" w:rsidP="0040100D">
      <w:pPr>
        <w:widowControl w:val="0"/>
        <w:tabs>
          <w:tab w:val="left" w:pos="8080"/>
        </w:tabs>
        <w:suppressAutoHyphens/>
        <w:autoSpaceDE w:val="0"/>
        <w:autoSpaceDN w:val="0"/>
        <w:adjustRightInd w:val="0"/>
        <w:ind w:right="474"/>
        <w:rPr>
          <w:rFonts w:cs="Arial"/>
          <w:i/>
          <w:szCs w:val="22"/>
          <w:lang w:val="es-ES" w:eastAsia="zh-CN"/>
        </w:rPr>
      </w:pPr>
      <w:r w:rsidRPr="00033E65">
        <w:rPr>
          <w:rFonts w:cs="Arial"/>
          <w:i/>
          <w:szCs w:val="22"/>
          <w:lang w:val="es-ES" w:eastAsia="zh-CN"/>
        </w:rPr>
        <w:t>“SE ACUERDA: 1. Se toma nota de las manifestaciones de la Gestora Agraria. 2. Considerar dentro de los requerimientos presupuestarios mantener el apoyo de la Gestora Agraria, durante los años 2022, 2023, incluyendo los recursos necesarios para implementar la reforma procesal agraria, entre ellos, las capacitaciones a las personas juzgadoras agrarias y al personal de apoyo, entre otros requerimientos propios del Proyecto de Implementación del CPA; además, recomendar la posibilidad de asignar un dron a cada uno de los despachos agrarios. 3. Recomendar a las oficinas involucradas con el Proyecto de Implementación del CPA incorporar en la proyección presupuestaria plurianual los recursos que sean necesarios para apoyar el cumplimiento de los entregables y tareas dispuestos en este proyecto estratégico. 4. Se declara este acuerdo firme por unanimidad. Comuníquese al Despacho de la Presidencia, Dirección de Planificación, Dirección Ejecutiva, Dirección de Tecnología de la Información, Dirección de Gestión Humana, Dirección del CACMFJ, Dirección de la Escuela Judicial, Oficina de Control Interno, entre otras oficinas involucradas con la ejecución de ese proyecto.”</w:t>
      </w:r>
    </w:p>
    <w:p w14:paraId="4DB043E0" w14:textId="33FA2EBB" w:rsidR="00D5260A" w:rsidRPr="00033E65" w:rsidRDefault="00D5260A" w:rsidP="009E39AB">
      <w:pPr>
        <w:widowControl w:val="0"/>
        <w:tabs>
          <w:tab w:val="left" w:pos="8080"/>
        </w:tabs>
        <w:suppressAutoHyphens/>
        <w:autoSpaceDE w:val="0"/>
        <w:autoSpaceDN w:val="0"/>
        <w:adjustRightInd w:val="0"/>
        <w:ind w:right="474"/>
        <w:rPr>
          <w:rFonts w:cs="Arial"/>
          <w:i/>
          <w:szCs w:val="22"/>
          <w:lang w:val="es-ES" w:eastAsia="zh-CN"/>
        </w:rPr>
      </w:pPr>
    </w:p>
    <w:p w14:paraId="1FDF9D91" w14:textId="0887A01B" w:rsidR="009E39AB" w:rsidRPr="00033E65" w:rsidRDefault="009E39AB" w:rsidP="009E39AB">
      <w:pPr>
        <w:widowControl w:val="0"/>
        <w:tabs>
          <w:tab w:val="left" w:pos="8080"/>
        </w:tabs>
        <w:suppressAutoHyphens/>
        <w:autoSpaceDE w:val="0"/>
        <w:autoSpaceDN w:val="0"/>
        <w:adjustRightInd w:val="0"/>
        <w:ind w:right="474"/>
        <w:rPr>
          <w:rFonts w:cs="Arial"/>
          <w:szCs w:val="22"/>
          <w:lang w:val="es-ES" w:eastAsia="zh-CN"/>
        </w:rPr>
      </w:pPr>
      <w:r w:rsidRPr="00033E65">
        <w:rPr>
          <w:rFonts w:cs="Arial"/>
          <w:szCs w:val="22"/>
          <w:lang w:val="es-ES" w:eastAsia="zh-CN"/>
        </w:rPr>
        <w:t>En sesión N° 96-2021 celebrada el 09 de noviembre del 2021, se conoció el oficio 932-PLA-MI-2021, relacionado con los indicadores de gestión de materia Agraria y algunas recomendaciones varias para la mejora continua tanto en Judicatura como en la Defensa Pública y se acuerda:</w:t>
      </w:r>
    </w:p>
    <w:p w14:paraId="6CD9D0AF" w14:textId="4526900F" w:rsidR="009E39AB" w:rsidRPr="00033E65" w:rsidRDefault="009E39AB" w:rsidP="009E39AB">
      <w:pPr>
        <w:rPr>
          <w:rFonts w:cs="Arial"/>
          <w:i/>
          <w:szCs w:val="22"/>
          <w:lang w:val="es-ES" w:eastAsia="zh-CN"/>
        </w:rPr>
      </w:pPr>
      <w:r w:rsidRPr="00033E65">
        <w:rPr>
          <w:rFonts w:cs="Arial"/>
          <w:i/>
          <w:szCs w:val="22"/>
          <w:lang w:val="es-ES" w:eastAsia="zh-CN"/>
        </w:rPr>
        <w:t>“Se acordó: 1.) Tener por recibido el informe 932-PLA-MI-2021 de la Dirección de Planificación, relacionado con los indicadores de gestión de materia Agraria y algunas recomendaciones varias para la mejora continua tanto en Judicatura como en la Defensa Pública. Así como, el correo electrónico remitido por la licenciada Rosaura Segnini Vargas, Jueza Coordinadora del Juzgado Agrario de Puntarenas. 2.) Tomar nota de los principales elementos expuestos y las acciones realizadas en materia agraria para la implementación del Modelo de Seguimiento y Sostenibilidad, así como de las diversas recomendaciones señaladas por la Dirección de Planificación. 3.) Hacer este acuerdo de conocimiento de la Comisión de Asuntos Agrarios, la Defensa Pública y los diferentes despachos en materia agraria, como parte de la mejora continua en la materia agraria.”</w:t>
      </w:r>
    </w:p>
    <w:p w14:paraId="50DE5F3F" w14:textId="6EA0536E" w:rsidR="00D44808" w:rsidRPr="00033E65" w:rsidRDefault="005E63FE" w:rsidP="009E39AB">
      <w:pPr>
        <w:rPr>
          <w:rFonts w:cs="Arial"/>
          <w:iCs/>
          <w:szCs w:val="22"/>
          <w:lang w:val="es-ES" w:eastAsia="zh-CN"/>
        </w:rPr>
      </w:pPr>
      <w:r w:rsidRPr="00033E65">
        <w:rPr>
          <w:rFonts w:cs="Arial"/>
          <w:iCs/>
          <w:szCs w:val="22"/>
          <w:lang w:val="es-ES" w:eastAsia="zh-CN"/>
        </w:rPr>
        <w:t>Oficio 316</w:t>
      </w:r>
      <w:r w:rsidR="007C53C9" w:rsidRPr="00033E65">
        <w:rPr>
          <w:rFonts w:cs="Arial"/>
          <w:iCs/>
          <w:szCs w:val="22"/>
          <w:lang w:val="es-ES" w:eastAsia="zh-CN"/>
        </w:rPr>
        <w:t xml:space="preserve">-PLA-MI-RH-2022 </w:t>
      </w:r>
      <w:r w:rsidR="003E5CD2" w:rsidRPr="00033E65">
        <w:rPr>
          <w:rFonts w:cs="Arial"/>
          <w:iCs/>
          <w:szCs w:val="22"/>
          <w:lang w:val="es-ES" w:eastAsia="zh-CN"/>
        </w:rPr>
        <w:t>de la Dirección de Planificación aprobado mediante</w:t>
      </w:r>
      <w:r w:rsidR="007C53C9" w:rsidRPr="00033E65">
        <w:rPr>
          <w:rFonts w:cs="Arial"/>
          <w:iCs/>
          <w:szCs w:val="22"/>
          <w:lang w:val="es-ES" w:eastAsia="zh-CN"/>
        </w:rPr>
        <w:t xml:space="preserve"> sesión extraordinaria (presupuesto) del Consejo Superior 36-2022 celebrada el 29 de abril del 2022, artículo XXII</w:t>
      </w:r>
      <w:r w:rsidR="003E5CD2" w:rsidRPr="00033E65">
        <w:rPr>
          <w:rFonts w:cs="Arial"/>
          <w:iCs/>
          <w:szCs w:val="22"/>
          <w:lang w:val="es-ES" w:eastAsia="zh-CN"/>
        </w:rPr>
        <w:t xml:space="preserve"> relacionado con el estudio de requerimiento humano sobre el impacto </w:t>
      </w:r>
      <w:r w:rsidR="003E5CD2" w:rsidRPr="00033E65">
        <w:rPr>
          <w:rFonts w:cs="Arial"/>
          <w:iCs/>
          <w:szCs w:val="22"/>
          <w:lang w:val="es-ES" w:eastAsia="zh-CN"/>
        </w:rPr>
        <w:lastRenderedPageBreak/>
        <w:t>organizacional y presupuestario en el Poder Judicial a partir de la promulgación del Nuevo Código Procesal Agrario para el 2023, Ley 9609</w:t>
      </w:r>
      <w:r w:rsidR="00E03017" w:rsidRPr="00033E65">
        <w:rPr>
          <w:rFonts w:cs="Arial"/>
          <w:iCs/>
          <w:szCs w:val="22"/>
          <w:lang w:val="es-ES" w:eastAsia="zh-CN"/>
        </w:rPr>
        <w:t>.</w:t>
      </w:r>
    </w:p>
    <w:p w14:paraId="386EEE77" w14:textId="2895B0BF" w:rsidR="00CD3A41" w:rsidRPr="00033E65" w:rsidRDefault="0031763A" w:rsidP="009E39AB">
      <w:pPr>
        <w:widowControl w:val="0"/>
        <w:tabs>
          <w:tab w:val="left" w:pos="8080"/>
        </w:tabs>
        <w:suppressAutoHyphens/>
        <w:autoSpaceDE w:val="0"/>
        <w:autoSpaceDN w:val="0"/>
        <w:adjustRightInd w:val="0"/>
        <w:ind w:right="474"/>
        <w:rPr>
          <w:szCs w:val="22"/>
          <w:lang w:eastAsia="es-CR"/>
        </w:rPr>
      </w:pPr>
      <w:r w:rsidRPr="00033E65">
        <w:rPr>
          <w:szCs w:val="22"/>
          <w:lang w:eastAsia="es-CR"/>
        </w:rPr>
        <w:t xml:space="preserve">Corte Plena mediante sesión </w:t>
      </w:r>
      <w:r w:rsidR="00866D34" w:rsidRPr="00033E65">
        <w:rPr>
          <w:szCs w:val="22"/>
          <w:lang w:eastAsia="es-CR"/>
        </w:rPr>
        <w:t>047-2022 del 12 de setiembre de 2023, artículo XV aprobó</w:t>
      </w:r>
      <w:r w:rsidR="00D44808" w:rsidRPr="00033E65">
        <w:rPr>
          <w:szCs w:val="22"/>
          <w:lang w:eastAsia="es-CR"/>
        </w:rPr>
        <w:t>:</w:t>
      </w:r>
    </w:p>
    <w:p w14:paraId="69A1548A" w14:textId="4801E70B" w:rsidR="00D44808" w:rsidRPr="00033E65" w:rsidRDefault="00D44808" w:rsidP="009E39AB">
      <w:pPr>
        <w:widowControl w:val="0"/>
        <w:tabs>
          <w:tab w:val="left" w:pos="8080"/>
        </w:tabs>
        <w:suppressAutoHyphens/>
        <w:autoSpaceDE w:val="0"/>
        <w:autoSpaceDN w:val="0"/>
        <w:adjustRightInd w:val="0"/>
        <w:ind w:right="474"/>
        <w:rPr>
          <w:i/>
          <w:iCs/>
          <w:szCs w:val="22"/>
          <w:lang w:eastAsia="es-CR"/>
        </w:rPr>
      </w:pPr>
      <w:r w:rsidRPr="00033E65">
        <w:rPr>
          <w:i/>
          <w:iCs/>
          <w:szCs w:val="22"/>
          <w:lang w:eastAsia="es-CR"/>
        </w:rPr>
        <w:t>“2.) Acoger el proyecto de ley relacionado con la ampliación de la vacatio legis para la implementación del Código Procesal Agrario (Ley Nº 9609) y disponer su envío al Poder Ejecutivo para que por intermedio del señor Presidente de la República y del señor Ministro de Justicia y Paz, sea remitido a la Asamblea Legislativa para el trámite correspondiente.</w:t>
      </w:r>
    </w:p>
    <w:p w14:paraId="4E5F6641" w14:textId="77777777" w:rsidR="00FD7534" w:rsidRPr="00033E65" w:rsidRDefault="00FD7534" w:rsidP="00CD3A41">
      <w:pPr>
        <w:widowControl w:val="0"/>
        <w:tabs>
          <w:tab w:val="left" w:pos="8080"/>
        </w:tabs>
        <w:suppressAutoHyphens/>
        <w:autoSpaceDE w:val="0"/>
        <w:autoSpaceDN w:val="0"/>
        <w:adjustRightInd w:val="0"/>
        <w:ind w:right="49"/>
        <w:rPr>
          <w:szCs w:val="22"/>
          <w:lang w:eastAsia="es-CR"/>
        </w:rPr>
      </w:pPr>
    </w:p>
    <w:p w14:paraId="713AD2B4" w14:textId="0DF23336" w:rsidR="009E39AB" w:rsidRPr="00033E65" w:rsidRDefault="00CD3A41" w:rsidP="00274042">
      <w:pPr>
        <w:widowControl w:val="0"/>
        <w:tabs>
          <w:tab w:val="left" w:pos="8080"/>
        </w:tabs>
        <w:suppressAutoHyphens/>
        <w:autoSpaceDE w:val="0"/>
        <w:autoSpaceDN w:val="0"/>
        <w:adjustRightInd w:val="0"/>
        <w:ind w:right="49"/>
        <w:rPr>
          <w:szCs w:val="22"/>
          <w:lang w:eastAsia="es-CR"/>
        </w:rPr>
      </w:pPr>
      <w:r w:rsidRPr="00033E65">
        <w:rPr>
          <w:szCs w:val="22"/>
          <w:lang w:eastAsia="es-CR"/>
        </w:rPr>
        <w:t xml:space="preserve">El pasado 15 de febrero del 2023 </w:t>
      </w:r>
      <w:r w:rsidR="00A67FD7" w:rsidRPr="00033E65">
        <w:rPr>
          <w:szCs w:val="22"/>
          <w:lang w:eastAsia="es-CR"/>
        </w:rPr>
        <w:t>La Asamblea Legislativa</w:t>
      </w:r>
      <w:r w:rsidRPr="00033E65">
        <w:rPr>
          <w:szCs w:val="22"/>
          <w:lang w:eastAsia="es-CR"/>
        </w:rPr>
        <w:t xml:space="preserve"> aprob</w:t>
      </w:r>
      <w:r w:rsidR="00A67FD7" w:rsidRPr="00033E65">
        <w:rPr>
          <w:szCs w:val="22"/>
          <w:lang w:eastAsia="es-CR"/>
        </w:rPr>
        <w:t xml:space="preserve">ó </w:t>
      </w:r>
      <w:r w:rsidRPr="00033E65">
        <w:rPr>
          <w:szCs w:val="22"/>
          <w:lang w:eastAsia="es-CR"/>
        </w:rPr>
        <w:t>el expediente 23.552, Ley de Vacancia del Código Procesal Agrario, que modifica la entrada en vigencia de la ley para que empiece a regir del 28 de febrero del 2025 y no el 28 de febrero del año en curso.</w:t>
      </w:r>
    </w:p>
    <w:p w14:paraId="13980161" w14:textId="58DC65BB" w:rsidR="00DD1F59" w:rsidRPr="00033E65" w:rsidRDefault="00DD1F59" w:rsidP="009E39AB">
      <w:pPr>
        <w:widowControl w:val="0"/>
        <w:tabs>
          <w:tab w:val="left" w:pos="8080"/>
        </w:tabs>
        <w:suppressAutoHyphens/>
        <w:autoSpaceDE w:val="0"/>
        <w:autoSpaceDN w:val="0"/>
        <w:adjustRightInd w:val="0"/>
        <w:ind w:right="474"/>
        <w:rPr>
          <w:szCs w:val="22"/>
          <w:lang w:eastAsia="es-CR"/>
        </w:rPr>
      </w:pPr>
    </w:p>
    <w:p w14:paraId="00FD61C2" w14:textId="1936D715" w:rsidR="002F3D3E" w:rsidRPr="009155A4" w:rsidRDefault="00F825F1" w:rsidP="00D679B9">
      <w:pPr>
        <w:widowControl w:val="0"/>
        <w:tabs>
          <w:tab w:val="left" w:pos="8080"/>
        </w:tabs>
        <w:suppressAutoHyphens/>
        <w:autoSpaceDE w:val="0"/>
        <w:autoSpaceDN w:val="0"/>
        <w:adjustRightInd w:val="0"/>
        <w:ind w:right="474"/>
        <w:rPr>
          <w:szCs w:val="22"/>
          <w:lang w:eastAsia="es-CR"/>
        </w:rPr>
      </w:pPr>
      <w:r w:rsidRPr="00033E65">
        <w:rPr>
          <w:szCs w:val="22"/>
          <w:lang w:eastAsia="es-CR"/>
        </w:rPr>
        <w:t>En sesión 008-2023 del 20 de febrero del 2023, artículo XV, la Corte Plena aprueba la creación de la Comisión Revisora para la actualización del Código Procesal Agrario en los términos en que propone la Comisión de la Jurisdicción Agraria, ya que la institución ha tenido avances vertiginosos en los últimos años en el ámbito tecnológico, en el ámbito del seguimiento que ha hecho la Dirección de Planificación y también la experiencia, las lecciones aprendidas y las buenas prácticas ante la implementación del Código Procesal Contencioso Administrativo, del Código Procesal Civil y de la Reforma Procesal Laboral.</w:t>
      </w:r>
    </w:p>
    <w:p w14:paraId="524951AE" w14:textId="18367C77" w:rsidR="00A63121" w:rsidRPr="00033E65" w:rsidRDefault="002B1303" w:rsidP="00481B93">
      <w:pPr>
        <w:pStyle w:val="Ttulo1"/>
        <w:numPr>
          <w:ilvl w:val="0"/>
          <w:numId w:val="0"/>
        </w:numPr>
        <w:ind w:left="432" w:hanging="432"/>
        <w:rPr>
          <w:color w:val="auto"/>
          <w:lang w:val="es-ES"/>
        </w:rPr>
      </w:pPr>
      <w:bookmarkStart w:id="6" w:name="_Toc37670445"/>
      <w:bookmarkStart w:id="7" w:name="_Toc132639500"/>
      <w:r w:rsidRPr="00033E65">
        <w:rPr>
          <w:lang w:val="es-ES"/>
        </w:rPr>
        <w:t xml:space="preserve">2. </w:t>
      </w:r>
      <w:r w:rsidR="00A63121" w:rsidRPr="00033E65">
        <w:rPr>
          <w:lang w:val="es-ES"/>
        </w:rPr>
        <w:t>Metodología</w:t>
      </w:r>
      <w:bookmarkEnd w:id="6"/>
      <w:bookmarkEnd w:id="7"/>
    </w:p>
    <w:p w14:paraId="61CF5D32" w14:textId="5A91E2DD" w:rsidR="00A63121" w:rsidRPr="00033E65" w:rsidRDefault="00A63121" w:rsidP="00A63121">
      <w:pPr>
        <w:rPr>
          <w:szCs w:val="22"/>
          <w:lang w:val="es-ES_tradnl"/>
        </w:rPr>
      </w:pPr>
      <w:r w:rsidRPr="00033E65">
        <w:rPr>
          <w:szCs w:val="22"/>
          <w:lang w:val="es-ES_tradnl"/>
        </w:rPr>
        <w:t xml:space="preserve">Para la confección del presente informe se utilizó como documento de referencia, el informe </w:t>
      </w:r>
      <w:r w:rsidR="00575FDD" w:rsidRPr="00033E65">
        <w:rPr>
          <w:szCs w:val="22"/>
          <w:lang w:val="es-ES_tradnl"/>
        </w:rPr>
        <w:t>316</w:t>
      </w:r>
      <w:r w:rsidRPr="00033E65">
        <w:rPr>
          <w:szCs w:val="22"/>
          <w:lang w:val="es-ES_tradnl"/>
        </w:rPr>
        <w:t>-PLA-RH-MI-20</w:t>
      </w:r>
      <w:r w:rsidR="00767463" w:rsidRPr="00033E65">
        <w:rPr>
          <w:szCs w:val="22"/>
          <w:lang w:val="es-ES_tradnl"/>
        </w:rPr>
        <w:t>2</w:t>
      </w:r>
      <w:r w:rsidR="00575FDD" w:rsidRPr="00033E65">
        <w:rPr>
          <w:szCs w:val="22"/>
          <w:lang w:val="es-ES_tradnl"/>
        </w:rPr>
        <w:t>2</w:t>
      </w:r>
      <w:r w:rsidRPr="00033E65">
        <w:rPr>
          <w:szCs w:val="22"/>
          <w:lang w:val="es-ES_tradnl"/>
        </w:rPr>
        <w:t>, realizado en abril del 20</w:t>
      </w:r>
      <w:r w:rsidR="00767463" w:rsidRPr="00033E65">
        <w:rPr>
          <w:szCs w:val="22"/>
          <w:lang w:val="es-ES_tradnl"/>
        </w:rPr>
        <w:t>2</w:t>
      </w:r>
      <w:r w:rsidR="00323F88" w:rsidRPr="00033E65">
        <w:rPr>
          <w:szCs w:val="22"/>
          <w:lang w:val="es-ES_tradnl"/>
        </w:rPr>
        <w:t>2</w:t>
      </w:r>
      <w:r w:rsidRPr="00033E65">
        <w:rPr>
          <w:szCs w:val="22"/>
          <w:lang w:val="es-ES_tradnl"/>
        </w:rPr>
        <w:t xml:space="preserve"> por la Dirección de Planificación, relacionado “</w:t>
      </w:r>
      <w:r w:rsidRPr="00033E65">
        <w:rPr>
          <w:b/>
          <w:bCs/>
          <w:i/>
          <w:iCs/>
          <w:szCs w:val="22"/>
          <w:lang w:val="es-ES_tradnl"/>
        </w:rPr>
        <w:t>Impacto organizacional y presupuestario en el Poder Judicial a partir de la promulgación del Nuevo Código Procesal Agrario para el 202</w:t>
      </w:r>
      <w:r w:rsidR="00323F88" w:rsidRPr="00033E65">
        <w:rPr>
          <w:b/>
          <w:bCs/>
          <w:i/>
          <w:iCs/>
          <w:szCs w:val="22"/>
          <w:lang w:val="es-ES_tradnl"/>
        </w:rPr>
        <w:t>3</w:t>
      </w:r>
      <w:r w:rsidRPr="00033E65">
        <w:rPr>
          <w:b/>
          <w:bCs/>
          <w:i/>
          <w:iCs/>
          <w:szCs w:val="22"/>
          <w:lang w:val="es-ES_tradnl"/>
        </w:rPr>
        <w:t xml:space="preserve"> Ley 9609”</w:t>
      </w:r>
      <w:r w:rsidRPr="00033E65">
        <w:rPr>
          <w:szCs w:val="22"/>
          <w:lang w:val="es-ES_tradnl"/>
        </w:rPr>
        <w:t xml:space="preserve">, </w:t>
      </w:r>
      <w:r w:rsidR="00BC2FD1" w:rsidRPr="00033E65">
        <w:rPr>
          <w:szCs w:val="22"/>
          <w:lang w:val="es-ES_tradnl"/>
        </w:rPr>
        <w:t xml:space="preserve">aprobado en sesión extraordinaria (presupuesto) Consejo Superior </w:t>
      </w:r>
      <w:r w:rsidR="000E6687" w:rsidRPr="00033E65">
        <w:rPr>
          <w:szCs w:val="22"/>
          <w:lang w:val="es-ES_tradnl"/>
        </w:rPr>
        <w:t>36-2022 celebrada el 29 de abril del 2022, artículo XXII</w:t>
      </w:r>
      <w:r w:rsidR="00BC2FD1" w:rsidRPr="00033E65">
        <w:rPr>
          <w:szCs w:val="22"/>
          <w:lang w:val="es-ES_tradnl"/>
        </w:rPr>
        <w:t>. Sesión de Corte Plena 2</w:t>
      </w:r>
      <w:r w:rsidR="00860DD6" w:rsidRPr="00033E65">
        <w:rPr>
          <w:szCs w:val="22"/>
          <w:lang w:val="es-ES_tradnl"/>
        </w:rPr>
        <w:t>7</w:t>
      </w:r>
      <w:r w:rsidR="00BC2FD1" w:rsidRPr="00033E65">
        <w:rPr>
          <w:szCs w:val="22"/>
          <w:lang w:val="es-ES_tradnl"/>
        </w:rPr>
        <w:t>-202</w:t>
      </w:r>
      <w:r w:rsidR="00860DD6" w:rsidRPr="00033E65">
        <w:rPr>
          <w:szCs w:val="22"/>
          <w:lang w:val="es-ES_tradnl"/>
        </w:rPr>
        <w:t>2</w:t>
      </w:r>
      <w:r w:rsidR="00BC2FD1" w:rsidRPr="00033E65">
        <w:rPr>
          <w:szCs w:val="22"/>
          <w:lang w:val="es-ES_tradnl"/>
        </w:rPr>
        <w:t>, del 1 de junio, artículo II.</w:t>
      </w:r>
    </w:p>
    <w:p w14:paraId="4A8302E3" w14:textId="322BCF8C" w:rsidR="00FC64B8" w:rsidRPr="00033E65" w:rsidRDefault="00A63121" w:rsidP="00A63121">
      <w:r w:rsidRPr="00033E65">
        <w:rPr>
          <w:szCs w:val="22"/>
          <w:lang w:val="es-ES_tradnl"/>
        </w:rPr>
        <w:t xml:space="preserve">Se realizan consultas directas </w:t>
      </w:r>
      <w:r w:rsidR="009A2B87" w:rsidRPr="00033E65">
        <w:rPr>
          <w:szCs w:val="22"/>
          <w:lang w:val="es-ES_tradnl"/>
        </w:rPr>
        <w:t>con</w:t>
      </w:r>
      <w:r w:rsidRPr="00033E65">
        <w:rPr>
          <w:szCs w:val="22"/>
          <w:lang w:val="es-ES_tradnl"/>
        </w:rPr>
        <w:t xml:space="preserve"> la Licda. Paula Campos</w:t>
      </w:r>
      <w:r w:rsidR="00F20DC5" w:rsidRPr="00033E65">
        <w:rPr>
          <w:szCs w:val="22"/>
          <w:lang w:val="es-ES_tradnl"/>
        </w:rPr>
        <w:t xml:space="preserve"> </w:t>
      </w:r>
      <w:r w:rsidRPr="00033E65">
        <w:rPr>
          <w:szCs w:val="22"/>
          <w:lang w:val="es-ES_tradnl"/>
        </w:rPr>
        <w:t xml:space="preserve">del Centro de Apoyo, Coordinación y Mejoramiento de la Función Jurisdiccional, </w:t>
      </w:r>
      <w:r w:rsidR="008A4348" w:rsidRPr="00033E65">
        <w:rPr>
          <w:szCs w:val="22"/>
          <w:lang w:val="es-ES_tradnl"/>
        </w:rPr>
        <w:t>a la Licda.</w:t>
      </w:r>
      <w:r w:rsidRPr="00033E65">
        <w:rPr>
          <w:szCs w:val="22"/>
          <w:lang w:val="es-ES_tradnl"/>
        </w:rPr>
        <w:t xml:space="preserve"> </w:t>
      </w:r>
      <w:r w:rsidR="008A4348" w:rsidRPr="00033E65">
        <w:rPr>
          <w:szCs w:val="22"/>
          <w:lang w:val="es-ES_tradnl"/>
        </w:rPr>
        <w:t>Maribel Araya Valverde</w:t>
      </w:r>
      <w:r w:rsidR="00270BB4" w:rsidRPr="00033E65">
        <w:rPr>
          <w:szCs w:val="22"/>
          <w:lang w:val="es-ES_tradnl"/>
        </w:rPr>
        <w:t xml:space="preserve"> y el Lic. </w:t>
      </w:r>
      <w:r w:rsidR="008A4348" w:rsidRPr="00033E65">
        <w:rPr>
          <w:szCs w:val="22"/>
          <w:lang w:val="es-ES_tradnl"/>
        </w:rPr>
        <w:t>Luis Diego Sánche</w:t>
      </w:r>
      <w:r w:rsidR="006F7243" w:rsidRPr="00033E65">
        <w:rPr>
          <w:szCs w:val="22"/>
          <w:lang w:val="es-ES_tradnl"/>
        </w:rPr>
        <w:t>z García</w:t>
      </w:r>
      <w:r w:rsidRPr="00033E65">
        <w:rPr>
          <w:szCs w:val="22"/>
          <w:lang w:val="es-ES_tradnl"/>
        </w:rPr>
        <w:t xml:space="preserve"> de la Dirección Ejecutiva,</w:t>
      </w:r>
      <w:r w:rsidRPr="00033E65">
        <w:t xml:space="preserve"> </w:t>
      </w:r>
      <w:r w:rsidR="00C71014" w:rsidRPr="00033E65">
        <w:t>con respecto a la solicitud de actualización de presupuesto para atender la Reforma Procesal Agraria</w:t>
      </w:r>
      <w:r w:rsidR="00A83855" w:rsidRPr="00033E65">
        <w:t>.</w:t>
      </w:r>
      <w:r w:rsidR="00FB1613" w:rsidRPr="00033E65">
        <w:t xml:space="preserve"> También se realizaron consultas </w:t>
      </w:r>
      <w:r w:rsidR="008357F2" w:rsidRPr="00033E65">
        <w:t>a</w:t>
      </w:r>
      <w:r w:rsidR="0045522D" w:rsidRPr="00033E65">
        <w:t>l Lic.</w:t>
      </w:r>
      <w:r w:rsidR="00FB1613" w:rsidRPr="00033E65">
        <w:t xml:space="preserve"> </w:t>
      </w:r>
      <w:r w:rsidR="0045522D" w:rsidRPr="00033E65">
        <w:t>Josué Alberto González Granados, Administrador Regional de la Defensa Pública</w:t>
      </w:r>
      <w:r w:rsidR="009B55F7" w:rsidRPr="00033E65">
        <w:t>,</w:t>
      </w:r>
      <w:r w:rsidR="0045522D" w:rsidRPr="00033E65">
        <w:t xml:space="preserve"> el </w:t>
      </w:r>
      <w:r w:rsidR="000F5686" w:rsidRPr="00033E65">
        <w:t>MSc. Orlando Vargas Chacón</w:t>
      </w:r>
      <w:r w:rsidR="0045522D" w:rsidRPr="00033E65">
        <w:t>,</w:t>
      </w:r>
      <w:r w:rsidR="009B55F7" w:rsidRPr="00033E65">
        <w:t xml:space="preserve"> Subdirector a.i. de la Defensa Pública y Lic. Jesús Chaves Mora</w:t>
      </w:r>
      <w:r w:rsidR="0045522D" w:rsidRPr="00033E65">
        <w:t xml:space="preserve"> Coordinador de la Unidad de Defensa Pública Agraria. </w:t>
      </w:r>
      <w:r w:rsidR="00FC64B8" w:rsidRPr="00033E65">
        <w:t>Además de los Despachos Judiciales competentes a la materia agraria y las Administraciones R</w:t>
      </w:r>
      <w:r w:rsidR="00F4104D" w:rsidRPr="00033E65">
        <w:t>egionales a nivel nacional</w:t>
      </w:r>
      <w:r w:rsidR="003F7BA2" w:rsidRPr="00033E65">
        <w:t>.</w:t>
      </w:r>
    </w:p>
    <w:p w14:paraId="3F5E397D" w14:textId="71355ADB" w:rsidR="00A63121" w:rsidRPr="00033E65" w:rsidRDefault="002B1303" w:rsidP="007E06A7">
      <w:pPr>
        <w:pStyle w:val="Ttulo1"/>
        <w:numPr>
          <w:ilvl w:val="0"/>
          <w:numId w:val="0"/>
        </w:numPr>
        <w:rPr>
          <w:lang w:val="es-ES"/>
        </w:rPr>
      </w:pPr>
      <w:bookmarkStart w:id="8" w:name="_Toc37670446"/>
      <w:bookmarkStart w:id="9" w:name="_Toc132639501"/>
      <w:r w:rsidRPr="00033E65">
        <w:rPr>
          <w:lang w:val="es-ES"/>
        </w:rPr>
        <w:lastRenderedPageBreak/>
        <w:t>3</w:t>
      </w:r>
      <w:r w:rsidR="00EC5306">
        <w:rPr>
          <w:lang w:val="es-ES"/>
        </w:rPr>
        <w:t>.</w:t>
      </w:r>
      <w:r w:rsidRPr="00033E65">
        <w:rPr>
          <w:lang w:val="es-ES"/>
        </w:rPr>
        <w:t xml:space="preserve"> </w:t>
      </w:r>
      <w:r w:rsidR="00A63121" w:rsidRPr="00033E65">
        <w:rPr>
          <w:lang w:val="es-ES"/>
        </w:rPr>
        <w:t>Información relevante</w:t>
      </w:r>
      <w:bookmarkEnd w:id="8"/>
      <w:bookmarkEnd w:id="9"/>
      <w:r w:rsidR="00A63121" w:rsidRPr="00033E65">
        <w:rPr>
          <w:lang w:val="es-ES"/>
        </w:rPr>
        <w:t xml:space="preserve"> </w:t>
      </w:r>
    </w:p>
    <w:p w14:paraId="407DE0A7" w14:textId="1BB48ADE" w:rsidR="00DA2681" w:rsidRPr="00033E65" w:rsidRDefault="00A63121" w:rsidP="00A63121">
      <w:r w:rsidRPr="00033E65">
        <w:t>A continuación, se presenta la conformación actual de los Juzgados y Oficinas que conocen la materia Agraria.</w:t>
      </w:r>
    </w:p>
    <w:p w14:paraId="7E5E43AD" w14:textId="77777777" w:rsidR="00A63121" w:rsidRPr="00033E65" w:rsidRDefault="00A63121" w:rsidP="00A63121">
      <w:pPr>
        <w:pStyle w:val="Prrafodelista"/>
        <w:keepNext/>
        <w:keepLines/>
        <w:numPr>
          <w:ilvl w:val="0"/>
          <w:numId w:val="3"/>
        </w:numPr>
        <w:spacing w:before="240" w:after="240"/>
        <w:contextualSpacing w:val="0"/>
        <w:outlineLvl w:val="2"/>
        <w:rPr>
          <w:rFonts w:eastAsiaTheme="majorEastAsia" w:cstheme="majorBidi"/>
          <w:b/>
          <w:vanish/>
          <w:sz w:val="24"/>
          <w:szCs w:val="24"/>
        </w:rPr>
      </w:pPr>
      <w:bookmarkStart w:id="10" w:name="_Toc34639067"/>
      <w:bookmarkStart w:id="11" w:name="_Toc34727187"/>
      <w:bookmarkStart w:id="12" w:name="_Toc34830114"/>
      <w:bookmarkStart w:id="13" w:name="_Toc34903257"/>
      <w:bookmarkStart w:id="14" w:name="_Toc34912949"/>
      <w:bookmarkStart w:id="15" w:name="_Toc34914042"/>
      <w:bookmarkStart w:id="16" w:name="_Toc34639068"/>
      <w:bookmarkStart w:id="17" w:name="_Toc34727188"/>
      <w:bookmarkStart w:id="18" w:name="_Toc34830115"/>
      <w:bookmarkStart w:id="19" w:name="_Toc34903258"/>
      <w:bookmarkStart w:id="20" w:name="_Toc34912950"/>
      <w:bookmarkStart w:id="21" w:name="_Toc34914043"/>
      <w:bookmarkStart w:id="22" w:name="_Toc36214341"/>
      <w:bookmarkStart w:id="23" w:name="_Toc37668860"/>
      <w:bookmarkStart w:id="24" w:name="_Toc37670345"/>
      <w:bookmarkStart w:id="25" w:name="_Toc37670447"/>
      <w:bookmarkStart w:id="26" w:name="_Toc64355585"/>
      <w:bookmarkStart w:id="27" w:name="_Toc64355659"/>
      <w:bookmarkStart w:id="28" w:name="_Toc64355733"/>
      <w:bookmarkStart w:id="29" w:name="_Toc64356109"/>
      <w:bookmarkStart w:id="30" w:name="_Toc65768225"/>
      <w:bookmarkStart w:id="31" w:name="_Toc67301315"/>
      <w:bookmarkStart w:id="32" w:name="_Toc67304717"/>
      <w:bookmarkStart w:id="33" w:name="_Toc67398009"/>
      <w:bookmarkStart w:id="34" w:name="_Toc68688514"/>
      <w:bookmarkStart w:id="35" w:name="_Toc94015003"/>
      <w:bookmarkStart w:id="36" w:name="_Toc132637900"/>
      <w:bookmarkStart w:id="37" w:name="_Toc132639413"/>
      <w:bookmarkStart w:id="38" w:name="_Toc132639502"/>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01574301" w14:textId="77777777" w:rsidR="00A63121" w:rsidRPr="00033E65" w:rsidRDefault="00A63121" w:rsidP="00A63121">
      <w:pPr>
        <w:pStyle w:val="Prrafodelista"/>
        <w:keepNext/>
        <w:keepLines/>
        <w:widowControl w:val="0"/>
        <w:spacing w:before="40" w:after="0"/>
        <w:ind w:left="432"/>
        <w:contextualSpacing w:val="0"/>
        <w:outlineLvl w:val="2"/>
        <w:rPr>
          <w:rFonts w:eastAsiaTheme="majorEastAsia" w:cstheme="majorBidi"/>
          <w:b/>
          <w:vanish/>
          <w:sz w:val="24"/>
          <w:szCs w:val="26"/>
        </w:rPr>
      </w:pPr>
      <w:bookmarkStart w:id="39" w:name="_Toc34639069"/>
      <w:bookmarkStart w:id="40" w:name="_Toc34727189"/>
      <w:bookmarkStart w:id="41" w:name="_Toc34830116"/>
      <w:bookmarkStart w:id="42" w:name="_Toc34903259"/>
      <w:bookmarkStart w:id="43" w:name="_Toc34912951"/>
      <w:bookmarkStart w:id="44" w:name="_Toc34914044"/>
      <w:bookmarkEnd w:id="39"/>
      <w:bookmarkEnd w:id="40"/>
      <w:bookmarkEnd w:id="41"/>
      <w:bookmarkEnd w:id="42"/>
      <w:bookmarkEnd w:id="43"/>
      <w:bookmarkEnd w:id="44"/>
    </w:p>
    <w:p w14:paraId="0BB23A49" w14:textId="1816185E" w:rsidR="00A63121" w:rsidRPr="00033E65" w:rsidRDefault="007E06A7" w:rsidP="00177D0A">
      <w:pPr>
        <w:pStyle w:val="Ttulo2"/>
      </w:pPr>
      <w:bookmarkStart w:id="45" w:name="_Toc34639070"/>
      <w:bookmarkStart w:id="46" w:name="_Toc34727190"/>
      <w:bookmarkStart w:id="47" w:name="_Toc34830117"/>
      <w:bookmarkStart w:id="48" w:name="_Toc34903260"/>
      <w:bookmarkStart w:id="49" w:name="_Toc34912952"/>
      <w:bookmarkStart w:id="50" w:name="_Toc34914045"/>
      <w:bookmarkStart w:id="51" w:name="_Toc36214342"/>
      <w:bookmarkStart w:id="52" w:name="_Toc34639071"/>
      <w:bookmarkStart w:id="53" w:name="_Toc34727191"/>
      <w:bookmarkStart w:id="54" w:name="_Toc34830118"/>
      <w:bookmarkStart w:id="55" w:name="_Toc34903261"/>
      <w:bookmarkStart w:id="56" w:name="_Toc34912953"/>
      <w:bookmarkStart w:id="57" w:name="_Toc34914046"/>
      <w:bookmarkStart w:id="58" w:name="_Toc36214343"/>
      <w:bookmarkStart w:id="59" w:name="_Toc34639072"/>
      <w:bookmarkStart w:id="60" w:name="_Toc36214344"/>
      <w:bookmarkStart w:id="61" w:name="_Toc34639073"/>
      <w:bookmarkStart w:id="62" w:name="_Toc34727193"/>
      <w:bookmarkStart w:id="63" w:name="_Toc34830120"/>
      <w:bookmarkStart w:id="64" w:name="_Toc34903263"/>
      <w:bookmarkStart w:id="65" w:name="_Toc34912955"/>
      <w:bookmarkStart w:id="66" w:name="_Toc34914048"/>
      <w:bookmarkStart w:id="67" w:name="_Toc36214345"/>
      <w:bookmarkStart w:id="68" w:name="_Toc34639074"/>
      <w:bookmarkStart w:id="69" w:name="_Toc34727194"/>
      <w:bookmarkStart w:id="70" w:name="_Toc34830121"/>
      <w:bookmarkStart w:id="71" w:name="_Toc34903264"/>
      <w:bookmarkStart w:id="72" w:name="_Toc34912956"/>
      <w:bookmarkStart w:id="73" w:name="_Toc34914049"/>
      <w:bookmarkStart w:id="74" w:name="_Toc36214346"/>
      <w:bookmarkStart w:id="75" w:name="_Toc34639075"/>
      <w:bookmarkStart w:id="76" w:name="_Toc34727195"/>
      <w:bookmarkStart w:id="77" w:name="_Toc34830122"/>
      <w:bookmarkStart w:id="78" w:name="_Toc34903265"/>
      <w:bookmarkStart w:id="79" w:name="_Toc34912957"/>
      <w:bookmarkStart w:id="80" w:name="_Toc34914050"/>
      <w:bookmarkStart w:id="81" w:name="_Toc36214347"/>
      <w:bookmarkStart w:id="82" w:name="_Toc34639076"/>
      <w:bookmarkStart w:id="83" w:name="_Toc34727196"/>
      <w:bookmarkStart w:id="84" w:name="_Toc34830123"/>
      <w:bookmarkStart w:id="85" w:name="_Toc34903266"/>
      <w:bookmarkStart w:id="86" w:name="_Toc34912958"/>
      <w:bookmarkStart w:id="87" w:name="_Toc34914051"/>
      <w:bookmarkStart w:id="88" w:name="_Toc37670448"/>
      <w:bookmarkStart w:id="89" w:name="_Toc132639503"/>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r w:rsidRPr="00033E65">
        <w:t xml:space="preserve">3.1 </w:t>
      </w:r>
      <w:r w:rsidR="00A63121" w:rsidRPr="00033E65">
        <w:t>Ámbito Jurisdiccional</w:t>
      </w:r>
      <w:bookmarkEnd w:id="88"/>
      <w:bookmarkEnd w:id="89"/>
    </w:p>
    <w:p w14:paraId="4F72A97C" w14:textId="0DF5F8B0" w:rsidR="00A63121" w:rsidRPr="00033E65" w:rsidRDefault="00A63121" w:rsidP="003F0A3A">
      <w:pPr>
        <w:pStyle w:val="Ttulo"/>
        <w:spacing w:before="0" w:after="0"/>
        <w:jc w:val="center"/>
        <w:rPr>
          <w:rFonts w:eastAsia="Times New Roman" w:cs="Arial"/>
          <w:iCs/>
          <w:spacing w:val="0"/>
          <w:szCs w:val="28"/>
          <w:lang w:val="es-CR" w:eastAsia="es-ES"/>
        </w:rPr>
      </w:pPr>
      <w:bookmarkStart w:id="90" w:name="_Toc36214349"/>
      <w:bookmarkStart w:id="91" w:name="_Hlk39734794"/>
      <w:bookmarkEnd w:id="90"/>
      <w:r w:rsidRPr="00033E65">
        <w:rPr>
          <w:rFonts w:eastAsia="Times New Roman" w:cs="Arial"/>
          <w:iCs/>
          <w:spacing w:val="0"/>
          <w:szCs w:val="28"/>
          <w:lang w:val="es-CR" w:eastAsia="es-ES"/>
        </w:rPr>
        <w:t xml:space="preserve">Cuadro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Cuadro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1</w:t>
      </w:r>
      <w:r w:rsidRPr="00033E65">
        <w:rPr>
          <w:rFonts w:eastAsia="Times New Roman" w:cs="Arial"/>
          <w:iCs/>
          <w:spacing w:val="0"/>
          <w:szCs w:val="28"/>
          <w:lang w:val="es-CR" w:eastAsia="es-ES"/>
        </w:rPr>
        <w:fldChar w:fldCharType="end"/>
      </w:r>
    </w:p>
    <w:p w14:paraId="7CDCCA67" w14:textId="77777777" w:rsidR="00A63121" w:rsidRPr="00033E65" w:rsidRDefault="00A63121" w:rsidP="003F0A3A">
      <w:pPr>
        <w:pStyle w:val="Ttulo"/>
        <w:spacing w:before="0"/>
        <w:jc w:val="center"/>
        <w:rPr>
          <w:rFonts w:eastAsia="Times New Roman" w:cs="Arial"/>
          <w:iCs/>
          <w:spacing w:val="0"/>
          <w:szCs w:val="28"/>
          <w:lang w:val="es-CR" w:eastAsia="es-ES"/>
        </w:rPr>
      </w:pPr>
      <w:r w:rsidRPr="00033E65">
        <w:rPr>
          <w:rFonts w:eastAsia="Times New Roman" w:cs="Arial"/>
          <w:iCs/>
          <w:spacing w:val="0"/>
          <w:szCs w:val="28"/>
          <w:lang w:val="es-CR" w:eastAsia="es-ES"/>
        </w:rPr>
        <w:t>Despachos que conforman la Jurisdicción Agraria</w:t>
      </w:r>
    </w:p>
    <w:tbl>
      <w:tblPr>
        <w:tblW w:w="9000" w:type="dxa"/>
        <w:tblCellMar>
          <w:left w:w="70" w:type="dxa"/>
          <w:right w:w="70" w:type="dxa"/>
        </w:tblCellMar>
        <w:tblLook w:val="04A0" w:firstRow="1" w:lastRow="0" w:firstColumn="1" w:lastColumn="0" w:noHBand="0" w:noVBand="1"/>
      </w:tblPr>
      <w:tblGrid>
        <w:gridCol w:w="1940"/>
        <w:gridCol w:w="1940"/>
        <w:gridCol w:w="1940"/>
        <w:gridCol w:w="1940"/>
        <w:gridCol w:w="1240"/>
      </w:tblGrid>
      <w:tr w:rsidR="00A63121" w:rsidRPr="00033E65" w14:paraId="7EBBD9FE" w14:textId="77777777" w:rsidTr="00274042">
        <w:trPr>
          <w:trHeight w:val="688"/>
          <w:tblHeader/>
        </w:trPr>
        <w:tc>
          <w:tcPr>
            <w:tcW w:w="194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bookmarkEnd w:id="91"/>
          <w:p w14:paraId="3D4DDD89" w14:textId="77777777" w:rsidR="00A63121" w:rsidRPr="00033E65" w:rsidRDefault="00A63121" w:rsidP="00274042">
            <w:pPr>
              <w:spacing w:before="0" w:after="0"/>
              <w:jc w:val="center"/>
              <w:rPr>
                <w:b/>
                <w:bCs/>
                <w:color w:val="FFFFFF" w:themeColor="background1"/>
                <w:szCs w:val="22"/>
                <w:lang w:eastAsia="es-CR"/>
              </w:rPr>
            </w:pPr>
            <w:r w:rsidRPr="00033E65">
              <w:rPr>
                <w:b/>
                <w:bCs/>
                <w:color w:val="FFFFFF" w:themeColor="background1"/>
                <w:szCs w:val="22"/>
                <w:lang w:eastAsia="es-CR"/>
              </w:rPr>
              <w:t>Juzgados Especializados</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F389E05" w14:textId="77777777" w:rsidR="00A63121" w:rsidRPr="00033E65" w:rsidRDefault="00A63121" w:rsidP="00274042">
            <w:pPr>
              <w:spacing w:before="0" w:after="0"/>
              <w:jc w:val="center"/>
              <w:rPr>
                <w:b/>
                <w:bCs/>
                <w:color w:val="FFFFFF" w:themeColor="background1"/>
                <w:szCs w:val="22"/>
                <w:lang w:eastAsia="es-CR"/>
              </w:rPr>
            </w:pPr>
            <w:r w:rsidRPr="00033E65">
              <w:rPr>
                <w:b/>
                <w:bCs/>
                <w:color w:val="FFFFFF" w:themeColor="background1"/>
                <w:szCs w:val="22"/>
                <w:lang w:eastAsia="es-CR"/>
              </w:rPr>
              <w:t xml:space="preserve">Juzgados Mixtos </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A130A11" w14:textId="77777777" w:rsidR="00A63121" w:rsidRPr="00033E65" w:rsidRDefault="00A63121" w:rsidP="00274042">
            <w:pPr>
              <w:spacing w:before="0" w:after="0"/>
              <w:jc w:val="center"/>
              <w:rPr>
                <w:b/>
                <w:bCs/>
                <w:color w:val="FFFFFF" w:themeColor="background1"/>
                <w:szCs w:val="22"/>
                <w:lang w:eastAsia="es-CR"/>
              </w:rPr>
            </w:pPr>
            <w:r w:rsidRPr="00033E65">
              <w:rPr>
                <w:b/>
                <w:bCs/>
                <w:color w:val="FFFFFF" w:themeColor="background1"/>
                <w:szCs w:val="22"/>
                <w:lang w:eastAsia="es-CR"/>
              </w:rPr>
              <w:t>Tribunal (segunda instancia)</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77762FE0" w14:textId="77777777" w:rsidR="00A63121" w:rsidRPr="00033E65" w:rsidRDefault="00A63121" w:rsidP="00274042">
            <w:pPr>
              <w:spacing w:before="0" w:after="0"/>
              <w:jc w:val="center"/>
              <w:rPr>
                <w:b/>
                <w:bCs/>
                <w:color w:val="FFFFFF" w:themeColor="background1"/>
                <w:szCs w:val="22"/>
                <w:lang w:eastAsia="es-CR"/>
              </w:rPr>
            </w:pPr>
            <w:r w:rsidRPr="00033E65">
              <w:rPr>
                <w:b/>
                <w:bCs/>
                <w:color w:val="FFFFFF" w:themeColor="background1"/>
                <w:szCs w:val="22"/>
                <w:lang w:eastAsia="es-CR"/>
              </w:rPr>
              <w:t>Sala Primera (última instancia)</w:t>
            </w:r>
          </w:p>
        </w:tc>
        <w:tc>
          <w:tcPr>
            <w:tcW w:w="1240" w:type="dxa"/>
            <w:tcBorders>
              <w:top w:val="double" w:sz="6" w:space="0" w:color="1F497D"/>
              <w:left w:val="nil"/>
              <w:bottom w:val="double" w:sz="6" w:space="0" w:color="1F497D"/>
              <w:right w:val="double" w:sz="6" w:space="0" w:color="1F497D"/>
            </w:tcBorders>
            <w:shd w:val="clear" w:color="000000" w:fill="0673A5"/>
            <w:vAlign w:val="center"/>
            <w:hideMark/>
          </w:tcPr>
          <w:p w14:paraId="0C178E54" w14:textId="77777777" w:rsidR="00A63121" w:rsidRPr="00033E65" w:rsidRDefault="00A63121" w:rsidP="00274042">
            <w:pPr>
              <w:spacing w:before="0" w:after="0"/>
              <w:jc w:val="center"/>
              <w:rPr>
                <w:b/>
                <w:bCs/>
                <w:color w:val="FFFFFF" w:themeColor="background1"/>
                <w:szCs w:val="22"/>
                <w:lang w:eastAsia="es-CR"/>
              </w:rPr>
            </w:pPr>
            <w:r w:rsidRPr="00033E65">
              <w:rPr>
                <w:b/>
                <w:bCs/>
                <w:color w:val="FFFFFF" w:themeColor="background1"/>
                <w:szCs w:val="22"/>
                <w:lang w:eastAsia="es-CR"/>
              </w:rPr>
              <w:t>Total</w:t>
            </w:r>
          </w:p>
        </w:tc>
      </w:tr>
      <w:tr w:rsidR="00CA2A94" w:rsidRPr="00033E65" w14:paraId="0FE5EA6F" w14:textId="77777777" w:rsidTr="00CA2A94">
        <w:trPr>
          <w:trHeight w:val="312"/>
        </w:trPr>
        <w:tc>
          <w:tcPr>
            <w:tcW w:w="1940" w:type="dxa"/>
            <w:tcBorders>
              <w:top w:val="nil"/>
              <w:left w:val="double" w:sz="6" w:space="0" w:color="1F497D"/>
              <w:bottom w:val="double" w:sz="6" w:space="0" w:color="1F497D"/>
              <w:right w:val="double" w:sz="6" w:space="0" w:color="1F497D"/>
            </w:tcBorders>
            <w:shd w:val="clear" w:color="auto" w:fill="auto"/>
            <w:vAlign w:val="center"/>
            <w:hideMark/>
          </w:tcPr>
          <w:p w14:paraId="07A6EF4C" w14:textId="7492E99D" w:rsidR="00CA2A94" w:rsidRPr="00033E65" w:rsidRDefault="005E280B" w:rsidP="00274042">
            <w:pPr>
              <w:spacing w:before="0" w:after="0"/>
              <w:jc w:val="center"/>
            </w:pPr>
            <w:r w:rsidRPr="00033E65">
              <w:t>1</w:t>
            </w:r>
            <w:r w:rsidR="00E158F6" w:rsidRPr="00033E65">
              <w:t>3</w:t>
            </w:r>
          </w:p>
        </w:tc>
        <w:tc>
          <w:tcPr>
            <w:tcW w:w="1940" w:type="dxa"/>
            <w:tcBorders>
              <w:top w:val="nil"/>
              <w:left w:val="nil"/>
              <w:bottom w:val="double" w:sz="6" w:space="0" w:color="1F497D"/>
              <w:right w:val="double" w:sz="6" w:space="0" w:color="1F497D"/>
            </w:tcBorders>
            <w:shd w:val="clear" w:color="auto" w:fill="auto"/>
            <w:vAlign w:val="center"/>
            <w:hideMark/>
          </w:tcPr>
          <w:p w14:paraId="2A36DA34" w14:textId="77777777" w:rsidR="00CA2A94" w:rsidRPr="00033E65" w:rsidRDefault="00CA2A94" w:rsidP="00274042">
            <w:pPr>
              <w:spacing w:before="0" w:after="0"/>
              <w:jc w:val="center"/>
            </w:pPr>
            <w:r w:rsidRPr="00033E65">
              <w:t>3</w:t>
            </w:r>
          </w:p>
        </w:tc>
        <w:tc>
          <w:tcPr>
            <w:tcW w:w="1940" w:type="dxa"/>
            <w:tcBorders>
              <w:top w:val="nil"/>
              <w:left w:val="nil"/>
              <w:bottom w:val="double" w:sz="6" w:space="0" w:color="1F497D"/>
              <w:right w:val="double" w:sz="6" w:space="0" w:color="1F497D"/>
            </w:tcBorders>
            <w:shd w:val="clear" w:color="auto" w:fill="auto"/>
            <w:vAlign w:val="center"/>
            <w:hideMark/>
          </w:tcPr>
          <w:p w14:paraId="155DBB16" w14:textId="77777777" w:rsidR="00CA2A94" w:rsidRPr="00033E65" w:rsidRDefault="00CA2A94" w:rsidP="00274042">
            <w:pPr>
              <w:spacing w:before="0" w:after="0"/>
              <w:jc w:val="center"/>
            </w:pPr>
            <w:r w:rsidRPr="00033E65">
              <w:t>1</w:t>
            </w:r>
          </w:p>
        </w:tc>
        <w:tc>
          <w:tcPr>
            <w:tcW w:w="1940" w:type="dxa"/>
            <w:tcBorders>
              <w:top w:val="nil"/>
              <w:left w:val="nil"/>
              <w:bottom w:val="double" w:sz="6" w:space="0" w:color="1F497D"/>
              <w:right w:val="double" w:sz="6" w:space="0" w:color="1F497D"/>
            </w:tcBorders>
            <w:shd w:val="clear" w:color="auto" w:fill="auto"/>
            <w:vAlign w:val="center"/>
            <w:hideMark/>
          </w:tcPr>
          <w:p w14:paraId="47DEE554" w14:textId="77777777" w:rsidR="00CA2A94" w:rsidRPr="00033E65" w:rsidRDefault="00CA2A94" w:rsidP="00274042">
            <w:pPr>
              <w:spacing w:before="0" w:after="0"/>
              <w:jc w:val="center"/>
            </w:pPr>
            <w:r w:rsidRPr="00033E65">
              <w:t>1</w:t>
            </w:r>
          </w:p>
        </w:tc>
        <w:tc>
          <w:tcPr>
            <w:tcW w:w="1240" w:type="dxa"/>
            <w:tcBorders>
              <w:top w:val="nil"/>
              <w:left w:val="nil"/>
              <w:bottom w:val="double" w:sz="6" w:space="0" w:color="1F497D"/>
              <w:right w:val="double" w:sz="6" w:space="0" w:color="1F497D"/>
            </w:tcBorders>
            <w:shd w:val="clear" w:color="auto" w:fill="auto"/>
            <w:vAlign w:val="center"/>
            <w:hideMark/>
          </w:tcPr>
          <w:p w14:paraId="4D10930B" w14:textId="36DBC6E7" w:rsidR="00CA2A94" w:rsidRPr="00033E65" w:rsidRDefault="00E158F6" w:rsidP="00274042">
            <w:pPr>
              <w:spacing w:before="0" w:after="0"/>
              <w:jc w:val="center"/>
            </w:pPr>
            <w:r w:rsidRPr="00033E65">
              <w:t>18</w:t>
            </w:r>
          </w:p>
        </w:tc>
      </w:tr>
    </w:tbl>
    <w:p w14:paraId="025F6B36" w14:textId="2063D0B8" w:rsidR="00A63121" w:rsidRPr="00033E65" w:rsidRDefault="00A63121" w:rsidP="00D1256D">
      <w:pPr>
        <w:ind w:right="49"/>
        <w:rPr>
          <w:b/>
          <w:i/>
          <w:sz w:val="18"/>
          <w:szCs w:val="18"/>
        </w:rPr>
      </w:pPr>
      <w:r w:rsidRPr="00033E65">
        <w:rPr>
          <w:b/>
          <w:i/>
          <w:sz w:val="18"/>
          <w:szCs w:val="18"/>
        </w:rPr>
        <w:t>Fuente: Subproceso de Modernización Institucional</w:t>
      </w:r>
      <w:r w:rsidR="000241C7" w:rsidRPr="00033E65">
        <w:rPr>
          <w:b/>
          <w:i/>
          <w:sz w:val="18"/>
          <w:szCs w:val="18"/>
        </w:rPr>
        <w:t>,</w:t>
      </w:r>
      <w:r w:rsidR="00A30D79" w:rsidRPr="00033E65">
        <w:rPr>
          <w:b/>
          <w:i/>
          <w:sz w:val="18"/>
          <w:szCs w:val="18"/>
        </w:rPr>
        <w:t xml:space="preserve"> </w:t>
      </w:r>
      <w:r w:rsidR="000241C7" w:rsidRPr="00033E65">
        <w:rPr>
          <w:b/>
          <w:i/>
          <w:sz w:val="18"/>
          <w:szCs w:val="18"/>
        </w:rPr>
        <w:t>área No Penal</w:t>
      </w:r>
      <w:r w:rsidRPr="00033E65">
        <w:rPr>
          <w:b/>
          <w:i/>
          <w:sz w:val="18"/>
          <w:szCs w:val="18"/>
        </w:rPr>
        <w:t xml:space="preserve"> de acuerdo con la </w:t>
      </w:r>
      <w:r w:rsidR="006B2529" w:rsidRPr="00033E65">
        <w:rPr>
          <w:b/>
          <w:i/>
          <w:sz w:val="18"/>
          <w:szCs w:val="18"/>
        </w:rPr>
        <w:t xml:space="preserve">relación de Puestos SIGA-GH </w:t>
      </w:r>
      <w:r w:rsidR="006B2529" w:rsidRPr="00033E65">
        <w:rPr>
          <w:b/>
          <w:bCs/>
          <w:i/>
          <w:iCs/>
          <w:sz w:val="18"/>
          <w:szCs w:val="18"/>
        </w:rPr>
        <w:t>202</w:t>
      </w:r>
      <w:r w:rsidR="45B3ACEA" w:rsidRPr="00033E65">
        <w:rPr>
          <w:b/>
          <w:bCs/>
          <w:i/>
          <w:iCs/>
          <w:sz w:val="18"/>
          <w:szCs w:val="18"/>
        </w:rPr>
        <w:t>3</w:t>
      </w:r>
    </w:p>
    <w:p w14:paraId="10085E5D" w14:textId="68D9C383" w:rsidR="0058619C" w:rsidRPr="005E63FE" w:rsidRDefault="0075386A">
      <w:r w:rsidRPr="00033E65">
        <w:t>Del cuadro anterior se observa que la Jurisdicción Agraria está conformada por una cantidad mayor de despachos jurisdiccionales especializados (</w:t>
      </w:r>
      <w:r w:rsidR="00951879" w:rsidRPr="00033E65">
        <w:t>7</w:t>
      </w:r>
      <w:r w:rsidRPr="00033E65">
        <w:t>2%), quedando en una condición mixta tres Juzgados (en las zonas de Buenos Aires, Upala y Turrialba) y existe un único Tribunal Agrario con sede en San Jose, Goicoechea que tiene la competencia en segunda instancia a nivel nacional, todos estos Despachos trabajan bajo la modalidad electrónica, además de que la última instancia en materia Agraria le corresponde a la Sala Primera.</w:t>
      </w:r>
    </w:p>
    <w:p w14:paraId="6FF9D89A" w14:textId="7CBD94F4" w:rsidR="00EB541A" w:rsidRPr="00033E65" w:rsidRDefault="003A1C30">
      <w:pPr>
        <w:rPr>
          <w:lang w:val="es-ES"/>
        </w:rPr>
      </w:pPr>
      <w:r w:rsidRPr="00033E65">
        <w:rPr>
          <w:lang w:val="es-ES"/>
        </w:rPr>
        <w:t>La Jurisdicción Agraria está co</w:t>
      </w:r>
      <w:r w:rsidR="00CF449A" w:rsidRPr="00033E65">
        <w:rPr>
          <w:lang w:val="es-ES"/>
        </w:rPr>
        <w:t>nformada de la siguiente manera:</w:t>
      </w:r>
    </w:p>
    <w:p w14:paraId="75C45AC7" w14:textId="3858006B" w:rsidR="00532A10" w:rsidRPr="00033E65" w:rsidRDefault="00532A10">
      <w:pPr>
        <w:rPr>
          <w:lang w:val="es-ES"/>
        </w:rPr>
      </w:pPr>
    </w:p>
    <w:p w14:paraId="4D89FDA9" w14:textId="77777777" w:rsidR="00532A10" w:rsidRPr="00033E65" w:rsidRDefault="00532A10" w:rsidP="00532A10">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Cuadro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Cuadro \* ARABIC </w:instrText>
      </w:r>
      <w:r w:rsidRPr="00033E65">
        <w:rPr>
          <w:rFonts w:eastAsia="Times New Roman" w:cs="Arial"/>
          <w:iCs/>
          <w:spacing w:val="0"/>
          <w:szCs w:val="28"/>
          <w:lang w:val="es-CR" w:eastAsia="es-ES"/>
        </w:rPr>
        <w:fldChar w:fldCharType="separate"/>
      </w:r>
      <w:r w:rsidRPr="00033E65">
        <w:rPr>
          <w:rFonts w:eastAsia="Times New Roman" w:cs="Arial"/>
          <w:iCs/>
          <w:noProof/>
          <w:spacing w:val="0"/>
          <w:szCs w:val="28"/>
          <w:lang w:val="es-CR" w:eastAsia="es-ES"/>
        </w:rPr>
        <w:t>2</w:t>
      </w:r>
      <w:r w:rsidRPr="00033E65">
        <w:rPr>
          <w:rFonts w:eastAsia="Times New Roman" w:cs="Arial"/>
          <w:iCs/>
          <w:spacing w:val="0"/>
          <w:szCs w:val="28"/>
          <w:lang w:val="es-CR" w:eastAsia="es-ES"/>
        </w:rPr>
        <w:fldChar w:fldCharType="end"/>
      </w:r>
    </w:p>
    <w:p w14:paraId="3DC60D47" w14:textId="7DBEAE73" w:rsidR="0011530D" w:rsidRPr="00033E65" w:rsidRDefault="00532A10" w:rsidP="0058619C">
      <w:pPr>
        <w:pStyle w:val="Ttulo"/>
        <w:spacing w:before="0"/>
        <w:jc w:val="center"/>
        <w:rPr>
          <w:rFonts w:eastAsia="Times New Roman" w:cs="Arial"/>
          <w:spacing w:val="0"/>
          <w:lang w:val="es-CR" w:eastAsia="es-ES"/>
        </w:rPr>
      </w:pPr>
      <w:r w:rsidRPr="00033E65">
        <w:rPr>
          <w:rFonts w:eastAsia="Times New Roman" w:cs="Arial"/>
          <w:spacing w:val="0"/>
          <w:lang w:val="es-CR" w:eastAsia="es-ES"/>
        </w:rPr>
        <w:t xml:space="preserve">Despachos y Recurso Humano que conforman la Jurisdicción Agraria a enero </w:t>
      </w:r>
      <w:r w:rsidR="4EFC0370" w:rsidRPr="00033E65">
        <w:rPr>
          <w:rFonts w:eastAsia="Times New Roman" w:cs="Arial"/>
          <w:spacing w:val="0"/>
          <w:lang w:val="es-CR" w:eastAsia="es-ES"/>
        </w:rPr>
        <w:t>202</w:t>
      </w:r>
      <w:r w:rsidR="6659000D" w:rsidRPr="00033E65">
        <w:rPr>
          <w:rFonts w:eastAsia="Times New Roman" w:cs="Arial"/>
          <w:spacing w:val="0"/>
          <w:lang w:val="es-CR" w:eastAsia="es-ES"/>
        </w:rPr>
        <w:t>3</w:t>
      </w:r>
    </w:p>
    <w:tbl>
      <w:tblPr>
        <w:tblW w:w="10234" w:type="dxa"/>
        <w:jc w:val="center"/>
        <w:tblCellMar>
          <w:left w:w="70" w:type="dxa"/>
          <w:right w:w="70" w:type="dxa"/>
        </w:tblCellMar>
        <w:tblLook w:val="04A0" w:firstRow="1" w:lastRow="0" w:firstColumn="1" w:lastColumn="0" w:noHBand="0" w:noVBand="1"/>
      </w:tblPr>
      <w:tblGrid>
        <w:gridCol w:w="7207"/>
        <w:gridCol w:w="640"/>
        <w:gridCol w:w="463"/>
        <w:gridCol w:w="707"/>
        <w:gridCol w:w="552"/>
        <w:gridCol w:w="665"/>
      </w:tblGrid>
      <w:tr w:rsidR="0011530D" w:rsidRPr="00033E65" w14:paraId="6AC315CF" w14:textId="77777777" w:rsidTr="000A2079">
        <w:trPr>
          <w:trHeight w:val="296"/>
          <w:tblHeader/>
          <w:jc w:val="center"/>
        </w:trPr>
        <w:tc>
          <w:tcPr>
            <w:tcW w:w="7207" w:type="dxa"/>
            <w:tcBorders>
              <w:top w:val="double" w:sz="6" w:space="0" w:color="44546A"/>
              <w:left w:val="double" w:sz="6" w:space="0" w:color="44546A"/>
              <w:bottom w:val="double" w:sz="6" w:space="0" w:color="44546A"/>
              <w:right w:val="double" w:sz="6" w:space="0" w:color="44546A"/>
            </w:tcBorders>
            <w:shd w:val="clear" w:color="000000" w:fill="0673A5"/>
            <w:vAlign w:val="center"/>
            <w:hideMark/>
          </w:tcPr>
          <w:p w14:paraId="055D1210" w14:textId="77777777" w:rsidR="0011530D" w:rsidRPr="00033E65" w:rsidRDefault="0011530D" w:rsidP="0011530D">
            <w:pPr>
              <w:spacing w:before="0" w:after="0"/>
              <w:jc w:val="center"/>
              <w:rPr>
                <w:b/>
                <w:bCs/>
                <w:color w:val="FFFFFF"/>
                <w:szCs w:val="22"/>
                <w:lang w:eastAsia="es-CR"/>
              </w:rPr>
            </w:pPr>
            <w:r w:rsidRPr="00033E65">
              <w:rPr>
                <w:b/>
                <w:bCs/>
                <w:color w:val="FFFFFF"/>
                <w:szCs w:val="22"/>
                <w:lang w:eastAsia="es-CR"/>
              </w:rPr>
              <w:t>Despacho</w:t>
            </w:r>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5E8A9D71" w14:textId="77777777" w:rsidR="0011530D" w:rsidRPr="00033E65" w:rsidRDefault="0011530D" w:rsidP="0011530D">
            <w:pPr>
              <w:spacing w:before="0" w:after="0"/>
              <w:jc w:val="center"/>
              <w:rPr>
                <w:b/>
                <w:bCs/>
                <w:color w:val="FFFFFF"/>
                <w:sz w:val="20"/>
                <w:lang w:eastAsia="es-CR"/>
              </w:rPr>
            </w:pPr>
            <w:r w:rsidRPr="00033E65">
              <w:rPr>
                <w:b/>
                <w:bCs/>
                <w:color w:val="FFFFFF"/>
                <w:sz w:val="20"/>
                <w:lang w:eastAsia="es-CR"/>
              </w:rPr>
              <w:t>Jueza o Juez</w:t>
            </w:r>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06C6E9A5" w14:textId="77777777" w:rsidR="0011530D" w:rsidRPr="00033E65" w:rsidRDefault="0011530D" w:rsidP="0011530D">
            <w:pPr>
              <w:spacing w:before="0" w:after="0"/>
              <w:jc w:val="center"/>
              <w:rPr>
                <w:b/>
                <w:bCs/>
                <w:color w:val="FFFFFF"/>
                <w:sz w:val="20"/>
                <w:lang w:eastAsia="es-CR"/>
              </w:rPr>
            </w:pPr>
            <w:r w:rsidRPr="00033E65">
              <w:rPr>
                <w:b/>
                <w:bCs/>
                <w:color w:val="FFFFFF"/>
                <w:sz w:val="20"/>
                <w:lang w:eastAsia="es-CR"/>
              </w:rPr>
              <w:t>Téc Jud</w:t>
            </w:r>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17FE2082" w14:textId="77777777" w:rsidR="0011530D" w:rsidRPr="00033E65" w:rsidRDefault="0011530D" w:rsidP="0011530D">
            <w:pPr>
              <w:spacing w:before="0" w:after="0"/>
              <w:jc w:val="center"/>
              <w:rPr>
                <w:b/>
                <w:bCs/>
                <w:color w:val="FFFFFF"/>
                <w:sz w:val="20"/>
                <w:lang w:eastAsia="es-CR"/>
              </w:rPr>
            </w:pPr>
            <w:r w:rsidRPr="00033E65">
              <w:rPr>
                <w:b/>
                <w:bCs/>
                <w:color w:val="FFFFFF"/>
                <w:sz w:val="20"/>
                <w:lang w:eastAsia="es-CR"/>
              </w:rPr>
              <w:t>Coord Jud</w:t>
            </w:r>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0B31CC3C" w14:textId="77777777" w:rsidR="0011530D" w:rsidRPr="00033E65" w:rsidRDefault="0011530D" w:rsidP="0011530D">
            <w:pPr>
              <w:spacing w:before="0" w:after="0"/>
              <w:jc w:val="center"/>
              <w:rPr>
                <w:b/>
                <w:bCs/>
                <w:color w:val="FFFFFF"/>
                <w:sz w:val="20"/>
                <w:lang w:eastAsia="es-CR"/>
              </w:rPr>
            </w:pPr>
            <w:r w:rsidRPr="00033E65">
              <w:rPr>
                <w:b/>
                <w:bCs/>
                <w:color w:val="FFFFFF"/>
                <w:sz w:val="20"/>
                <w:lang w:eastAsia="es-CR"/>
              </w:rPr>
              <w:t>Aux Serv Gen</w:t>
            </w:r>
          </w:p>
        </w:tc>
        <w:tc>
          <w:tcPr>
            <w:tcW w:w="665" w:type="dxa"/>
            <w:tcBorders>
              <w:top w:val="double" w:sz="6" w:space="0" w:color="44546A"/>
              <w:left w:val="nil"/>
              <w:bottom w:val="double" w:sz="6" w:space="0" w:color="44546A"/>
              <w:right w:val="double" w:sz="6" w:space="0" w:color="44546A"/>
            </w:tcBorders>
            <w:shd w:val="clear" w:color="000000" w:fill="0673A5"/>
            <w:vAlign w:val="center"/>
            <w:hideMark/>
          </w:tcPr>
          <w:p w14:paraId="1074C555" w14:textId="77777777" w:rsidR="0011530D" w:rsidRPr="00033E65" w:rsidRDefault="0011530D" w:rsidP="0011530D">
            <w:pPr>
              <w:spacing w:before="0" w:after="0"/>
              <w:jc w:val="center"/>
              <w:rPr>
                <w:b/>
                <w:bCs/>
                <w:color w:val="FFFFFF"/>
                <w:sz w:val="20"/>
                <w:lang w:eastAsia="es-CR"/>
              </w:rPr>
            </w:pPr>
            <w:r w:rsidRPr="00033E65">
              <w:rPr>
                <w:b/>
                <w:bCs/>
                <w:color w:val="FFFFFF"/>
                <w:sz w:val="20"/>
                <w:lang w:eastAsia="es-CR"/>
              </w:rPr>
              <w:t>Total</w:t>
            </w:r>
          </w:p>
        </w:tc>
      </w:tr>
      <w:tr w:rsidR="0011530D" w:rsidRPr="00033E65" w14:paraId="1591C6E1"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59288E6C" w14:textId="50322485" w:rsidR="0011530D" w:rsidRPr="00033E65" w:rsidRDefault="00630942" w:rsidP="0011530D">
            <w:pPr>
              <w:spacing w:before="0" w:after="0"/>
              <w:rPr>
                <w:color w:val="000000"/>
                <w:szCs w:val="22"/>
                <w:lang w:eastAsia="es-CR"/>
              </w:rPr>
            </w:pPr>
            <w:r w:rsidRPr="00033E65">
              <w:rPr>
                <w:color w:val="000000"/>
                <w:szCs w:val="22"/>
                <w:lang w:eastAsia="es-CR"/>
              </w:rPr>
              <w:t>Tribunal Agrario</w:t>
            </w:r>
          </w:p>
        </w:tc>
        <w:tc>
          <w:tcPr>
            <w:tcW w:w="0" w:type="auto"/>
            <w:tcBorders>
              <w:top w:val="nil"/>
              <w:left w:val="nil"/>
              <w:bottom w:val="double" w:sz="6" w:space="0" w:color="44546A"/>
              <w:right w:val="double" w:sz="6" w:space="0" w:color="44546A"/>
            </w:tcBorders>
            <w:shd w:val="clear" w:color="auto" w:fill="auto"/>
            <w:noWrap/>
            <w:vAlign w:val="bottom"/>
            <w:hideMark/>
          </w:tcPr>
          <w:p w14:paraId="03ECB87A"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7</w:t>
            </w:r>
          </w:p>
        </w:tc>
        <w:tc>
          <w:tcPr>
            <w:tcW w:w="0" w:type="auto"/>
            <w:tcBorders>
              <w:top w:val="nil"/>
              <w:left w:val="nil"/>
              <w:bottom w:val="double" w:sz="6" w:space="0" w:color="44546A"/>
              <w:right w:val="double" w:sz="6" w:space="0" w:color="44546A"/>
            </w:tcBorders>
            <w:shd w:val="clear" w:color="auto" w:fill="auto"/>
            <w:noWrap/>
            <w:vAlign w:val="bottom"/>
            <w:hideMark/>
          </w:tcPr>
          <w:p w14:paraId="2B6DE1BC"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3179B2BA"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24CA63B6"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0360044E"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11</w:t>
            </w:r>
          </w:p>
        </w:tc>
      </w:tr>
      <w:tr w:rsidR="0011530D" w:rsidRPr="00033E65" w14:paraId="14A968DA"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14877577" w14:textId="77777777" w:rsidR="0011530D" w:rsidRPr="00033E65" w:rsidRDefault="0011530D" w:rsidP="0011530D">
            <w:pPr>
              <w:spacing w:before="0" w:after="0"/>
              <w:rPr>
                <w:color w:val="000000"/>
                <w:szCs w:val="22"/>
                <w:lang w:eastAsia="es-CR"/>
              </w:rPr>
            </w:pPr>
            <w:r w:rsidRPr="00033E65">
              <w:rPr>
                <w:color w:val="000000"/>
                <w:szCs w:val="22"/>
                <w:lang w:eastAsia="es-CR"/>
              </w:rPr>
              <w:t>Juzgado Agrario del Segundo Circuito Judicial de San José</w:t>
            </w:r>
          </w:p>
        </w:tc>
        <w:tc>
          <w:tcPr>
            <w:tcW w:w="0" w:type="auto"/>
            <w:tcBorders>
              <w:top w:val="nil"/>
              <w:left w:val="nil"/>
              <w:bottom w:val="double" w:sz="6" w:space="0" w:color="44546A"/>
              <w:right w:val="double" w:sz="6" w:space="0" w:color="44546A"/>
            </w:tcBorders>
            <w:shd w:val="clear" w:color="auto" w:fill="auto"/>
            <w:noWrap/>
            <w:vAlign w:val="bottom"/>
            <w:hideMark/>
          </w:tcPr>
          <w:p w14:paraId="2BB213E6"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69B224D6"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23C0E1D"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4F66FB7"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7D2878A6"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5</w:t>
            </w:r>
          </w:p>
        </w:tc>
      </w:tr>
      <w:tr w:rsidR="0011530D" w:rsidRPr="00033E65" w14:paraId="19648174"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42282014" w14:textId="77777777" w:rsidR="0011530D" w:rsidRPr="00033E65" w:rsidRDefault="0011530D" w:rsidP="0011530D">
            <w:pPr>
              <w:spacing w:before="0" w:after="0"/>
              <w:rPr>
                <w:color w:val="000000"/>
                <w:szCs w:val="22"/>
                <w:lang w:eastAsia="es-CR"/>
              </w:rPr>
            </w:pPr>
            <w:r w:rsidRPr="00033E65">
              <w:rPr>
                <w:color w:val="000000"/>
                <w:szCs w:val="22"/>
                <w:lang w:eastAsia="es-CR"/>
              </w:rPr>
              <w:t>Juzgado Agrario del Primer Circuito Judicial de Alajuela</w:t>
            </w:r>
          </w:p>
        </w:tc>
        <w:tc>
          <w:tcPr>
            <w:tcW w:w="0" w:type="auto"/>
            <w:tcBorders>
              <w:top w:val="nil"/>
              <w:left w:val="nil"/>
              <w:bottom w:val="double" w:sz="6" w:space="0" w:color="44546A"/>
              <w:right w:val="double" w:sz="6" w:space="0" w:color="44546A"/>
            </w:tcBorders>
            <w:shd w:val="clear" w:color="auto" w:fill="auto"/>
            <w:noWrap/>
            <w:vAlign w:val="bottom"/>
            <w:hideMark/>
          </w:tcPr>
          <w:p w14:paraId="1863718A"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3A077F8B"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4CB4CB1E"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EE10CA6"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2AAF1279"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6</w:t>
            </w:r>
          </w:p>
        </w:tc>
      </w:tr>
      <w:tr w:rsidR="0011530D" w:rsidRPr="00033E65" w14:paraId="7332577D"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3FC6FC48" w14:textId="77777777" w:rsidR="0011530D" w:rsidRPr="00033E65" w:rsidRDefault="0011530D" w:rsidP="0011530D">
            <w:pPr>
              <w:spacing w:before="0" w:after="0"/>
              <w:rPr>
                <w:color w:val="000000"/>
                <w:szCs w:val="22"/>
                <w:lang w:eastAsia="es-CR"/>
              </w:rPr>
            </w:pPr>
            <w:r w:rsidRPr="00033E65">
              <w:rPr>
                <w:color w:val="000000"/>
                <w:szCs w:val="22"/>
                <w:lang w:eastAsia="es-CR"/>
              </w:rPr>
              <w:t>Juzgado Agrario del Segundo Circuito Judicial de Alajuela</w:t>
            </w:r>
          </w:p>
        </w:tc>
        <w:tc>
          <w:tcPr>
            <w:tcW w:w="0" w:type="auto"/>
            <w:tcBorders>
              <w:top w:val="nil"/>
              <w:left w:val="nil"/>
              <w:bottom w:val="double" w:sz="6" w:space="0" w:color="44546A"/>
              <w:right w:val="double" w:sz="6" w:space="0" w:color="44546A"/>
            </w:tcBorders>
            <w:shd w:val="clear" w:color="auto" w:fill="auto"/>
            <w:noWrap/>
            <w:vAlign w:val="bottom"/>
            <w:hideMark/>
          </w:tcPr>
          <w:p w14:paraId="4FC93863"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5850CD2"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0C49D2D9"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72A7A5F"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03A53015"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7</w:t>
            </w:r>
          </w:p>
        </w:tc>
      </w:tr>
      <w:tr w:rsidR="0011530D" w:rsidRPr="00033E65" w14:paraId="15516FE9"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6D5349A6" w14:textId="77777777" w:rsidR="0011530D" w:rsidRPr="00033E65" w:rsidRDefault="0011530D" w:rsidP="0011530D">
            <w:pPr>
              <w:spacing w:before="0" w:after="0"/>
              <w:rPr>
                <w:color w:val="000000"/>
                <w:szCs w:val="22"/>
                <w:lang w:eastAsia="es-CR"/>
              </w:rPr>
            </w:pPr>
            <w:r w:rsidRPr="00033E65">
              <w:rPr>
                <w:color w:val="000000"/>
                <w:szCs w:val="22"/>
                <w:lang w:eastAsia="es-CR"/>
              </w:rPr>
              <w:t>Juzgado Agrario del Tercer Circuito Judicial de Alajuela</w:t>
            </w:r>
          </w:p>
        </w:tc>
        <w:tc>
          <w:tcPr>
            <w:tcW w:w="0" w:type="auto"/>
            <w:tcBorders>
              <w:top w:val="nil"/>
              <w:left w:val="nil"/>
              <w:bottom w:val="double" w:sz="6" w:space="0" w:color="44546A"/>
              <w:right w:val="double" w:sz="6" w:space="0" w:color="44546A"/>
            </w:tcBorders>
            <w:shd w:val="clear" w:color="auto" w:fill="auto"/>
            <w:noWrap/>
            <w:vAlign w:val="bottom"/>
            <w:hideMark/>
          </w:tcPr>
          <w:p w14:paraId="2F3D4D3B"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5DC8A7E0"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5DD153D"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3D84AF56"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2647388E"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5</w:t>
            </w:r>
          </w:p>
        </w:tc>
      </w:tr>
      <w:tr w:rsidR="0011530D" w:rsidRPr="00033E65" w14:paraId="169F7FA3"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703F0CB1" w14:textId="77777777" w:rsidR="0011530D" w:rsidRPr="00033E65" w:rsidRDefault="0011530D" w:rsidP="0011530D">
            <w:pPr>
              <w:spacing w:before="0" w:after="0"/>
              <w:rPr>
                <w:color w:val="000000"/>
                <w:szCs w:val="22"/>
                <w:lang w:eastAsia="es-CR"/>
              </w:rPr>
            </w:pPr>
            <w:r w:rsidRPr="00033E65">
              <w:rPr>
                <w:color w:val="000000"/>
                <w:szCs w:val="22"/>
                <w:lang w:eastAsia="es-CR"/>
              </w:rPr>
              <w:t>Juzgado Agrario del Circuito Judicial de Cartago</w:t>
            </w:r>
          </w:p>
        </w:tc>
        <w:tc>
          <w:tcPr>
            <w:tcW w:w="0" w:type="auto"/>
            <w:tcBorders>
              <w:top w:val="nil"/>
              <w:left w:val="nil"/>
              <w:bottom w:val="double" w:sz="6" w:space="0" w:color="44546A"/>
              <w:right w:val="double" w:sz="6" w:space="0" w:color="44546A"/>
            </w:tcBorders>
            <w:shd w:val="clear" w:color="auto" w:fill="auto"/>
            <w:noWrap/>
            <w:vAlign w:val="bottom"/>
            <w:hideMark/>
          </w:tcPr>
          <w:p w14:paraId="3DD6D458"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59CF920"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220E3391"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15DD0DBB"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5C64806B"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6</w:t>
            </w:r>
          </w:p>
        </w:tc>
      </w:tr>
      <w:tr w:rsidR="0011530D" w:rsidRPr="00033E65" w14:paraId="19BFE3E5"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7FF03FDE" w14:textId="77777777" w:rsidR="0011530D" w:rsidRPr="00033E65" w:rsidRDefault="0011530D" w:rsidP="0011530D">
            <w:pPr>
              <w:spacing w:before="0" w:after="0"/>
              <w:rPr>
                <w:color w:val="000000"/>
                <w:szCs w:val="22"/>
                <w:lang w:eastAsia="es-CR"/>
              </w:rPr>
            </w:pPr>
            <w:r w:rsidRPr="00033E65">
              <w:rPr>
                <w:color w:val="000000"/>
                <w:szCs w:val="22"/>
                <w:lang w:eastAsia="es-CR"/>
              </w:rPr>
              <w:t>Juzgado Agrario de Puntarenas</w:t>
            </w:r>
          </w:p>
        </w:tc>
        <w:tc>
          <w:tcPr>
            <w:tcW w:w="0" w:type="auto"/>
            <w:tcBorders>
              <w:top w:val="nil"/>
              <w:left w:val="nil"/>
              <w:bottom w:val="double" w:sz="6" w:space="0" w:color="44546A"/>
              <w:right w:val="double" w:sz="6" w:space="0" w:color="44546A"/>
            </w:tcBorders>
            <w:shd w:val="clear" w:color="auto" w:fill="auto"/>
            <w:noWrap/>
            <w:vAlign w:val="bottom"/>
            <w:hideMark/>
          </w:tcPr>
          <w:p w14:paraId="3ECF1592"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297B4780"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972BB95"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1934B46"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4ABB97EB"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5</w:t>
            </w:r>
          </w:p>
        </w:tc>
      </w:tr>
      <w:tr w:rsidR="0011530D" w:rsidRPr="00033E65" w14:paraId="7308EC1B"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719693A4" w14:textId="77777777" w:rsidR="0011530D" w:rsidRPr="00033E65" w:rsidRDefault="0011530D" w:rsidP="0011530D">
            <w:pPr>
              <w:spacing w:before="0" w:after="0"/>
              <w:rPr>
                <w:color w:val="000000"/>
                <w:szCs w:val="22"/>
                <w:lang w:eastAsia="es-CR"/>
              </w:rPr>
            </w:pPr>
            <w:r w:rsidRPr="00033E65">
              <w:rPr>
                <w:color w:val="000000"/>
                <w:szCs w:val="22"/>
                <w:lang w:eastAsia="es-CR"/>
              </w:rPr>
              <w:t>Juzgado Agrario del Primer Circuito Judicial de la Zona Sur</w:t>
            </w:r>
          </w:p>
        </w:tc>
        <w:tc>
          <w:tcPr>
            <w:tcW w:w="0" w:type="auto"/>
            <w:tcBorders>
              <w:top w:val="nil"/>
              <w:left w:val="nil"/>
              <w:bottom w:val="double" w:sz="6" w:space="0" w:color="44546A"/>
              <w:right w:val="double" w:sz="6" w:space="0" w:color="44546A"/>
            </w:tcBorders>
            <w:shd w:val="clear" w:color="auto" w:fill="auto"/>
            <w:noWrap/>
            <w:vAlign w:val="bottom"/>
            <w:hideMark/>
          </w:tcPr>
          <w:p w14:paraId="38AAF769"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11E2424D"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30163E91"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606B1C29"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082448C9"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4</w:t>
            </w:r>
          </w:p>
        </w:tc>
      </w:tr>
      <w:tr w:rsidR="0011530D" w:rsidRPr="00033E65" w14:paraId="711D76CF"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3856C4A4" w14:textId="77777777" w:rsidR="0011530D" w:rsidRPr="00033E65" w:rsidRDefault="0011530D" w:rsidP="0011530D">
            <w:pPr>
              <w:spacing w:before="0" w:after="0"/>
              <w:rPr>
                <w:color w:val="000000"/>
                <w:szCs w:val="22"/>
                <w:lang w:eastAsia="es-CR"/>
              </w:rPr>
            </w:pPr>
            <w:r w:rsidRPr="00033E65">
              <w:rPr>
                <w:color w:val="000000"/>
                <w:szCs w:val="22"/>
                <w:lang w:eastAsia="es-CR"/>
              </w:rPr>
              <w:lastRenderedPageBreak/>
              <w:t>Juzgado Agrario del Segundo Circuito Judicial de la Zona Sur</w:t>
            </w:r>
          </w:p>
        </w:tc>
        <w:tc>
          <w:tcPr>
            <w:tcW w:w="0" w:type="auto"/>
            <w:tcBorders>
              <w:top w:val="nil"/>
              <w:left w:val="nil"/>
              <w:bottom w:val="double" w:sz="6" w:space="0" w:color="44546A"/>
              <w:right w:val="double" w:sz="6" w:space="0" w:color="44546A"/>
            </w:tcBorders>
            <w:shd w:val="clear" w:color="auto" w:fill="auto"/>
            <w:noWrap/>
            <w:vAlign w:val="bottom"/>
            <w:hideMark/>
          </w:tcPr>
          <w:p w14:paraId="73C292BA"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0A83F0E5"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02BD3678"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2FDF52B1"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25741384"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7</w:t>
            </w:r>
          </w:p>
        </w:tc>
      </w:tr>
      <w:tr w:rsidR="0011530D" w:rsidRPr="00033E65" w14:paraId="592D7366"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1263C476" w14:textId="77777777" w:rsidR="0011530D" w:rsidRPr="00033E65" w:rsidRDefault="0011530D" w:rsidP="0011530D">
            <w:pPr>
              <w:spacing w:before="0" w:after="0"/>
              <w:rPr>
                <w:color w:val="000000"/>
                <w:szCs w:val="22"/>
                <w:lang w:eastAsia="es-CR"/>
              </w:rPr>
            </w:pPr>
            <w:r w:rsidRPr="00033E65">
              <w:rPr>
                <w:color w:val="000000"/>
                <w:szCs w:val="22"/>
                <w:lang w:eastAsia="es-CR"/>
              </w:rPr>
              <w:t>Juzgado Agrario del Primer Circuito Judicial de Guanacaste</w:t>
            </w:r>
          </w:p>
        </w:tc>
        <w:tc>
          <w:tcPr>
            <w:tcW w:w="0" w:type="auto"/>
            <w:tcBorders>
              <w:top w:val="nil"/>
              <w:left w:val="nil"/>
              <w:bottom w:val="double" w:sz="6" w:space="0" w:color="44546A"/>
              <w:right w:val="double" w:sz="6" w:space="0" w:color="44546A"/>
            </w:tcBorders>
            <w:shd w:val="clear" w:color="auto" w:fill="auto"/>
            <w:noWrap/>
            <w:vAlign w:val="bottom"/>
            <w:hideMark/>
          </w:tcPr>
          <w:p w14:paraId="18748DA7"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4A6B0EA4"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4</w:t>
            </w:r>
          </w:p>
        </w:tc>
        <w:tc>
          <w:tcPr>
            <w:tcW w:w="0" w:type="auto"/>
            <w:tcBorders>
              <w:top w:val="nil"/>
              <w:left w:val="nil"/>
              <w:bottom w:val="double" w:sz="6" w:space="0" w:color="44546A"/>
              <w:right w:val="double" w:sz="6" w:space="0" w:color="44546A"/>
            </w:tcBorders>
            <w:shd w:val="clear" w:color="auto" w:fill="auto"/>
            <w:noWrap/>
            <w:vAlign w:val="bottom"/>
            <w:hideMark/>
          </w:tcPr>
          <w:p w14:paraId="081D94A8"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71DC93CC"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361EDDBD"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7</w:t>
            </w:r>
          </w:p>
        </w:tc>
      </w:tr>
      <w:tr w:rsidR="0011530D" w:rsidRPr="00033E65" w14:paraId="3C3C26CD"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3FB104CB" w14:textId="77777777" w:rsidR="0011530D" w:rsidRPr="00033E65" w:rsidRDefault="0011530D" w:rsidP="0011530D">
            <w:pPr>
              <w:spacing w:before="0" w:after="0"/>
              <w:rPr>
                <w:color w:val="000000"/>
                <w:szCs w:val="22"/>
                <w:lang w:eastAsia="es-CR"/>
              </w:rPr>
            </w:pPr>
            <w:r w:rsidRPr="00033E65">
              <w:rPr>
                <w:color w:val="000000"/>
                <w:szCs w:val="22"/>
                <w:lang w:eastAsia="es-CR"/>
              </w:rPr>
              <w:t>Juzgado Agrario del Segundo Circuito Judicial de Guanacaste</w:t>
            </w:r>
          </w:p>
        </w:tc>
        <w:tc>
          <w:tcPr>
            <w:tcW w:w="0" w:type="auto"/>
            <w:tcBorders>
              <w:top w:val="nil"/>
              <w:left w:val="nil"/>
              <w:bottom w:val="double" w:sz="6" w:space="0" w:color="44546A"/>
              <w:right w:val="double" w:sz="6" w:space="0" w:color="44546A"/>
            </w:tcBorders>
            <w:shd w:val="clear" w:color="auto" w:fill="auto"/>
            <w:noWrap/>
            <w:vAlign w:val="bottom"/>
            <w:hideMark/>
          </w:tcPr>
          <w:p w14:paraId="0511B970"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1403C16D"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4</w:t>
            </w:r>
          </w:p>
        </w:tc>
        <w:tc>
          <w:tcPr>
            <w:tcW w:w="0" w:type="auto"/>
            <w:tcBorders>
              <w:top w:val="nil"/>
              <w:left w:val="nil"/>
              <w:bottom w:val="double" w:sz="6" w:space="0" w:color="44546A"/>
              <w:right w:val="double" w:sz="6" w:space="0" w:color="44546A"/>
            </w:tcBorders>
            <w:shd w:val="clear" w:color="auto" w:fill="auto"/>
            <w:noWrap/>
            <w:vAlign w:val="bottom"/>
            <w:hideMark/>
          </w:tcPr>
          <w:p w14:paraId="6F202DDD"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08C6B20"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65F67D92"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7</w:t>
            </w:r>
          </w:p>
        </w:tc>
      </w:tr>
      <w:tr w:rsidR="0011530D" w:rsidRPr="00033E65" w14:paraId="46213611"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6AA95B5D" w14:textId="77777777" w:rsidR="0011530D" w:rsidRPr="00033E65" w:rsidRDefault="0011530D" w:rsidP="0011530D">
            <w:pPr>
              <w:spacing w:before="0" w:after="0"/>
              <w:rPr>
                <w:color w:val="000000"/>
                <w:szCs w:val="22"/>
                <w:lang w:eastAsia="es-CR"/>
              </w:rPr>
            </w:pPr>
            <w:r w:rsidRPr="00033E65">
              <w:rPr>
                <w:color w:val="000000"/>
                <w:szCs w:val="22"/>
                <w:lang w:eastAsia="es-CR"/>
              </w:rPr>
              <w:t>Juzgado Agrario del Primer Circuito Judicial de la Zona Atlántica</w:t>
            </w:r>
          </w:p>
        </w:tc>
        <w:tc>
          <w:tcPr>
            <w:tcW w:w="0" w:type="auto"/>
            <w:tcBorders>
              <w:top w:val="nil"/>
              <w:left w:val="nil"/>
              <w:bottom w:val="double" w:sz="6" w:space="0" w:color="44546A"/>
              <w:right w:val="double" w:sz="6" w:space="0" w:color="44546A"/>
            </w:tcBorders>
            <w:shd w:val="clear" w:color="auto" w:fill="auto"/>
            <w:noWrap/>
            <w:vAlign w:val="bottom"/>
            <w:hideMark/>
          </w:tcPr>
          <w:p w14:paraId="7E22F744"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1E74EEE8"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4</w:t>
            </w:r>
          </w:p>
        </w:tc>
        <w:tc>
          <w:tcPr>
            <w:tcW w:w="0" w:type="auto"/>
            <w:tcBorders>
              <w:top w:val="nil"/>
              <w:left w:val="nil"/>
              <w:bottom w:val="double" w:sz="6" w:space="0" w:color="44546A"/>
              <w:right w:val="double" w:sz="6" w:space="0" w:color="44546A"/>
            </w:tcBorders>
            <w:shd w:val="clear" w:color="auto" w:fill="auto"/>
            <w:noWrap/>
            <w:vAlign w:val="bottom"/>
            <w:hideMark/>
          </w:tcPr>
          <w:p w14:paraId="06FDEFDC"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56E77987"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092E0923"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7</w:t>
            </w:r>
          </w:p>
        </w:tc>
      </w:tr>
      <w:tr w:rsidR="0011530D" w:rsidRPr="00033E65" w14:paraId="5AD09F91"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bottom"/>
            <w:hideMark/>
          </w:tcPr>
          <w:p w14:paraId="0324066B" w14:textId="77777777" w:rsidR="0011530D" w:rsidRPr="00033E65" w:rsidRDefault="0011530D" w:rsidP="0011530D">
            <w:pPr>
              <w:spacing w:before="0" w:after="0"/>
              <w:jc w:val="left"/>
              <w:rPr>
                <w:color w:val="000000"/>
                <w:szCs w:val="22"/>
                <w:lang w:eastAsia="es-CR"/>
              </w:rPr>
            </w:pPr>
            <w:r w:rsidRPr="00033E65">
              <w:rPr>
                <w:color w:val="000000"/>
                <w:szCs w:val="22"/>
                <w:lang w:eastAsia="es-CR"/>
              </w:rPr>
              <w:t>Juzgado Agrario del Segundo Circuito Judicial de la Zona Atlántica</w:t>
            </w:r>
          </w:p>
        </w:tc>
        <w:tc>
          <w:tcPr>
            <w:tcW w:w="0" w:type="auto"/>
            <w:tcBorders>
              <w:top w:val="nil"/>
              <w:left w:val="nil"/>
              <w:bottom w:val="double" w:sz="6" w:space="0" w:color="44546A"/>
              <w:right w:val="double" w:sz="6" w:space="0" w:color="44546A"/>
            </w:tcBorders>
            <w:shd w:val="clear" w:color="auto" w:fill="auto"/>
            <w:noWrap/>
            <w:vAlign w:val="bottom"/>
            <w:hideMark/>
          </w:tcPr>
          <w:p w14:paraId="1816DAFD"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3FDBE485"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5</w:t>
            </w:r>
          </w:p>
        </w:tc>
        <w:tc>
          <w:tcPr>
            <w:tcW w:w="0" w:type="auto"/>
            <w:tcBorders>
              <w:top w:val="nil"/>
              <w:left w:val="nil"/>
              <w:bottom w:val="double" w:sz="6" w:space="0" w:color="44546A"/>
              <w:right w:val="double" w:sz="6" w:space="0" w:color="44546A"/>
            </w:tcBorders>
            <w:shd w:val="clear" w:color="auto" w:fill="auto"/>
            <w:noWrap/>
            <w:vAlign w:val="bottom"/>
            <w:hideMark/>
          </w:tcPr>
          <w:p w14:paraId="71DA8D2B"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68669611"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4297F64C"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9</w:t>
            </w:r>
          </w:p>
        </w:tc>
      </w:tr>
      <w:tr w:rsidR="0011530D" w:rsidRPr="00033E65" w14:paraId="71E3919B"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bottom"/>
            <w:hideMark/>
          </w:tcPr>
          <w:p w14:paraId="10867557" w14:textId="77777777" w:rsidR="0011530D" w:rsidRPr="00033E65" w:rsidRDefault="0011530D" w:rsidP="0011530D">
            <w:pPr>
              <w:spacing w:before="0" w:after="0"/>
              <w:jc w:val="left"/>
              <w:rPr>
                <w:color w:val="000000"/>
                <w:szCs w:val="22"/>
                <w:lang w:eastAsia="es-CR"/>
              </w:rPr>
            </w:pPr>
            <w:r w:rsidRPr="00033E65">
              <w:rPr>
                <w:color w:val="000000"/>
                <w:szCs w:val="22"/>
                <w:lang w:eastAsia="es-CR"/>
              </w:rPr>
              <w:t xml:space="preserve">Juzgado Agrario de Jicaral </w:t>
            </w:r>
          </w:p>
        </w:tc>
        <w:tc>
          <w:tcPr>
            <w:tcW w:w="0" w:type="auto"/>
            <w:tcBorders>
              <w:top w:val="nil"/>
              <w:left w:val="nil"/>
              <w:bottom w:val="double" w:sz="6" w:space="0" w:color="44546A"/>
              <w:right w:val="double" w:sz="6" w:space="0" w:color="44546A"/>
            </w:tcBorders>
            <w:shd w:val="clear" w:color="auto" w:fill="auto"/>
            <w:noWrap/>
            <w:vAlign w:val="bottom"/>
            <w:hideMark/>
          </w:tcPr>
          <w:p w14:paraId="11504128"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EE057FF"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F9CC1E2"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BC6B254"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60B3EEF8"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3</w:t>
            </w:r>
          </w:p>
        </w:tc>
      </w:tr>
      <w:tr w:rsidR="0011530D" w:rsidRPr="00033E65" w14:paraId="617888EE"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4255EEA1" w14:textId="77777777" w:rsidR="0011530D" w:rsidRPr="00033E65" w:rsidRDefault="0011530D" w:rsidP="0011530D">
            <w:pPr>
              <w:spacing w:before="0" w:after="0"/>
              <w:rPr>
                <w:color w:val="000000"/>
                <w:szCs w:val="22"/>
                <w:lang w:eastAsia="es-CR"/>
              </w:rPr>
            </w:pPr>
            <w:r w:rsidRPr="00033E65">
              <w:rPr>
                <w:color w:val="000000"/>
                <w:szCs w:val="22"/>
                <w:lang w:eastAsia="es-CR"/>
              </w:rPr>
              <w:t>Juzgado Civil y Trabajo del Segundo Circuito Judicial de Alajuela (Upala)</w:t>
            </w:r>
          </w:p>
        </w:tc>
        <w:tc>
          <w:tcPr>
            <w:tcW w:w="0" w:type="auto"/>
            <w:tcBorders>
              <w:top w:val="nil"/>
              <w:left w:val="nil"/>
              <w:bottom w:val="double" w:sz="6" w:space="0" w:color="44546A"/>
              <w:right w:val="double" w:sz="6" w:space="0" w:color="44546A"/>
            </w:tcBorders>
            <w:shd w:val="clear" w:color="auto" w:fill="auto"/>
            <w:noWrap/>
            <w:vAlign w:val="bottom"/>
            <w:hideMark/>
          </w:tcPr>
          <w:p w14:paraId="75B0721F"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D171516"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5</w:t>
            </w:r>
          </w:p>
        </w:tc>
        <w:tc>
          <w:tcPr>
            <w:tcW w:w="0" w:type="auto"/>
            <w:tcBorders>
              <w:top w:val="nil"/>
              <w:left w:val="nil"/>
              <w:bottom w:val="double" w:sz="6" w:space="0" w:color="44546A"/>
              <w:right w:val="double" w:sz="6" w:space="0" w:color="44546A"/>
            </w:tcBorders>
            <w:shd w:val="clear" w:color="auto" w:fill="auto"/>
            <w:noWrap/>
            <w:vAlign w:val="bottom"/>
            <w:hideMark/>
          </w:tcPr>
          <w:p w14:paraId="4990B05A"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ECA51D9"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42B2D3EA"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8</w:t>
            </w:r>
          </w:p>
        </w:tc>
      </w:tr>
      <w:tr w:rsidR="0011530D" w:rsidRPr="00033E65" w14:paraId="570CB95B"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6829F2E4" w14:textId="77777777" w:rsidR="0011530D" w:rsidRPr="00033E65" w:rsidRDefault="0011530D" w:rsidP="0011530D">
            <w:pPr>
              <w:spacing w:before="0" w:after="0"/>
              <w:rPr>
                <w:color w:val="000000"/>
                <w:szCs w:val="22"/>
                <w:lang w:eastAsia="es-CR"/>
              </w:rPr>
            </w:pPr>
            <w:r w:rsidRPr="00033E65">
              <w:rPr>
                <w:color w:val="000000"/>
                <w:szCs w:val="22"/>
                <w:lang w:eastAsia="es-CR"/>
              </w:rPr>
              <w:t>Juzgado Civil, Trabajo y Familia Buenos Aires</w:t>
            </w:r>
          </w:p>
        </w:tc>
        <w:tc>
          <w:tcPr>
            <w:tcW w:w="0" w:type="auto"/>
            <w:tcBorders>
              <w:top w:val="nil"/>
              <w:left w:val="nil"/>
              <w:bottom w:val="double" w:sz="6" w:space="0" w:color="44546A"/>
              <w:right w:val="double" w:sz="6" w:space="0" w:color="44546A"/>
            </w:tcBorders>
            <w:shd w:val="clear" w:color="auto" w:fill="auto"/>
            <w:noWrap/>
            <w:vAlign w:val="bottom"/>
            <w:hideMark/>
          </w:tcPr>
          <w:p w14:paraId="2C580C44"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8DB54B6"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214D92F3"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380B3D09"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2231440F"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5</w:t>
            </w:r>
          </w:p>
        </w:tc>
      </w:tr>
      <w:tr w:rsidR="0011530D" w:rsidRPr="00033E65" w14:paraId="720D2D01" w14:textId="77777777" w:rsidTr="000A2079">
        <w:trPr>
          <w:trHeight w:val="296"/>
          <w:jc w:val="center"/>
        </w:trPr>
        <w:tc>
          <w:tcPr>
            <w:tcW w:w="7207" w:type="dxa"/>
            <w:tcBorders>
              <w:top w:val="nil"/>
              <w:left w:val="double" w:sz="6" w:space="0" w:color="44546A"/>
              <w:bottom w:val="double" w:sz="6" w:space="0" w:color="44546A"/>
              <w:right w:val="double" w:sz="6" w:space="0" w:color="44546A"/>
            </w:tcBorders>
            <w:shd w:val="clear" w:color="auto" w:fill="auto"/>
            <w:noWrap/>
            <w:vAlign w:val="center"/>
            <w:hideMark/>
          </w:tcPr>
          <w:p w14:paraId="1E2FC3F5" w14:textId="77777777" w:rsidR="0011530D" w:rsidRPr="00033E65" w:rsidRDefault="0011530D" w:rsidP="0011530D">
            <w:pPr>
              <w:spacing w:before="0" w:after="0"/>
              <w:rPr>
                <w:color w:val="000000"/>
                <w:szCs w:val="22"/>
                <w:lang w:eastAsia="es-CR"/>
              </w:rPr>
            </w:pPr>
            <w:r w:rsidRPr="00033E65">
              <w:rPr>
                <w:color w:val="000000"/>
                <w:szCs w:val="22"/>
                <w:lang w:eastAsia="es-CR"/>
              </w:rPr>
              <w:t>Juzgado Civil, Trabajo y Agrario de Turrialba</w:t>
            </w:r>
          </w:p>
        </w:tc>
        <w:tc>
          <w:tcPr>
            <w:tcW w:w="0" w:type="auto"/>
            <w:tcBorders>
              <w:top w:val="nil"/>
              <w:left w:val="nil"/>
              <w:bottom w:val="double" w:sz="6" w:space="0" w:color="44546A"/>
              <w:right w:val="double" w:sz="6" w:space="0" w:color="44546A"/>
            </w:tcBorders>
            <w:shd w:val="clear" w:color="auto" w:fill="auto"/>
            <w:noWrap/>
            <w:vAlign w:val="bottom"/>
            <w:hideMark/>
          </w:tcPr>
          <w:p w14:paraId="297D5710"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881B81C"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3380E5F6"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7302D565"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4EC18B63" w14:textId="77777777" w:rsidR="0011530D" w:rsidRPr="00033E65" w:rsidRDefault="0011530D" w:rsidP="0011530D">
            <w:pPr>
              <w:spacing w:before="0" w:after="0"/>
              <w:jc w:val="center"/>
              <w:rPr>
                <w:color w:val="000000"/>
                <w:szCs w:val="22"/>
                <w:lang w:eastAsia="es-CR"/>
              </w:rPr>
            </w:pPr>
            <w:r w:rsidRPr="00033E65">
              <w:rPr>
                <w:color w:val="000000"/>
                <w:szCs w:val="22"/>
                <w:lang w:eastAsia="es-CR"/>
              </w:rPr>
              <w:t>3</w:t>
            </w:r>
          </w:p>
        </w:tc>
      </w:tr>
      <w:tr w:rsidR="0011530D" w:rsidRPr="00033E65" w14:paraId="396BBD55" w14:textId="77777777" w:rsidTr="000A2079">
        <w:trPr>
          <w:trHeight w:val="296"/>
          <w:jc w:val="center"/>
        </w:trPr>
        <w:tc>
          <w:tcPr>
            <w:tcW w:w="7207" w:type="dxa"/>
            <w:tcBorders>
              <w:top w:val="double" w:sz="6" w:space="0" w:color="0673A5"/>
              <w:left w:val="double" w:sz="6" w:space="0" w:color="0673A5"/>
              <w:bottom w:val="double" w:sz="6" w:space="0" w:color="0673A5"/>
              <w:right w:val="double" w:sz="6" w:space="0" w:color="0673A5"/>
            </w:tcBorders>
            <w:shd w:val="clear" w:color="DDEBF7" w:fill="DDEBF7"/>
            <w:noWrap/>
            <w:vAlign w:val="bottom"/>
            <w:hideMark/>
          </w:tcPr>
          <w:p w14:paraId="7E84699C" w14:textId="77777777" w:rsidR="0011530D" w:rsidRPr="00033E65" w:rsidRDefault="0011530D" w:rsidP="0011530D">
            <w:pPr>
              <w:spacing w:before="0" w:after="0"/>
              <w:jc w:val="right"/>
              <w:rPr>
                <w:b/>
                <w:bCs/>
                <w:color w:val="000000"/>
                <w:szCs w:val="22"/>
                <w:lang w:eastAsia="es-CR"/>
              </w:rPr>
            </w:pPr>
            <w:r w:rsidRPr="00033E65">
              <w:rPr>
                <w:b/>
                <w:bCs/>
                <w:color w:val="000000"/>
                <w:szCs w:val="22"/>
                <w:lang w:eastAsia="es-CR"/>
              </w:rPr>
              <w:t>Total general</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38D47564" w14:textId="77777777" w:rsidR="0011530D" w:rsidRPr="00033E65" w:rsidRDefault="0011530D" w:rsidP="0011530D">
            <w:pPr>
              <w:spacing w:before="0" w:after="0"/>
              <w:jc w:val="center"/>
              <w:rPr>
                <w:b/>
                <w:bCs/>
                <w:color w:val="000000"/>
                <w:szCs w:val="22"/>
                <w:lang w:eastAsia="es-CR"/>
              </w:rPr>
            </w:pPr>
            <w:r w:rsidRPr="00033E65">
              <w:rPr>
                <w:b/>
                <w:bCs/>
                <w:color w:val="000000"/>
                <w:szCs w:val="22"/>
                <w:lang w:eastAsia="es-CR"/>
              </w:rPr>
              <w:t>34</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49A85093" w14:textId="77777777" w:rsidR="0011530D" w:rsidRPr="00033E65" w:rsidRDefault="0011530D" w:rsidP="0011530D">
            <w:pPr>
              <w:spacing w:before="0" w:after="0"/>
              <w:jc w:val="center"/>
              <w:rPr>
                <w:b/>
                <w:bCs/>
                <w:color w:val="000000"/>
                <w:szCs w:val="22"/>
                <w:lang w:eastAsia="es-CR"/>
              </w:rPr>
            </w:pPr>
            <w:r w:rsidRPr="00033E65">
              <w:rPr>
                <w:b/>
                <w:bCs/>
                <w:color w:val="000000"/>
                <w:szCs w:val="22"/>
                <w:lang w:eastAsia="es-CR"/>
              </w:rPr>
              <w:t>50</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5927E9AC" w14:textId="77777777" w:rsidR="0011530D" w:rsidRPr="00033E65" w:rsidRDefault="0011530D" w:rsidP="0011530D">
            <w:pPr>
              <w:spacing w:before="0" w:after="0"/>
              <w:jc w:val="center"/>
              <w:rPr>
                <w:b/>
                <w:bCs/>
                <w:color w:val="000000"/>
                <w:szCs w:val="22"/>
                <w:lang w:eastAsia="es-CR"/>
              </w:rPr>
            </w:pPr>
            <w:r w:rsidRPr="00033E65">
              <w:rPr>
                <w:b/>
                <w:bCs/>
                <w:color w:val="000000"/>
                <w:szCs w:val="22"/>
                <w:lang w:eastAsia="es-CR"/>
              </w:rPr>
              <w:t>17</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6B3C5641" w14:textId="77777777" w:rsidR="0011530D" w:rsidRPr="00033E65" w:rsidRDefault="0011530D" w:rsidP="0011530D">
            <w:pPr>
              <w:spacing w:before="0" w:after="0"/>
              <w:jc w:val="center"/>
              <w:rPr>
                <w:b/>
                <w:bCs/>
                <w:color w:val="000000"/>
                <w:szCs w:val="22"/>
                <w:lang w:eastAsia="es-CR"/>
              </w:rPr>
            </w:pPr>
            <w:r w:rsidRPr="00033E65">
              <w:rPr>
                <w:b/>
                <w:bCs/>
                <w:color w:val="000000"/>
                <w:szCs w:val="22"/>
                <w:lang w:eastAsia="es-CR"/>
              </w:rPr>
              <w:t>4</w:t>
            </w:r>
          </w:p>
        </w:tc>
        <w:tc>
          <w:tcPr>
            <w:tcW w:w="665" w:type="dxa"/>
            <w:tcBorders>
              <w:top w:val="double" w:sz="6" w:space="0" w:color="0673A5"/>
              <w:left w:val="nil"/>
              <w:bottom w:val="double" w:sz="6" w:space="0" w:color="0673A5"/>
              <w:right w:val="double" w:sz="6" w:space="0" w:color="0673A5"/>
            </w:tcBorders>
            <w:shd w:val="clear" w:color="DDEBF7" w:fill="DDEBF7"/>
            <w:noWrap/>
            <w:vAlign w:val="bottom"/>
            <w:hideMark/>
          </w:tcPr>
          <w:p w14:paraId="04C5F59A" w14:textId="77777777" w:rsidR="0011530D" w:rsidRPr="00033E65" w:rsidRDefault="0011530D" w:rsidP="0011530D">
            <w:pPr>
              <w:spacing w:before="0" w:after="0"/>
              <w:jc w:val="center"/>
              <w:rPr>
                <w:b/>
                <w:bCs/>
                <w:color w:val="000000"/>
                <w:szCs w:val="22"/>
                <w:lang w:eastAsia="es-CR"/>
              </w:rPr>
            </w:pPr>
            <w:r w:rsidRPr="00033E65">
              <w:rPr>
                <w:b/>
                <w:bCs/>
                <w:color w:val="000000"/>
                <w:szCs w:val="22"/>
                <w:lang w:eastAsia="es-CR"/>
              </w:rPr>
              <w:t>105</w:t>
            </w:r>
          </w:p>
        </w:tc>
      </w:tr>
      <w:tr w:rsidR="0011530D" w:rsidRPr="00033E65" w14:paraId="79A4494F" w14:textId="77777777" w:rsidTr="000A2079">
        <w:trPr>
          <w:trHeight w:val="287"/>
          <w:jc w:val="center"/>
        </w:trPr>
        <w:tc>
          <w:tcPr>
            <w:tcW w:w="7207" w:type="dxa"/>
            <w:tcBorders>
              <w:top w:val="nil"/>
              <w:left w:val="nil"/>
              <w:bottom w:val="nil"/>
              <w:right w:val="nil"/>
            </w:tcBorders>
            <w:shd w:val="clear" w:color="auto" w:fill="auto"/>
            <w:noWrap/>
            <w:vAlign w:val="center"/>
            <w:hideMark/>
          </w:tcPr>
          <w:p w14:paraId="754B3C0B" w14:textId="466B8E13" w:rsidR="0011530D" w:rsidRPr="00033E65" w:rsidRDefault="00630942" w:rsidP="000A2079">
            <w:pPr>
              <w:spacing w:before="0" w:after="0"/>
              <w:ind w:right="-350"/>
              <w:jc w:val="left"/>
              <w:rPr>
                <w:i/>
                <w:iCs/>
                <w:color w:val="000000"/>
                <w:szCs w:val="22"/>
                <w:lang w:eastAsia="es-CR"/>
              </w:rPr>
            </w:pPr>
            <w:r w:rsidRPr="00033E65">
              <w:rPr>
                <w:b/>
                <w:i/>
                <w:sz w:val="18"/>
              </w:rPr>
              <w:t>Fuente: Subproceso de Modernización Institucional</w:t>
            </w:r>
            <w:r w:rsidR="00BD3717" w:rsidRPr="00033E65">
              <w:rPr>
                <w:b/>
                <w:i/>
                <w:sz w:val="18"/>
              </w:rPr>
              <w:t xml:space="preserve">, </w:t>
            </w:r>
            <w:r w:rsidR="00930E6B" w:rsidRPr="00033E65">
              <w:rPr>
                <w:b/>
                <w:i/>
                <w:sz w:val="18"/>
              </w:rPr>
              <w:t xml:space="preserve">área </w:t>
            </w:r>
            <w:r w:rsidR="00BD3717" w:rsidRPr="00033E65">
              <w:rPr>
                <w:b/>
                <w:i/>
                <w:sz w:val="18"/>
              </w:rPr>
              <w:t>No</w:t>
            </w:r>
            <w:r w:rsidR="0017121C" w:rsidRPr="00033E65">
              <w:rPr>
                <w:b/>
                <w:i/>
                <w:sz w:val="18"/>
              </w:rPr>
              <w:t xml:space="preserve"> Penal</w:t>
            </w:r>
            <w:r w:rsidR="002B2240" w:rsidRPr="00033E65">
              <w:rPr>
                <w:b/>
                <w:i/>
                <w:sz w:val="18"/>
              </w:rPr>
              <w:t>,</w:t>
            </w:r>
            <w:r w:rsidR="00BD3717" w:rsidRPr="00033E65">
              <w:rPr>
                <w:b/>
                <w:i/>
                <w:sz w:val="18"/>
              </w:rPr>
              <w:t xml:space="preserve"> </w:t>
            </w:r>
            <w:r w:rsidRPr="00033E65">
              <w:rPr>
                <w:b/>
                <w:i/>
                <w:sz w:val="18"/>
              </w:rPr>
              <w:t>de acuerdo con la</w:t>
            </w:r>
            <w:r w:rsidR="002B2240" w:rsidRPr="00033E65">
              <w:rPr>
                <w:b/>
                <w:i/>
                <w:sz w:val="18"/>
              </w:rPr>
              <w:t xml:space="preserve"> </w:t>
            </w:r>
            <w:r w:rsidRPr="00033E65">
              <w:rPr>
                <w:b/>
                <w:i/>
                <w:sz w:val="18"/>
              </w:rPr>
              <w:t>relación de Puestos SIGA-GH 202</w:t>
            </w:r>
            <w:r w:rsidR="000A2079" w:rsidRPr="00033E65">
              <w:rPr>
                <w:b/>
                <w:i/>
                <w:sz w:val="18"/>
              </w:rPr>
              <w:t>3</w:t>
            </w:r>
            <w:r w:rsidRPr="00033E65">
              <w:rPr>
                <w:b/>
                <w:i/>
                <w:sz w:val="18"/>
              </w:rPr>
              <w:t>.</w:t>
            </w:r>
          </w:p>
        </w:tc>
        <w:tc>
          <w:tcPr>
            <w:tcW w:w="0" w:type="auto"/>
            <w:tcBorders>
              <w:top w:val="nil"/>
              <w:left w:val="nil"/>
              <w:bottom w:val="nil"/>
              <w:right w:val="nil"/>
            </w:tcBorders>
            <w:shd w:val="clear" w:color="auto" w:fill="auto"/>
            <w:noWrap/>
            <w:vAlign w:val="center"/>
            <w:hideMark/>
          </w:tcPr>
          <w:p w14:paraId="624B6DDA" w14:textId="418C11E9" w:rsidR="00630942" w:rsidRPr="00033E65" w:rsidRDefault="0011530D" w:rsidP="0011530D">
            <w:pPr>
              <w:spacing w:before="0" w:after="0"/>
              <w:jc w:val="left"/>
              <w:rPr>
                <w:i/>
                <w:iCs/>
                <w:color w:val="000000"/>
                <w:szCs w:val="22"/>
                <w:lang w:eastAsia="es-CR"/>
              </w:rPr>
            </w:pPr>
            <w:r w:rsidRPr="00033E65">
              <w:rPr>
                <w:i/>
                <w:iCs/>
                <w:color w:val="000000"/>
                <w:szCs w:val="22"/>
                <w:lang w:eastAsia="es-CR"/>
              </w:rPr>
              <w:t> </w:t>
            </w:r>
          </w:p>
        </w:tc>
        <w:tc>
          <w:tcPr>
            <w:tcW w:w="0" w:type="auto"/>
            <w:tcBorders>
              <w:top w:val="nil"/>
              <w:left w:val="nil"/>
              <w:bottom w:val="nil"/>
              <w:right w:val="nil"/>
            </w:tcBorders>
            <w:shd w:val="clear" w:color="auto" w:fill="auto"/>
            <w:noWrap/>
            <w:vAlign w:val="bottom"/>
            <w:hideMark/>
          </w:tcPr>
          <w:p w14:paraId="02C227C7" w14:textId="77777777" w:rsidR="0011530D" w:rsidRPr="00033E65" w:rsidRDefault="0011530D" w:rsidP="0011530D">
            <w:pPr>
              <w:spacing w:before="0" w:after="0"/>
              <w:jc w:val="left"/>
              <w:rPr>
                <w:i/>
                <w:iCs/>
                <w:color w:val="000000"/>
                <w:szCs w:val="22"/>
                <w:lang w:eastAsia="es-CR"/>
              </w:rPr>
            </w:pPr>
          </w:p>
        </w:tc>
        <w:tc>
          <w:tcPr>
            <w:tcW w:w="0" w:type="auto"/>
            <w:tcBorders>
              <w:top w:val="nil"/>
              <w:left w:val="nil"/>
              <w:bottom w:val="nil"/>
              <w:right w:val="nil"/>
            </w:tcBorders>
            <w:shd w:val="clear" w:color="auto" w:fill="auto"/>
            <w:noWrap/>
            <w:vAlign w:val="bottom"/>
            <w:hideMark/>
          </w:tcPr>
          <w:p w14:paraId="6D7CC020" w14:textId="77777777" w:rsidR="0011530D" w:rsidRPr="00033E65" w:rsidRDefault="0011530D" w:rsidP="0011530D">
            <w:pPr>
              <w:spacing w:before="0" w:after="0"/>
              <w:jc w:val="left"/>
              <w:rPr>
                <w:rFonts w:ascii="Times New Roman" w:hAnsi="Times New Roman"/>
                <w:sz w:val="20"/>
                <w:lang w:eastAsia="es-CR"/>
              </w:rPr>
            </w:pPr>
          </w:p>
        </w:tc>
        <w:tc>
          <w:tcPr>
            <w:tcW w:w="0" w:type="auto"/>
            <w:tcBorders>
              <w:top w:val="nil"/>
              <w:left w:val="nil"/>
              <w:bottom w:val="nil"/>
              <w:right w:val="nil"/>
            </w:tcBorders>
            <w:shd w:val="clear" w:color="auto" w:fill="auto"/>
            <w:noWrap/>
            <w:vAlign w:val="bottom"/>
            <w:hideMark/>
          </w:tcPr>
          <w:p w14:paraId="65E38CBA" w14:textId="77777777" w:rsidR="0011530D" w:rsidRPr="00033E65" w:rsidRDefault="0011530D" w:rsidP="0011530D">
            <w:pPr>
              <w:spacing w:before="0" w:after="0"/>
              <w:jc w:val="left"/>
              <w:rPr>
                <w:rFonts w:ascii="Times New Roman" w:hAnsi="Times New Roman"/>
                <w:sz w:val="20"/>
                <w:lang w:eastAsia="es-CR"/>
              </w:rPr>
            </w:pPr>
          </w:p>
        </w:tc>
        <w:tc>
          <w:tcPr>
            <w:tcW w:w="665" w:type="dxa"/>
            <w:tcBorders>
              <w:top w:val="nil"/>
              <w:left w:val="nil"/>
              <w:bottom w:val="nil"/>
              <w:right w:val="nil"/>
            </w:tcBorders>
            <w:shd w:val="clear" w:color="auto" w:fill="auto"/>
            <w:noWrap/>
            <w:vAlign w:val="bottom"/>
            <w:hideMark/>
          </w:tcPr>
          <w:p w14:paraId="659AAB23" w14:textId="77777777" w:rsidR="0011530D" w:rsidRPr="00033E65" w:rsidRDefault="0011530D" w:rsidP="0011530D">
            <w:pPr>
              <w:spacing w:before="0" w:after="0"/>
              <w:jc w:val="left"/>
              <w:rPr>
                <w:rFonts w:ascii="Times New Roman" w:hAnsi="Times New Roman"/>
                <w:sz w:val="20"/>
                <w:lang w:eastAsia="es-CR"/>
              </w:rPr>
            </w:pPr>
          </w:p>
        </w:tc>
      </w:tr>
    </w:tbl>
    <w:p w14:paraId="68020A36" w14:textId="498C6F58" w:rsidR="00630942" w:rsidRPr="00033E65" w:rsidRDefault="00630942" w:rsidP="000F708C">
      <w:pPr>
        <w:rPr>
          <w:b/>
          <w:i/>
          <w:sz w:val="18"/>
        </w:rPr>
      </w:pPr>
    </w:p>
    <w:p w14:paraId="4C96E35C" w14:textId="3CAF391C" w:rsidR="000F708C" w:rsidRPr="00033E65" w:rsidRDefault="000F708C" w:rsidP="000F708C">
      <w:r w:rsidRPr="00033E65">
        <w:t>La jurisdicción</w:t>
      </w:r>
      <w:r w:rsidR="00630942" w:rsidRPr="00033E65">
        <w:t xml:space="preserve"> Agraria está conformada por 34 </w:t>
      </w:r>
      <w:r w:rsidRPr="00033E65">
        <w:t>personas juzgadoras, de las cuales 15 plaz</w:t>
      </w:r>
      <w:r w:rsidR="002E0687" w:rsidRPr="00033E65">
        <w:t>as son ocupadas por mujeres y 19</w:t>
      </w:r>
      <w:r w:rsidRPr="00033E65">
        <w:t xml:space="preserve"> por varones.</w:t>
      </w:r>
    </w:p>
    <w:p w14:paraId="539D21C1" w14:textId="4CC668A8" w:rsidR="003A1C30" w:rsidRPr="00033E65" w:rsidRDefault="003A1C30" w:rsidP="003A1C30">
      <w:pPr>
        <w:widowControl w:val="0"/>
        <w:suppressAutoHyphens/>
        <w:autoSpaceDE w:val="0"/>
        <w:autoSpaceDN w:val="0"/>
        <w:adjustRightInd w:val="0"/>
        <w:rPr>
          <w:rFonts w:cs="Arial"/>
          <w:i/>
          <w:iCs/>
          <w:szCs w:val="22"/>
          <w:lang w:eastAsia="zh-CN"/>
        </w:rPr>
      </w:pPr>
      <w:r w:rsidRPr="00033E65">
        <w:rPr>
          <w:rFonts w:cs="Arial"/>
          <w:szCs w:val="22"/>
          <w:lang w:eastAsia="zh-CN"/>
        </w:rPr>
        <w:t>En el caso de los Juzgados mixtos, a pesar de contar con una persona juzgadora destinada para la atención de la materia Agraria, también deben conocer otras materias, lo cual obedece que no disponen del 100% de su tiempo para tramitar dicha materia</w:t>
      </w:r>
      <w:r w:rsidR="00D220A1" w:rsidRPr="00033E65">
        <w:rPr>
          <w:rFonts w:cs="Arial"/>
          <w:szCs w:val="22"/>
          <w:lang w:eastAsia="zh-CN"/>
        </w:rPr>
        <w:t xml:space="preserve"> y además la carga de trabajo no cumple con la mínima esperada para la especialización de la materia Agraria</w:t>
      </w:r>
      <w:r w:rsidR="00E35525" w:rsidRPr="00033E65">
        <w:rPr>
          <w:rFonts w:cs="Arial"/>
          <w:szCs w:val="22"/>
          <w:lang w:eastAsia="zh-CN"/>
        </w:rPr>
        <w:t xml:space="preserve">, </w:t>
      </w:r>
      <w:r w:rsidRPr="00033E65">
        <w:rPr>
          <w:rFonts w:cs="Arial"/>
          <w:szCs w:val="22"/>
          <w:lang w:eastAsia="zh-CN"/>
        </w:rPr>
        <w:t xml:space="preserve"> por lo que es necesario conocer la proporción de atención según carga de trabajo por persona juzgadora de los Juzgados mixtos, la cual se conocerá en el apartado </w:t>
      </w:r>
      <w:r w:rsidR="00185256" w:rsidRPr="00033E65">
        <w:rPr>
          <w:rFonts w:cs="Arial"/>
          <w:i/>
          <w:iCs/>
          <w:szCs w:val="22"/>
          <w:lang w:eastAsia="zh-CN"/>
        </w:rPr>
        <w:t>2.4.</w:t>
      </w:r>
      <w:r w:rsidR="00850FF4" w:rsidRPr="00033E65">
        <w:rPr>
          <w:rFonts w:cs="Arial"/>
          <w:i/>
          <w:iCs/>
          <w:szCs w:val="22"/>
          <w:lang w:eastAsia="zh-CN"/>
        </w:rPr>
        <w:t xml:space="preserve"> Análisis de Carga de Trabajo Juzgados Mixtos con Competencia en la Materia Agraria</w:t>
      </w:r>
      <w:r w:rsidR="007A2569" w:rsidRPr="00033E65">
        <w:rPr>
          <w:rFonts w:cs="Arial"/>
          <w:i/>
          <w:iCs/>
          <w:szCs w:val="22"/>
          <w:lang w:eastAsia="zh-CN"/>
        </w:rPr>
        <w:t>.</w:t>
      </w:r>
    </w:p>
    <w:p w14:paraId="5ACA92DD" w14:textId="77777777" w:rsidR="004711AA" w:rsidRPr="00033E65" w:rsidRDefault="004711AA" w:rsidP="003A1C30">
      <w:pPr>
        <w:widowControl w:val="0"/>
        <w:suppressAutoHyphens/>
        <w:autoSpaceDE w:val="0"/>
        <w:autoSpaceDN w:val="0"/>
        <w:adjustRightInd w:val="0"/>
        <w:rPr>
          <w:rFonts w:cs="Arial"/>
          <w:i/>
          <w:iCs/>
          <w:szCs w:val="22"/>
          <w:lang w:eastAsia="zh-CN"/>
        </w:rPr>
      </w:pPr>
    </w:p>
    <w:p w14:paraId="730FFF8B" w14:textId="408CC38E" w:rsidR="005046C5" w:rsidRPr="00033E65" w:rsidRDefault="007E06A7" w:rsidP="00177D0A">
      <w:pPr>
        <w:pStyle w:val="Ttulo2"/>
      </w:pPr>
      <w:bookmarkStart w:id="92" w:name="_Toc37670449"/>
      <w:bookmarkStart w:id="93" w:name="_Toc132639504"/>
      <w:r w:rsidRPr="00033E65">
        <w:t xml:space="preserve">3.2 </w:t>
      </w:r>
      <w:r w:rsidR="005046C5" w:rsidRPr="00033E65">
        <w:t>Ámbito Auxiliar de la Justicia</w:t>
      </w:r>
      <w:bookmarkEnd w:id="92"/>
      <w:bookmarkEnd w:id="93"/>
    </w:p>
    <w:p w14:paraId="47CB6B2F" w14:textId="49772019" w:rsidR="005046C5" w:rsidRPr="00033E65" w:rsidRDefault="005046C5" w:rsidP="005046C5">
      <w:pPr>
        <w:rPr>
          <w:rFonts w:cs="Arial"/>
          <w:szCs w:val="22"/>
          <w:lang w:val="es-ES" w:eastAsia="zh-CN"/>
        </w:rPr>
      </w:pPr>
      <w:r w:rsidRPr="00033E65">
        <w:rPr>
          <w:rFonts w:cs="Arial"/>
          <w:szCs w:val="22"/>
          <w:lang w:val="es-ES" w:eastAsia="zh-CN"/>
        </w:rPr>
        <w:t xml:space="preserve">Con base en la información aportada por </w:t>
      </w:r>
      <w:r w:rsidR="00383147" w:rsidRPr="00033E65">
        <w:rPr>
          <w:rFonts w:cs="Arial"/>
          <w:szCs w:val="22"/>
          <w:lang w:val="es-ES" w:eastAsia="zh-CN"/>
        </w:rPr>
        <w:t xml:space="preserve">el Lic. Josué González Granados, Administrador </w:t>
      </w:r>
      <w:r w:rsidRPr="00033E65">
        <w:rPr>
          <w:rFonts w:cs="Arial"/>
          <w:szCs w:val="22"/>
          <w:lang w:val="es-ES" w:eastAsia="zh-CN"/>
        </w:rPr>
        <w:t xml:space="preserve">de la Defensa Pública y el Lic. </w:t>
      </w:r>
      <w:r w:rsidR="005E63FE" w:rsidRPr="00033E65">
        <w:rPr>
          <w:rFonts w:cs="Arial"/>
          <w:szCs w:val="22"/>
          <w:lang w:val="es-ES" w:eastAsia="zh-CN"/>
        </w:rPr>
        <w:t>Jesús</w:t>
      </w:r>
      <w:r w:rsidR="00383147" w:rsidRPr="00033E65">
        <w:rPr>
          <w:rFonts w:cs="Arial"/>
          <w:szCs w:val="22"/>
          <w:lang w:val="es-ES" w:eastAsia="zh-CN"/>
        </w:rPr>
        <w:t xml:space="preserve"> Chaves Mora</w:t>
      </w:r>
      <w:r w:rsidRPr="00033E65">
        <w:rPr>
          <w:rFonts w:cs="Arial"/>
          <w:szCs w:val="22"/>
          <w:lang w:val="es-ES" w:eastAsia="zh-CN"/>
        </w:rPr>
        <w:t xml:space="preserve">, Coordinador de la Unidad de Defensa Pública Agraria </w:t>
      </w:r>
      <w:r w:rsidR="007A2569" w:rsidRPr="00033E65">
        <w:rPr>
          <w:rFonts w:cs="Arial"/>
          <w:i/>
          <w:iCs/>
          <w:szCs w:val="22"/>
          <w:lang w:val="es-ES" w:eastAsia="zh-CN"/>
        </w:rPr>
        <w:t xml:space="preserve">(ver anexo 1 Correo del Lic. </w:t>
      </w:r>
      <w:r w:rsidR="005E63FE" w:rsidRPr="00033E65">
        <w:rPr>
          <w:rFonts w:cs="Arial"/>
          <w:i/>
          <w:iCs/>
          <w:szCs w:val="22"/>
          <w:lang w:val="es-ES" w:eastAsia="zh-CN"/>
        </w:rPr>
        <w:t>Jesús</w:t>
      </w:r>
      <w:r w:rsidR="007A2569" w:rsidRPr="00033E65">
        <w:rPr>
          <w:rFonts w:cs="Arial"/>
          <w:i/>
          <w:iCs/>
          <w:szCs w:val="22"/>
          <w:lang w:val="es-ES" w:eastAsia="zh-CN"/>
        </w:rPr>
        <w:t xml:space="preserve"> Chaves Mora</w:t>
      </w:r>
      <w:r w:rsidR="007A2569" w:rsidRPr="00033E65">
        <w:t xml:space="preserve"> </w:t>
      </w:r>
      <w:r w:rsidR="007A2569" w:rsidRPr="00033E65">
        <w:rPr>
          <w:rFonts w:cs="Arial"/>
          <w:i/>
          <w:iCs/>
          <w:szCs w:val="22"/>
          <w:lang w:val="es-ES" w:eastAsia="zh-CN"/>
        </w:rPr>
        <w:t>Coordinador de la Unidad de Defensa Pública Agraria</w:t>
      </w:r>
      <w:r w:rsidR="00811CC5" w:rsidRPr="00033E65">
        <w:rPr>
          <w:rFonts w:cs="Arial"/>
          <w:i/>
          <w:iCs/>
          <w:szCs w:val="22"/>
          <w:lang w:val="es-ES" w:eastAsia="zh-CN"/>
        </w:rPr>
        <w:t xml:space="preserve"> y la Administración de la Defensa Pública</w:t>
      </w:r>
      <w:r w:rsidRPr="00033E65">
        <w:rPr>
          <w:i/>
          <w:iCs/>
          <w:szCs w:val="22"/>
          <w:lang w:val="es-ES" w:eastAsia="es-CR"/>
        </w:rPr>
        <w:t>)</w:t>
      </w:r>
      <w:r w:rsidRPr="00033E65">
        <w:rPr>
          <w:rFonts w:cs="Arial"/>
          <w:i/>
          <w:iCs/>
          <w:szCs w:val="22"/>
          <w:lang w:val="es-ES" w:eastAsia="zh-CN"/>
        </w:rPr>
        <w:t xml:space="preserve">, </w:t>
      </w:r>
      <w:r w:rsidRPr="00033E65">
        <w:rPr>
          <w:rFonts w:cs="Arial"/>
          <w:szCs w:val="22"/>
          <w:lang w:val="es-ES" w:eastAsia="zh-CN"/>
        </w:rPr>
        <w:t xml:space="preserve">se determina que, a la fecha, </w:t>
      </w:r>
      <w:r w:rsidR="00383147" w:rsidRPr="00033E65">
        <w:rPr>
          <w:rFonts w:cs="Arial"/>
          <w:szCs w:val="22"/>
          <w:lang w:val="es-ES" w:eastAsia="zh-CN"/>
        </w:rPr>
        <w:t>la Defensa Pública cuenta con 17</w:t>
      </w:r>
      <w:r w:rsidRPr="00033E65">
        <w:rPr>
          <w:rFonts w:cs="Arial"/>
          <w:szCs w:val="22"/>
          <w:lang w:val="es-ES" w:eastAsia="zh-CN"/>
        </w:rPr>
        <w:t xml:space="preserve"> plazas de Defensora o Defensor Público en mat</w:t>
      </w:r>
      <w:r w:rsidR="00383147" w:rsidRPr="00033E65">
        <w:rPr>
          <w:rFonts w:cs="Arial"/>
          <w:szCs w:val="22"/>
          <w:lang w:val="es-ES" w:eastAsia="zh-CN"/>
        </w:rPr>
        <w:t>eria Agraria, distribuidas en 16</w:t>
      </w:r>
      <w:r w:rsidRPr="00033E65">
        <w:rPr>
          <w:rFonts w:cs="Arial"/>
          <w:szCs w:val="22"/>
          <w:lang w:val="es-ES" w:eastAsia="zh-CN"/>
        </w:rPr>
        <w:t xml:space="preserve"> Circuitos Judiciales del país, según el siguiente detalle:</w:t>
      </w:r>
    </w:p>
    <w:p w14:paraId="61DBD54B" w14:textId="111B5DD8" w:rsidR="005046C5" w:rsidRPr="00033E65" w:rsidRDefault="0087671C" w:rsidP="00864BA5">
      <w:pPr>
        <w:spacing w:before="0" w:after="160" w:line="259" w:lineRule="auto"/>
        <w:jc w:val="center"/>
        <w:rPr>
          <w:rFonts w:cs="Arial"/>
          <w:b/>
          <w:bCs/>
          <w:iCs/>
          <w:color w:val="244061" w:themeColor="accent1" w:themeShade="80"/>
          <w:sz w:val="24"/>
          <w:szCs w:val="28"/>
        </w:rPr>
      </w:pPr>
      <w:r w:rsidRPr="00033E65">
        <w:rPr>
          <w:rFonts w:cs="Arial"/>
          <w:iCs/>
          <w:szCs w:val="28"/>
        </w:rPr>
        <w:br w:type="page"/>
      </w:r>
      <w:r w:rsidR="005046C5" w:rsidRPr="00033E65">
        <w:rPr>
          <w:rFonts w:cs="Arial"/>
          <w:b/>
          <w:bCs/>
          <w:iCs/>
          <w:szCs w:val="28"/>
        </w:rPr>
        <w:lastRenderedPageBreak/>
        <w:t xml:space="preserve">Cuadro </w:t>
      </w:r>
      <w:r w:rsidR="005046C5" w:rsidRPr="00033E65">
        <w:rPr>
          <w:b/>
          <w:bCs/>
        </w:rPr>
        <w:fldChar w:fldCharType="begin"/>
      </w:r>
      <w:r w:rsidR="005046C5" w:rsidRPr="00033E65">
        <w:rPr>
          <w:b/>
          <w:bCs/>
        </w:rPr>
        <w:instrText xml:space="preserve"> SEQ Cuadro \* ARABIC </w:instrText>
      </w:r>
      <w:r w:rsidR="005046C5" w:rsidRPr="00033E65">
        <w:rPr>
          <w:b/>
          <w:bCs/>
        </w:rPr>
        <w:fldChar w:fldCharType="separate"/>
      </w:r>
      <w:r w:rsidR="000B4B78" w:rsidRPr="00033E65">
        <w:rPr>
          <w:b/>
          <w:bCs/>
          <w:noProof/>
        </w:rPr>
        <w:t>3</w:t>
      </w:r>
      <w:r w:rsidR="005046C5" w:rsidRPr="00033E65">
        <w:rPr>
          <w:b/>
          <w:bCs/>
        </w:rPr>
        <w:fldChar w:fldCharType="end"/>
      </w:r>
    </w:p>
    <w:p w14:paraId="49929BAD" w14:textId="4D13E647" w:rsidR="005046C5" w:rsidRPr="00033E65" w:rsidRDefault="005046C5" w:rsidP="00864BA5">
      <w:pPr>
        <w:pStyle w:val="Ttulo"/>
        <w:spacing w:before="0"/>
        <w:jc w:val="center"/>
        <w:rPr>
          <w:rFonts w:eastAsia="Times New Roman" w:cs="Arial"/>
          <w:iCs/>
          <w:spacing w:val="0"/>
          <w:szCs w:val="28"/>
          <w:lang w:val="es-CR" w:eastAsia="es-ES"/>
        </w:rPr>
      </w:pPr>
      <w:r w:rsidRPr="00033E65">
        <w:rPr>
          <w:rFonts w:eastAsia="Times New Roman" w:cs="Arial"/>
          <w:iCs/>
          <w:spacing w:val="0"/>
          <w:szCs w:val="28"/>
          <w:lang w:val="es-CR" w:eastAsia="es-ES"/>
        </w:rPr>
        <w:t>Ubicación de las plazas de Defensora o Defensor Público de acuerdo con condición y Circuito Ju</w:t>
      </w:r>
      <w:r w:rsidR="00421234" w:rsidRPr="00033E65">
        <w:rPr>
          <w:rFonts w:eastAsia="Times New Roman" w:cs="Arial"/>
          <w:iCs/>
          <w:spacing w:val="0"/>
          <w:szCs w:val="28"/>
          <w:lang w:val="es-CR" w:eastAsia="es-ES"/>
        </w:rPr>
        <w:t>dicial a enero del 2022</w:t>
      </w:r>
    </w:p>
    <w:tbl>
      <w:tblPr>
        <w:tblW w:w="0" w:type="auto"/>
        <w:jc w:val="center"/>
        <w:tblCellMar>
          <w:left w:w="70" w:type="dxa"/>
          <w:right w:w="70" w:type="dxa"/>
        </w:tblCellMar>
        <w:tblLook w:val="04A0" w:firstRow="1" w:lastRow="0" w:firstColumn="1" w:lastColumn="0" w:noHBand="0" w:noVBand="1"/>
      </w:tblPr>
      <w:tblGrid>
        <w:gridCol w:w="4670"/>
        <w:gridCol w:w="1964"/>
        <w:gridCol w:w="2158"/>
      </w:tblGrid>
      <w:tr w:rsidR="00864BA5" w:rsidRPr="00033E65" w14:paraId="0968CEEF" w14:textId="77777777" w:rsidTr="00864BA5">
        <w:trPr>
          <w:trHeight w:val="600"/>
          <w:tblHeader/>
          <w:jc w:val="center"/>
        </w:trPr>
        <w:tc>
          <w:tcPr>
            <w:tcW w:w="482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86B183D" w14:textId="77777777" w:rsidR="005046C5" w:rsidRPr="00033E65" w:rsidRDefault="005046C5" w:rsidP="00274042">
            <w:pPr>
              <w:spacing w:before="0" w:after="0"/>
              <w:jc w:val="center"/>
              <w:rPr>
                <w:b/>
                <w:bCs/>
                <w:color w:val="FFFFFF" w:themeColor="background1"/>
                <w:szCs w:val="22"/>
                <w:lang w:eastAsia="es-CR"/>
              </w:rPr>
            </w:pPr>
            <w:r w:rsidRPr="00033E65">
              <w:rPr>
                <w:b/>
                <w:bCs/>
                <w:color w:val="FFFFFF" w:themeColor="background1"/>
                <w:szCs w:val="22"/>
                <w:lang w:eastAsia="es-CR"/>
              </w:rPr>
              <w:t>Destacada en:</w:t>
            </w:r>
          </w:p>
        </w:tc>
        <w:tc>
          <w:tcPr>
            <w:tcW w:w="2025" w:type="dxa"/>
            <w:tcBorders>
              <w:top w:val="double" w:sz="6" w:space="0" w:color="1F497D"/>
              <w:left w:val="nil"/>
              <w:bottom w:val="double" w:sz="6" w:space="0" w:color="1F497D"/>
              <w:right w:val="double" w:sz="6" w:space="0" w:color="1F497D"/>
            </w:tcBorders>
            <w:shd w:val="clear" w:color="000000" w:fill="0673A5"/>
            <w:vAlign w:val="center"/>
            <w:hideMark/>
          </w:tcPr>
          <w:p w14:paraId="5F8D8E36" w14:textId="77777777" w:rsidR="005046C5" w:rsidRPr="00033E65" w:rsidRDefault="005046C5" w:rsidP="00274042">
            <w:pPr>
              <w:spacing w:before="0" w:after="0"/>
              <w:jc w:val="center"/>
              <w:rPr>
                <w:b/>
                <w:bCs/>
                <w:color w:val="FFFFFF" w:themeColor="background1"/>
                <w:szCs w:val="22"/>
                <w:lang w:eastAsia="es-CR"/>
              </w:rPr>
            </w:pPr>
            <w:r w:rsidRPr="00033E65">
              <w:rPr>
                <w:b/>
                <w:bCs/>
                <w:color w:val="FFFFFF" w:themeColor="background1"/>
                <w:szCs w:val="22"/>
                <w:lang w:eastAsia="es-CR"/>
              </w:rPr>
              <w:t>Cantidad de Plazas de Defensor</w:t>
            </w:r>
          </w:p>
        </w:tc>
        <w:tc>
          <w:tcPr>
            <w:tcW w:w="2225" w:type="dxa"/>
            <w:tcBorders>
              <w:top w:val="double" w:sz="6" w:space="0" w:color="1F497D"/>
              <w:left w:val="nil"/>
              <w:bottom w:val="double" w:sz="6" w:space="0" w:color="1F497D"/>
              <w:right w:val="double" w:sz="6" w:space="0" w:color="1F497D"/>
            </w:tcBorders>
            <w:shd w:val="clear" w:color="000000" w:fill="0673A5"/>
            <w:vAlign w:val="center"/>
            <w:hideMark/>
          </w:tcPr>
          <w:p w14:paraId="54959458" w14:textId="77777777" w:rsidR="005046C5" w:rsidRPr="00033E65" w:rsidRDefault="005046C5" w:rsidP="00274042">
            <w:pPr>
              <w:spacing w:before="0" w:after="0"/>
              <w:jc w:val="center"/>
              <w:rPr>
                <w:b/>
                <w:bCs/>
                <w:color w:val="FFFFFF" w:themeColor="background1"/>
                <w:szCs w:val="22"/>
                <w:lang w:eastAsia="es-CR"/>
              </w:rPr>
            </w:pPr>
            <w:r w:rsidRPr="00033E65">
              <w:rPr>
                <w:b/>
                <w:bCs/>
                <w:color w:val="FFFFFF" w:themeColor="background1"/>
                <w:szCs w:val="22"/>
                <w:lang w:eastAsia="es-CR"/>
              </w:rPr>
              <w:t>Condición de la Plaza</w:t>
            </w:r>
            <w:r w:rsidRPr="00033E65">
              <w:rPr>
                <w:rStyle w:val="Refdenotaalpie"/>
                <w:b/>
                <w:bCs/>
                <w:color w:val="FFFFFF" w:themeColor="background1"/>
                <w:szCs w:val="22"/>
                <w:lang w:eastAsia="es-CR"/>
              </w:rPr>
              <w:footnoteReference w:id="2"/>
            </w:r>
          </w:p>
        </w:tc>
      </w:tr>
      <w:tr w:rsidR="00864BA5" w:rsidRPr="00033E65" w14:paraId="667F3C3A" w14:textId="77777777" w:rsidTr="00864BA5">
        <w:trPr>
          <w:trHeight w:val="312"/>
          <w:jc w:val="center"/>
        </w:trPr>
        <w:tc>
          <w:tcPr>
            <w:tcW w:w="4820" w:type="dxa"/>
            <w:tcBorders>
              <w:top w:val="nil"/>
              <w:left w:val="double" w:sz="6" w:space="0" w:color="1F497D"/>
              <w:bottom w:val="double" w:sz="6" w:space="0" w:color="1F497D"/>
              <w:right w:val="double" w:sz="6" w:space="0" w:color="1F497D"/>
            </w:tcBorders>
            <w:shd w:val="clear" w:color="auto" w:fill="auto"/>
            <w:vAlign w:val="center"/>
            <w:hideMark/>
          </w:tcPr>
          <w:p w14:paraId="14D76DEF" w14:textId="77777777" w:rsidR="005046C5" w:rsidRPr="00033E65" w:rsidRDefault="005046C5" w:rsidP="00274042">
            <w:pPr>
              <w:spacing w:before="0" w:after="0"/>
              <w:rPr>
                <w:szCs w:val="22"/>
                <w:lang w:eastAsia="es-CR"/>
              </w:rPr>
            </w:pPr>
            <w:r w:rsidRPr="00033E65">
              <w:rPr>
                <w:szCs w:val="22"/>
                <w:lang w:eastAsia="es-CR"/>
              </w:rPr>
              <w:t>Defensa Pública en el Primer Circuito Judicial de San José</w:t>
            </w:r>
          </w:p>
        </w:tc>
        <w:tc>
          <w:tcPr>
            <w:tcW w:w="2025" w:type="dxa"/>
            <w:tcBorders>
              <w:top w:val="nil"/>
              <w:left w:val="nil"/>
              <w:bottom w:val="double" w:sz="6" w:space="0" w:color="1F497D"/>
              <w:right w:val="double" w:sz="6" w:space="0" w:color="1F497D"/>
            </w:tcBorders>
            <w:shd w:val="clear" w:color="auto" w:fill="auto"/>
            <w:vAlign w:val="center"/>
            <w:hideMark/>
          </w:tcPr>
          <w:p w14:paraId="41AC1310" w14:textId="77777777" w:rsidR="005046C5" w:rsidRPr="00033E65" w:rsidRDefault="005046C5" w:rsidP="00274042">
            <w:pPr>
              <w:spacing w:before="0" w:after="0"/>
              <w:jc w:val="center"/>
              <w:rPr>
                <w:b/>
                <w:bCs/>
                <w:szCs w:val="22"/>
                <w:lang w:eastAsia="es-CR"/>
              </w:rPr>
            </w:pPr>
            <w:r w:rsidRPr="00033E65">
              <w:rPr>
                <w:b/>
                <w:bCs/>
                <w:szCs w:val="22"/>
                <w:lang w:eastAsia="es-CR"/>
              </w:rPr>
              <w:t xml:space="preserve">1 </w:t>
            </w:r>
          </w:p>
          <w:p w14:paraId="27A12BC3" w14:textId="650069F7" w:rsidR="007F014A" w:rsidRPr="00033E65" w:rsidRDefault="007F014A" w:rsidP="00274042">
            <w:pPr>
              <w:spacing w:before="0" w:after="0"/>
              <w:jc w:val="center"/>
              <w:rPr>
                <w:b/>
                <w:bCs/>
                <w:szCs w:val="22"/>
                <w:lang w:eastAsia="es-CR"/>
              </w:rPr>
            </w:pPr>
            <w:r w:rsidRPr="00033E65">
              <w:rPr>
                <w:b/>
                <w:bCs/>
                <w:szCs w:val="22"/>
                <w:lang w:eastAsia="es-CR"/>
              </w:rPr>
              <w:t>Coordinación</w:t>
            </w:r>
          </w:p>
        </w:tc>
        <w:tc>
          <w:tcPr>
            <w:tcW w:w="2225" w:type="dxa"/>
            <w:tcBorders>
              <w:top w:val="nil"/>
              <w:left w:val="nil"/>
              <w:bottom w:val="double" w:sz="6" w:space="0" w:color="1F497D"/>
              <w:right w:val="double" w:sz="6" w:space="0" w:color="1F497D"/>
            </w:tcBorders>
            <w:shd w:val="clear" w:color="auto" w:fill="auto"/>
            <w:vAlign w:val="center"/>
            <w:hideMark/>
          </w:tcPr>
          <w:p w14:paraId="6D18ABAF" w14:textId="4DA923AE" w:rsidR="005046C5" w:rsidRPr="00033E65" w:rsidRDefault="005046C5" w:rsidP="00274042">
            <w:pPr>
              <w:spacing w:before="0" w:after="0"/>
              <w:jc w:val="center"/>
              <w:rPr>
                <w:szCs w:val="22"/>
                <w:lang w:eastAsia="es-CR"/>
              </w:rPr>
            </w:pPr>
            <w:r w:rsidRPr="00033E65">
              <w:rPr>
                <w:szCs w:val="22"/>
                <w:lang w:val="es-ES" w:eastAsia="es-CR"/>
              </w:rPr>
              <w:t xml:space="preserve">Ordinaria </w:t>
            </w:r>
            <w:r w:rsidR="007F014A" w:rsidRPr="00033E65">
              <w:rPr>
                <w:szCs w:val="22"/>
                <w:lang w:val="es-ES" w:eastAsia="es-CR"/>
              </w:rPr>
              <w:t>en propiedad</w:t>
            </w:r>
          </w:p>
        </w:tc>
      </w:tr>
      <w:tr w:rsidR="00864BA5" w:rsidRPr="00033E65" w14:paraId="589BF2FB" w14:textId="77777777" w:rsidTr="00864BA5">
        <w:trPr>
          <w:trHeight w:val="312"/>
          <w:jc w:val="center"/>
        </w:trPr>
        <w:tc>
          <w:tcPr>
            <w:tcW w:w="4820" w:type="dxa"/>
            <w:tcBorders>
              <w:top w:val="nil"/>
              <w:left w:val="double" w:sz="6" w:space="0" w:color="1F497D"/>
              <w:bottom w:val="double" w:sz="6" w:space="0" w:color="1F497D"/>
              <w:right w:val="double" w:sz="6" w:space="0" w:color="1F497D"/>
            </w:tcBorders>
            <w:shd w:val="clear" w:color="auto" w:fill="auto"/>
            <w:vAlign w:val="center"/>
            <w:hideMark/>
          </w:tcPr>
          <w:p w14:paraId="3A366D63" w14:textId="77777777" w:rsidR="005046C5" w:rsidRPr="00033E65" w:rsidRDefault="005046C5" w:rsidP="00274042">
            <w:pPr>
              <w:spacing w:before="0" w:after="0"/>
              <w:rPr>
                <w:szCs w:val="22"/>
                <w:lang w:eastAsia="es-CR"/>
              </w:rPr>
            </w:pPr>
            <w:r w:rsidRPr="00033E65">
              <w:rPr>
                <w:szCs w:val="22"/>
                <w:lang w:eastAsia="es-CR"/>
              </w:rPr>
              <w:t>Defensa Pública en Guápiles</w:t>
            </w:r>
          </w:p>
        </w:tc>
        <w:tc>
          <w:tcPr>
            <w:tcW w:w="2025" w:type="dxa"/>
            <w:tcBorders>
              <w:top w:val="nil"/>
              <w:left w:val="nil"/>
              <w:bottom w:val="double" w:sz="6" w:space="0" w:color="1F497D"/>
              <w:right w:val="double" w:sz="6" w:space="0" w:color="1F497D"/>
            </w:tcBorders>
            <w:shd w:val="clear" w:color="auto" w:fill="auto"/>
            <w:vAlign w:val="center"/>
            <w:hideMark/>
          </w:tcPr>
          <w:p w14:paraId="550F5385" w14:textId="77777777" w:rsidR="005046C5" w:rsidRPr="00033E65" w:rsidRDefault="005046C5" w:rsidP="00274042">
            <w:pPr>
              <w:spacing w:before="0" w:after="0"/>
              <w:jc w:val="center"/>
              <w:rPr>
                <w:b/>
                <w:bCs/>
                <w:szCs w:val="22"/>
                <w:lang w:eastAsia="es-CR"/>
              </w:rPr>
            </w:pPr>
            <w:r w:rsidRPr="00033E65">
              <w:rPr>
                <w:b/>
                <w:bCs/>
                <w:szCs w:val="22"/>
                <w:lang w:eastAsia="es-CR"/>
              </w:rPr>
              <w:t>1</w:t>
            </w:r>
          </w:p>
        </w:tc>
        <w:tc>
          <w:tcPr>
            <w:tcW w:w="2225" w:type="dxa"/>
            <w:tcBorders>
              <w:top w:val="nil"/>
              <w:left w:val="nil"/>
              <w:bottom w:val="double" w:sz="6" w:space="0" w:color="1F497D"/>
              <w:right w:val="double" w:sz="6" w:space="0" w:color="1F497D"/>
            </w:tcBorders>
            <w:shd w:val="clear" w:color="auto" w:fill="auto"/>
            <w:vAlign w:val="center"/>
            <w:hideMark/>
          </w:tcPr>
          <w:p w14:paraId="4803E604" w14:textId="2C416361" w:rsidR="005046C5" w:rsidRPr="00033E65" w:rsidRDefault="005046C5" w:rsidP="00274042">
            <w:pPr>
              <w:spacing w:before="0" w:after="0"/>
              <w:jc w:val="center"/>
              <w:rPr>
                <w:szCs w:val="22"/>
                <w:lang w:eastAsia="es-CR"/>
              </w:rPr>
            </w:pPr>
            <w:r w:rsidRPr="00033E65">
              <w:rPr>
                <w:szCs w:val="22"/>
                <w:lang w:val="es-ES" w:eastAsia="es-CR"/>
              </w:rPr>
              <w:t>Ordinaria</w:t>
            </w:r>
            <w:r w:rsidR="00D17776" w:rsidRPr="00033E65">
              <w:rPr>
                <w:szCs w:val="22"/>
                <w:lang w:val="es-ES" w:eastAsia="es-CR"/>
              </w:rPr>
              <w:t xml:space="preserve"> en propiedad</w:t>
            </w:r>
          </w:p>
        </w:tc>
      </w:tr>
      <w:tr w:rsidR="00864BA5" w:rsidRPr="00033E65" w14:paraId="211B9A32" w14:textId="77777777" w:rsidTr="00864BA5">
        <w:trPr>
          <w:trHeight w:val="312"/>
          <w:jc w:val="center"/>
        </w:trPr>
        <w:tc>
          <w:tcPr>
            <w:tcW w:w="4820" w:type="dxa"/>
            <w:tcBorders>
              <w:top w:val="nil"/>
              <w:left w:val="double" w:sz="6" w:space="0" w:color="1F497D"/>
              <w:bottom w:val="double" w:sz="6" w:space="0" w:color="1F497D"/>
              <w:right w:val="double" w:sz="6" w:space="0" w:color="1F497D"/>
            </w:tcBorders>
            <w:shd w:val="clear" w:color="auto" w:fill="auto"/>
            <w:vAlign w:val="center"/>
            <w:hideMark/>
          </w:tcPr>
          <w:p w14:paraId="71C5649E" w14:textId="77777777" w:rsidR="005046C5" w:rsidRPr="00033E65" w:rsidRDefault="005046C5" w:rsidP="00274042">
            <w:pPr>
              <w:spacing w:before="0" w:after="0"/>
              <w:rPr>
                <w:szCs w:val="22"/>
                <w:lang w:eastAsia="es-CR"/>
              </w:rPr>
            </w:pPr>
            <w:r w:rsidRPr="00033E65">
              <w:rPr>
                <w:szCs w:val="22"/>
                <w:lang w:eastAsia="es-CR"/>
              </w:rPr>
              <w:t>Defensa Pública en Limón</w:t>
            </w:r>
          </w:p>
        </w:tc>
        <w:tc>
          <w:tcPr>
            <w:tcW w:w="2025" w:type="dxa"/>
            <w:tcBorders>
              <w:top w:val="nil"/>
              <w:left w:val="nil"/>
              <w:bottom w:val="double" w:sz="6" w:space="0" w:color="1F497D"/>
              <w:right w:val="double" w:sz="6" w:space="0" w:color="1F497D"/>
            </w:tcBorders>
            <w:shd w:val="clear" w:color="auto" w:fill="auto"/>
            <w:vAlign w:val="center"/>
            <w:hideMark/>
          </w:tcPr>
          <w:p w14:paraId="3CB1EEA5" w14:textId="77777777" w:rsidR="005046C5" w:rsidRPr="00033E65" w:rsidRDefault="005046C5" w:rsidP="00274042">
            <w:pPr>
              <w:spacing w:before="0" w:after="0"/>
              <w:jc w:val="center"/>
              <w:rPr>
                <w:b/>
                <w:bCs/>
                <w:szCs w:val="22"/>
                <w:lang w:eastAsia="es-CR"/>
              </w:rPr>
            </w:pPr>
            <w:r w:rsidRPr="00033E65">
              <w:rPr>
                <w:b/>
                <w:bCs/>
                <w:szCs w:val="22"/>
                <w:lang w:eastAsia="es-CR"/>
              </w:rPr>
              <w:t>2</w:t>
            </w:r>
          </w:p>
        </w:tc>
        <w:tc>
          <w:tcPr>
            <w:tcW w:w="2225" w:type="dxa"/>
            <w:tcBorders>
              <w:top w:val="nil"/>
              <w:left w:val="nil"/>
              <w:bottom w:val="double" w:sz="6" w:space="0" w:color="1F497D"/>
              <w:right w:val="double" w:sz="6" w:space="0" w:color="1F497D"/>
            </w:tcBorders>
            <w:shd w:val="clear" w:color="auto" w:fill="auto"/>
            <w:vAlign w:val="center"/>
            <w:hideMark/>
          </w:tcPr>
          <w:p w14:paraId="111D037D" w14:textId="5E4B4E08" w:rsidR="005046C5" w:rsidRPr="00033E65" w:rsidRDefault="005046C5" w:rsidP="00274042">
            <w:pPr>
              <w:spacing w:before="0" w:after="0"/>
              <w:jc w:val="center"/>
              <w:rPr>
                <w:szCs w:val="22"/>
                <w:lang w:eastAsia="es-CR"/>
              </w:rPr>
            </w:pPr>
            <w:r w:rsidRPr="00033E65">
              <w:rPr>
                <w:szCs w:val="22"/>
                <w:lang w:val="es-ES" w:eastAsia="es-CR"/>
              </w:rPr>
              <w:t>Ordinaria</w:t>
            </w:r>
            <w:r w:rsidR="003F058F" w:rsidRPr="00033E65">
              <w:rPr>
                <w:szCs w:val="22"/>
                <w:lang w:val="es-ES" w:eastAsia="es-CR"/>
              </w:rPr>
              <w:t>s</w:t>
            </w:r>
            <w:r w:rsidR="00864BA5" w:rsidRPr="00033E65">
              <w:rPr>
                <w:szCs w:val="22"/>
                <w:lang w:val="es-ES" w:eastAsia="es-CR"/>
              </w:rPr>
              <w:t>: 1 en propiedad 1 vacante en concurso</w:t>
            </w:r>
          </w:p>
        </w:tc>
      </w:tr>
      <w:tr w:rsidR="00864BA5" w:rsidRPr="00033E65" w14:paraId="34CEEF05" w14:textId="77777777" w:rsidTr="00864BA5">
        <w:trPr>
          <w:trHeight w:val="312"/>
          <w:jc w:val="center"/>
        </w:trPr>
        <w:tc>
          <w:tcPr>
            <w:tcW w:w="4820" w:type="dxa"/>
            <w:tcBorders>
              <w:top w:val="nil"/>
              <w:left w:val="double" w:sz="6" w:space="0" w:color="1F497D"/>
              <w:bottom w:val="double" w:sz="6" w:space="0" w:color="1F497D"/>
              <w:right w:val="double" w:sz="6" w:space="0" w:color="1F497D"/>
            </w:tcBorders>
            <w:shd w:val="clear" w:color="auto" w:fill="auto"/>
            <w:vAlign w:val="center"/>
            <w:hideMark/>
          </w:tcPr>
          <w:p w14:paraId="3AF72417" w14:textId="77777777" w:rsidR="005046C5" w:rsidRPr="00033E65" w:rsidRDefault="005046C5" w:rsidP="00274042">
            <w:pPr>
              <w:spacing w:before="0" w:after="0"/>
              <w:rPr>
                <w:szCs w:val="22"/>
                <w:lang w:eastAsia="es-CR"/>
              </w:rPr>
            </w:pPr>
            <w:r w:rsidRPr="00033E65">
              <w:rPr>
                <w:szCs w:val="22"/>
                <w:lang w:eastAsia="es-CR"/>
              </w:rPr>
              <w:t>Defensa Pública en Pérez Zeledón</w:t>
            </w:r>
          </w:p>
        </w:tc>
        <w:tc>
          <w:tcPr>
            <w:tcW w:w="2025" w:type="dxa"/>
            <w:tcBorders>
              <w:top w:val="nil"/>
              <w:left w:val="nil"/>
              <w:bottom w:val="double" w:sz="6" w:space="0" w:color="1F497D"/>
              <w:right w:val="double" w:sz="6" w:space="0" w:color="1F497D"/>
            </w:tcBorders>
            <w:shd w:val="clear" w:color="auto" w:fill="auto"/>
            <w:vAlign w:val="center"/>
            <w:hideMark/>
          </w:tcPr>
          <w:p w14:paraId="36305B7A" w14:textId="77777777" w:rsidR="005046C5" w:rsidRPr="00033E65" w:rsidRDefault="005046C5" w:rsidP="00274042">
            <w:pPr>
              <w:spacing w:before="0" w:after="0"/>
              <w:jc w:val="center"/>
              <w:rPr>
                <w:b/>
                <w:bCs/>
                <w:szCs w:val="22"/>
                <w:lang w:eastAsia="es-CR"/>
              </w:rPr>
            </w:pPr>
            <w:r w:rsidRPr="00033E65">
              <w:rPr>
                <w:b/>
                <w:bCs/>
                <w:szCs w:val="22"/>
                <w:lang w:eastAsia="es-CR"/>
              </w:rPr>
              <w:t>1</w:t>
            </w:r>
          </w:p>
        </w:tc>
        <w:tc>
          <w:tcPr>
            <w:tcW w:w="2225" w:type="dxa"/>
            <w:tcBorders>
              <w:top w:val="nil"/>
              <w:left w:val="nil"/>
              <w:bottom w:val="double" w:sz="6" w:space="0" w:color="1F497D"/>
              <w:right w:val="double" w:sz="6" w:space="0" w:color="1F497D"/>
            </w:tcBorders>
            <w:shd w:val="clear" w:color="auto" w:fill="auto"/>
            <w:vAlign w:val="center"/>
            <w:hideMark/>
          </w:tcPr>
          <w:p w14:paraId="783217FB" w14:textId="77777777" w:rsidR="005046C5" w:rsidRPr="00033E65" w:rsidRDefault="005046C5" w:rsidP="00274042">
            <w:pPr>
              <w:spacing w:before="0" w:after="0"/>
              <w:jc w:val="center"/>
              <w:rPr>
                <w:szCs w:val="22"/>
                <w:lang w:eastAsia="es-CR"/>
              </w:rPr>
            </w:pPr>
            <w:r w:rsidRPr="00033E65">
              <w:rPr>
                <w:szCs w:val="22"/>
                <w:lang w:val="es-ES" w:eastAsia="es-CR"/>
              </w:rPr>
              <w:t>Ordinaria en propiedad</w:t>
            </w:r>
          </w:p>
        </w:tc>
      </w:tr>
      <w:tr w:rsidR="00864BA5" w:rsidRPr="00033E65" w14:paraId="532C7ACD" w14:textId="77777777" w:rsidTr="00864BA5">
        <w:trPr>
          <w:trHeight w:val="312"/>
          <w:jc w:val="center"/>
        </w:trPr>
        <w:tc>
          <w:tcPr>
            <w:tcW w:w="4820" w:type="dxa"/>
            <w:tcBorders>
              <w:top w:val="nil"/>
              <w:left w:val="double" w:sz="6" w:space="0" w:color="1F497D"/>
              <w:bottom w:val="double" w:sz="6" w:space="0" w:color="1F497D"/>
              <w:right w:val="double" w:sz="6" w:space="0" w:color="1F497D"/>
            </w:tcBorders>
            <w:shd w:val="clear" w:color="auto" w:fill="auto"/>
            <w:vAlign w:val="center"/>
            <w:hideMark/>
          </w:tcPr>
          <w:p w14:paraId="01B46FF5" w14:textId="77777777" w:rsidR="005046C5" w:rsidRPr="00033E65" w:rsidRDefault="005046C5" w:rsidP="00274042">
            <w:pPr>
              <w:spacing w:before="0" w:after="0"/>
              <w:rPr>
                <w:szCs w:val="22"/>
                <w:lang w:eastAsia="es-CR"/>
              </w:rPr>
            </w:pPr>
            <w:r w:rsidRPr="00033E65">
              <w:rPr>
                <w:szCs w:val="22"/>
                <w:lang w:eastAsia="es-CR"/>
              </w:rPr>
              <w:t>Defensa Pública en Ciudad Neily</w:t>
            </w:r>
          </w:p>
        </w:tc>
        <w:tc>
          <w:tcPr>
            <w:tcW w:w="2025" w:type="dxa"/>
            <w:tcBorders>
              <w:top w:val="nil"/>
              <w:left w:val="nil"/>
              <w:bottom w:val="double" w:sz="6" w:space="0" w:color="1F497D"/>
              <w:right w:val="double" w:sz="6" w:space="0" w:color="1F497D"/>
            </w:tcBorders>
            <w:shd w:val="clear" w:color="auto" w:fill="auto"/>
            <w:vAlign w:val="center"/>
            <w:hideMark/>
          </w:tcPr>
          <w:p w14:paraId="0237B504" w14:textId="77777777" w:rsidR="005046C5" w:rsidRPr="00033E65" w:rsidRDefault="005046C5" w:rsidP="00274042">
            <w:pPr>
              <w:spacing w:before="0" w:after="0"/>
              <w:jc w:val="center"/>
              <w:rPr>
                <w:b/>
                <w:bCs/>
                <w:szCs w:val="22"/>
                <w:lang w:eastAsia="es-CR"/>
              </w:rPr>
            </w:pPr>
            <w:r w:rsidRPr="00033E65">
              <w:rPr>
                <w:b/>
                <w:bCs/>
                <w:szCs w:val="22"/>
                <w:lang w:eastAsia="es-CR"/>
              </w:rPr>
              <w:t>1</w:t>
            </w:r>
          </w:p>
        </w:tc>
        <w:tc>
          <w:tcPr>
            <w:tcW w:w="2225" w:type="dxa"/>
            <w:tcBorders>
              <w:top w:val="nil"/>
              <w:left w:val="nil"/>
              <w:bottom w:val="double" w:sz="6" w:space="0" w:color="1F497D"/>
              <w:right w:val="double" w:sz="6" w:space="0" w:color="1F497D"/>
            </w:tcBorders>
            <w:shd w:val="clear" w:color="auto" w:fill="auto"/>
            <w:vAlign w:val="center"/>
            <w:hideMark/>
          </w:tcPr>
          <w:p w14:paraId="2E2817F9" w14:textId="3147FD6E" w:rsidR="005046C5" w:rsidRPr="00033E65" w:rsidRDefault="00AB6080" w:rsidP="00274042">
            <w:pPr>
              <w:spacing w:before="0" w:after="0"/>
              <w:jc w:val="center"/>
              <w:rPr>
                <w:szCs w:val="22"/>
                <w:lang w:eastAsia="es-CR"/>
              </w:rPr>
            </w:pPr>
            <w:r w:rsidRPr="00033E65">
              <w:rPr>
                <w:color w:val="000000"/>
                <w:szCs w:val="22"/>
                <w:lang w:val="es-ES" w:eastAsia="es-CR"/>
              </w:rPr>
              <w:t>Ordinaria vacante en concurso</w:t>
            </w:r>
          </w:p>
        </w:tc>
      </w:tr>
      <w:tr w:rsidR="00864BA5" w:rsidRPr="00033E65" w14:paraId="57D37175" w14:textId="77777777" w:rsidTr="00864BA5">
        <w:trPr>
          <w:trHeight w:val="312"/>
          <w:jc w:val="center"/>
        </w:trPr>
        <w:tc>
          <w:tcPr>
            <w:tcW w:w="4820" w:type="dxa"/>
            <w:tcBorders>
              <w:top w:val="nil"/>
              <w:left w:val="double" w:sz="6" w:space="0" w:color="1F497D"/>
              <w:bottom w:val="double" w:sz="6" w:space="0" w:color="1F497D"/>
              <w:right w:val="double" w:sz="6" w:space="0" w:color="1F497D"/>
            </w:tcBorders>
            <w:shd w:val="clear" w:color="auto" w:fill="auto"/>
            <w:vAlign w:val="center"/>
            <w:hideMark/>
          </w:tcPr>
          <w:p w14:paraId="6C6FEA61" w14:textId="77777777" w:rsidR="005046C5" w:rsidRPr="00033E65" w:rsidRDefault="005046C5" w:rsidP="00274042">
            <w:pPr>
              <w:spacing w:before="0" w:after="0"/>
              <w:rPr>
                <w:szCs w:val="22"/>
                <w:lang w:eastAsia="es-CR"/>
              </w:rPr>
            </w:pPr>
            <w:r w:rsidRPr="00033E65">
              <w:rPr>
                <w:szCs w:val="22"/>
                <w:lang w:eastAsia="es-CR"/>
              </w:rPr>
              <w:t>Defensa Pública en Liberia</w:t>
            </w:r>
          </w:p>
        </w:tc>
        <w:tc>
          <w:tcPr>
            <w:tcW w:w="2025" w:type="dxa"/>
            <w:tcBorders>
              <w:top w:val="nil"/>
              <w:left w:val="nil"/>
              <w:bottom w:val="double" w:sz="6" w:space="0" w:color="1F497D"/>
              <w:right w:val="double" w:sz="6" w:space="0" w:color="1F497D"/>
            </w:tcBorders>
            <w:shd w:val="clear" w:color="auto" w:fill="auto"/>
            <w:vAlign w:val="center"/>
            <w:hideMark/>
          </w:tcPr>
          <w:p w14:paraId="1C7F7843" w14:textId="77777777" w:rsidR="005046C5" w:rsidRPr="00033E65" w:rsidRDefault="005046C5" w:rsidP="00274042">
            <w:pPr>
              <w:spacing w:before="0" w:after="0"/>
              <w:jc w:val="center"/>
              <w:rPr>
                <w:b/>
                <w:bCs/>
                <w:szCs w:val="22"/>
                <w:lang w:eastAsia="es-CR"/>
              </w:rPr>
            </w:pPr>
            <w:r w:rsidRPr="00033E65">
              <w:rPr>
                <w:b/>
                <w:bCs/>
                <w:szCs w:val="22"/>
                <w:lang w:eastAsia="es-CR"/>
              </w:rPr>
              <w:t>1</w:t>
            </w:r>
          </w:p>
        </w:tc>
        <w:tc>
          <w:tcPr>
            <w:tcW w:w="2225" w:type="dxa"/>
            <w:tcBorders>
              <w:top w:val="nil"/>
              <w:left w:val="nil"/>
              <w:bottom w:val="double" w:sz="6" w:space="0" w:color="1F497D"/>
              <w:right w:val="double" w:sz="6" w:space="0" w:color="1F497D"/>
            </w:tcBorders>
            <w:shd w:val="clear" w:color="auto" w:fill="auto"/>
            <w:vAlign w:val="center"/>
            <w:hideMark/>
          </w:tcPr>
          <w:p w14:paraId="613560E7" w14:textId="5320F418" w:rsidR="005046C5" w:rsidRPr="00033E65" w:rsidRDefault="00D86C57" w:rsidP="00274042">
            <w:pPr>
              <w:spacing w:before="0" w:after="0"/>
              <w:jc w:val="center"/>
              <w:rPr>
                <w:szCs w:val="22"/>
                <w:lang w:eastAsia="es-CR"/>
              </w:rPr>
            </w:pPr>
            <w:r w:rsidRPr="00033E65">
              <w:rPr>
                <w:color w:val="000000"/>
                <w:szCs w:val="22"/>
                <w:lang w:val="es-ES" w:eastAsia="es-CR"/>
              </w:rPr>
              <w:t>Ordinaria vacante en concurso</w:t>
            </w:r>
          </w:p>
        </w:tc>
      </w:tr>
      <w:tr w:rsidR="00864BA5" w:rsidRPr="00033E65" w14:paraId="46EE91A5" w14:textId="77777777" w:rsidTr="00864BA5">
        <w:trPr>
          <w:trHeight w:val="312"/>
          <w:jc w:val="center"/>
        </w:trPr>
        <w:tc>
          <w:tcPr>
            <w:tcW w:w="4820" w:type="dxa"/>
            <w:tcBorders>
              <w:top w:val="nil"/>
              <w:left w:val="double" w:sz="6" w:space="0" w:color="1F497D"/>
              <w:bottom w:val="double" w:sz="6" w:space="0" w:color="1F497D"/>
              <w:right w:val="double" w:sz="6" w:space="0" w:color="1F497D"/>
            </w:tcBorders>
            <w:shd w:val="clear" w:color="auto" w:fill="auto"/>
            <w:vAlign w:val="center"/>
            <w:hideMark/>
          </w:tcPr>
          <w:p w14:paraId="65B472CA" w14:textId="36695D23" w:rsidR="005046C5" w:rsidRPr="00033E65" w:rsidRDefault="005046C5" w:rsidP="00274042">
            <w:pPr>
              <w:spacing w:before="0" w:after="0"/>
              <w:rPr>
                <w:szCs w:val="22"/>
                <w:lang w:eastAsia="es-CR"/>
              </w:rPr>
            </w:pPr>
            <w:r w:rsidRPr="00033E65">
              <w:rPr>
                <w:szCs w:val="22"/>
                <w:lang w:eastAsia="es-CR"/>
              </w:rPr>
              <w:t>Defensa Pública en Nicoya (a</w:t>
            </w:r>
            <w:r w:rsidR="006444E3" w:rsidRPr="00033E65">
              <w:rPr>
                <w:szCs w:val="22"/>
                <w:lang w:eastAsia="es-CR"/>
              </w:rPr>
              <w:t>tención</w:t>
            </w:r>
            <w:r w:rsidRPr="00033E65">
              <w:rPr>
                <w:szCs w:val="22"/>
                <w:lang w:eastAsia="es-CR"/>
              </w:rPr>
              <w:t xml:space="preserve"> a Santa Cruz)</w:t>
            </w:r>
          </w:p>
        </w:tc>
        <w:tc>
          <w:tcPr>
            <w:tcW w:w="2025" w:type="dxa"/>
            <w:tcBorders>
              <w:top w:val="nil"/>
              <w:left w:val="nil"/>
              <w:bottom w:val="double" w:sz="6" w:space="0" w:color="1F497D"/>
              <w:right w:val="double" w:sz="6" w:space="0" w:color="1F497D"/>
            </w:tcBorders>
            <w:shd w:val="clear" w:color="auto" w:fill="auto"/>
            <w:vAlign w:val="center"/>
            <w:hideMark/>
          </w:tcPr>
          <w:p w14:paraId="56A48EB1" w14:textId="77777777" w:rsidR="005046C5" w:rsidRPr="00033E65" w:rsidRDefault="005046C5" w:rsidP="00274042">
            <w:pPr>
              <w:spacing w:before="0" w:after="0"/>
              <w:jc w:val="center"/>
              <w:rPr>
                <w:b/>
                <w:bCs/>
                <w:szCs w:val="22"/>
                <w:lang w:eastAsia="es-CR"/>
              </w:rPr>
            </w:pPr>
            <w:r w:rsidRPr="00033E65">
              <w:rPr>
                <w:b/>
                <w:bCs/>
                <w:szCs w:val="22"/>
                <w:lang w:eastAsia="es-CR"/>
              </w:rPr>
              <w:t>1</w:t>
            </w:r>
          </w:p>
        </w:tc>
        <w:tc>
          <w:tcPr>
            <w:tcW w:w="2225" w:type="dxa"/>
            <w:tcBorders>
              <w:top w:val="nil"/>
              <w:left w:val="nil"/>
              <w:bottom w:val="double" w:sz="6" w:space="0" w:color="1F497D"/>
              <w:right w:val="double" w:sz="6" w:space="0" w:color="1F497D"/>
            </w:tcBorders>
            <w:shd w:val="clear" w:color="auto" w:fill="auto"/>
            <w:vAlign w:val="center"/>
            <w:hideMark/>
          </w:tcPr>
          <w:p w14:paraId="0202F7F1" w14:textId="6526F815" w:rsidR="005046C5" w:rsidRPr="00033E65" w:rsidRDefault="006444E3" w:rsidP="00274042">
            <w:pPr>
              <w:spacing w:before="0" w:after="0"/>
              <w:jc w:val="center"/>
              <w:rPr>
                <w:szCs w:val="22"/>
                <w:lang w:eastAsia="es-CR"/>
              </w:rPr>
            </w:pPr>
            <w:r w:rsidRPr="00033E65">
              <w:rPr>
                <w:color w:val="000000"/>
                <w:szCs w:val="22"/>
                <w:lang w:val="es-ES" w:eastAsia="es-CR"/>
              </w:rPr>
              <w:t>Ordinaria vacante en concurso</w:t>
            </w:r>
          </w:p>
        </w:tc>
      </w:tr>
      <w:tr w:rsidR="00864BA5" w:rsidRPr="00033E65" w14:paraId="5F5B8685" w14:textId="77777777" w:rsidTr="00864BA5">
        <w:trPr>
          <w:trHeight w:val="312"/>
          <w:jc w:val="center"/>
        </w:trPr>
        <w:tc>
          <w:tcPr>
            <w:tcW w:w="4820" w:type="dxa"/>
            <w:tcBorders>
              <w:top w:val="nil"/>
              <w:left w:val="double" w:sz="6" w:space="0" w:color="1F497D"/>
              <w:bottom w:val="double" w:sz="6" w:space="0" w:color="1F497D"/>
              <w:right w:val="double" w:sz="6" w:space="0" w:color="1F497D"/>
            </w:tcBorders>
            <w:shd w:val="clear" w:color="auto" w:fill="auto"/>
            <w:vAlign w:val="center"/>
            <w:hideMark/>
          </w:tcPr>
          <w:p w14:paraId="49565084" w14:textId="77777777" w:rsidR="005046C5" w:rsidRPr="00033E65" w:rsidRDefault="005046C5" w:rsidP="00274042">
            <w:pPr>
              <w:spacing w:before="0" w:after="0"/>
              <w:rPr>
                <w:szCs w:val="22"/>
                <w:lang w:eastAsia="es-CR"/>
              </w:rPr>
            </w:pPr>
            <w:r w:rsidRPr="00033E65">
              <w:rPr>
                <w:szCs w:val="22"/>
                <w:lang w:eastAsia="es-CR"/>
              </w:rPr>
              <w:t>Defensa Pública en Buenos Aires</w:t>
            </w:r>
          </w:p>
        </w:tc>
        <w:tc>
          <w:tcPr>
            <w:tcW w:w="2025" w:type="dxa"/>
            <w:tcBorders>
              <w:top w:val="nil"/>
              <w:left w:val="nil"/>
              <w:bottom w:val="double" w:sz="6" w:space="0" w:color="1F497D"/>
              <w:right w:val="double" w:sz="6" w:space="0" w:color="1F497D"/>
            </w:tcBorders>
            <w:shd w:val="clear" w:color="auto" w:fill="auto"/>
            <w:vAlign w:val="center"/>
            <w:hideMark/>
          </w:tcPr>
          <w:p w14:paraId="0F5BC62D" w14:textId="77777777" w:rsidR="005046C5" w:rsidRPr="00033E65" w:rsidRDefault="005046C5" w:rsidP="00274042">
            <w:pPr>
              <w:spacing w:before="0" w:after="0"/>
              <w:jc w:val="center"/>
              <w:rPr>
                <w:b/>
                <w:bCs/>
                <w:szCs w:val="22"/>
                <w:lang w:eastAsia="es-CR"/>
              </w:rPr>
            </w:pPr>
            <w:r w:rsidRPr="00033E65">
              <w:rPr>
                <w:b/>
                <w:bCs/>
                <w:szCs w:val="22"/>
                <w:lang w:eastAsia="es-CR"/>
              </w:rPr>
              <w:t>1</w:t>
            </w:r>
          </w:p>
        </w:tc>
        <w:tc>
          <w:tcPr>
            <w:tcW w:w="2225" w:type="dxa"/>
            <w:tcBorders>
              <w:top w:val="nil"/>
              <w:left w:val="nil"/>
              <w:bottom w:val="double" w:sz="6" w:space="0" w:color="1F497D"/>
              <w:right w:val="double" w:sz="6" w:space="0" w:color="1F497D"/>
            </w:tcBorders>
            <w:shd w:val="clear" w:color="auto" w:fill="auto"/>
            <w:vAlign w:val="center"/>
            <w:hideMark/>
          </w:tcPr>
          <w:p w14:paraId="4ECE673E" w14:textId="02E04508" w:rsidR="005046C5" w:rsidRPr="00033E65" w:rsidRDefault="005046C5" w:rsidP="00274042">
            <w:pPr>
              <w:spacing w:before="0" w:after="0"/>
              <w:jc w:val="center"/>
              <w:rPr>
                <w:szCs w:val="22"/>
                <w:lang w:eastAsia="es-CR"/>
              </w:rPr>
            </w:pPr>
            <w:r w:rsidRPr="00033E65">
              <w:rPr>
                <w:szCs w:val="22"/>
                <w:lang w:val="es-ES" w:eastAsia="es-CR"/>
              </w:rPr>
              <w:t xml:space="preserve">Ordinaria </w:t>
            </w:r>
            <w:r w:rsidR="002F5532" w:rsidRPr="00033E65">
              <w:rPr>
                <w:szCs w:val="22"/>
                <w:lang w:val="es-ES" w:eastAsia="es-CR"/>
              </w:rPr>
              <w:t>en propiedad</w:t>
            </w:r>
          </w:p>
        </w:tc>
      </w:tr>
      <w:tr w:rsidR="00864BA5" w:rsidRPr="00033E65" w14:paraId="071979C6" w14:textId="77777777" w:rsidTr="00864BA5">
        <w:trPr>
          <w:trHeight w:val="312"/>
          <w:jc w:val="center"/>
        </w:trPr>
        <w:tc>
          <w:tcPr>
            <w:tcW w:w="4820" w:type="dxa"/>
            <w:tcBorders>
              <w:top w:val="nil"/>
              <w:left w:val="double" w:sz="6" w:space="0" w:color="1F497D"/>
              <w:bottom w:val="double" w:sz="6" w:space="0" w:color="1F497D"/>
              <w:right w:val="double" w:sz="6" w:space="0" w:color="1F497D"/>
            </w:tcBorders>
            <w:shd w:val="clear" w:color="auto" w:fill="auto"/>
            <w:vAlign w:val="center"/>
            <w:hideMark/>
          </w:tcPr>
          <w:p w14:paraId="117B2325" w14:textId="77777777" w:rsidR="005046C5" w:rsidRPr="00033E65" w:rsidRDefault="005046C5" w:rsidP="00274042">
            <w:pPr>
              <w:spacing w:before="0" w:after="0"/>
              <w:rPr>
                <w:szCs w:val="22"/>
                <w:lang w:eastAsia="es-CR"/>
              </w:rPr>
            </w:pPr>
            <w:r w:rsidRPr="00033E65">
              <w:rPr>
                <w:szCs w:val="22"/>
                <w:lang w:eastAsia="es-CR"/>
              </w:rPr>
              <w:t>Defensa Pública en Turrialba</w:t>
            </w:r>
          </w:p>
        </w:tc>
        <w:tc>
          <w:tcPr>
            <w:tcW w:w="2025" w:type="dxa"/>
            <w:tcBorders>
              <w:top w:val="nil"/>
              <w:left w:val="nil"/>
              <w:bottom w:val="double" w:sz="6" w:space="0" w:color="1F497D"/>
              <w:right w:val="double" w:sz="6" w:space="0" w:color="1F497D"/>
            </w:tcBorders>
            <w:shd w:val="clear" w:color="auto" w:fill="auto"/>
            <w:vAlign w:val="center"/>
            <w:hideMark/>
          </w:tcPr>
          <w:p w14:paraId="3C00061A" w14:textId="77777777" w:rsidR="005046C5" w:rsidRPr="00033E65" w:rsidRDefault="005046C5" w:rsidP="00274042">
            <w:pPr>
              <w:spacing w:before="0" w:after="0"/>
              <w:jc w:val="center"/>
              <w:rPr>
                <w:b/>
                <w:bCs/>
                <w:szCs w:val="22"/>
                <w:lang w:eastAsia="es-CR"/>
              </w:rPr>
            </w:pPr>
            <w:r w:rsidRPr="00033E65">
              <w:rPr>
                <w:b/>
                <w:bCs/>
                <w:szCs w:val="22"/>
                <w:lang w:eastAsia="es-CR"/>
              </w:rPr>
              <w:t>1</w:t>
            </w:r>
          </w:p>
        </w:tc>
        <w:tc>
          <w:tcPr>
            <w:tcW w:w="2225" w:type="dxa"/>
            <w:tcBorders>
              <w:top w:val="nil"/>
              <w:left w:val="nil"/>
              <w:bottom w:val="double" w:sz="6" w:space="0" w:color="1F497D"/>
              <w:right w:val="double" w:sz="6" w:space="0" w:color="1F497D"/>
            </w:tcBorders>
            <w:shd w:val="clear" w:color="auto" w:fill="auto"/>
            <w:vAlign w:val="center"/>
            <w:hideMark/>
          </w:tcPr>
          <w:p w14:paraId="67F6EE1B" w14:textId="6066C8AD" w:rsidR="005046C5" w:rsidRPr="00033E65" w:rsidRDefault="00A30F42" w:rsidP="00274042">
            <w:pPr>
              <w:spacing w:before="0" w:after="0"/>
              <w:jc w:val="center"/>
              <w:rPr>
                <w:szCs w:val="22"/>
                <w:lang w:eastAsia="es-CR"/>
              </w:rPr>
            </w:pPr>
            <w:r w:rsidRPr="00033E65">
              <w:rPr>
                <w:szCs w:val="22"/>
                <w:lang w:val="es-ES" w:eastAsia="es-CR"/>
              </w:rPr>
              <w:t>Ordinaria en propiedad</w:t>
            </w:r>
          </w:p>
        </w:tc>
      </w:tr>
      <w:tr w:rsidR="00864BA5" w:rsidRPr="00033E65" w14:paraId="603CFD80" w14:textId="77777777" w:rsidTr="00864BA5">
        <w:trPr>
          <w:trHeight w:val="312"/>
          <w:jc w:val="center"/>
        </w:trPr>
        <w:tc>
          <w:tcPr>
            <w:tcW w:w="4820" w:type="dxa"/>
            <w:tcBorders>
              <w:top w:val="nil"/>
              <w:left w:val="double" w:sz="6" w:space="0" w:color="1F497D"/>
              <w:bottom w:val="double" w:sz="6" w:space="0" w:color="1F497D"/>
              <w:right w:val="double" w:sz="6" w:space="0" w:color="1F497D"/>
            </w:tcBorders>
            <w:shd w:val="clear" w:color="auto" w:fill="auto"/>
            <w:vAlign w:val="center"/>
            <w:hideMark/>
          </w:tcPr>
          <w:p w14:paraId="77614CFC" w14:textId="77777777" w:rsidR="005046C5" w:rsidRPr="00033E65" w:rsidRDefault="005046C5" w:rsidP="00274042">
            <w:pPr>
              <w:spacing w:before="0" w:after="0"/>
              <w:rPr>
                <w:szCs w:val="22"/>
                <w:lang w:eastAsia="es-CR"/>
              </w:rPr>
            </w:pPr>
            <w:r w:rsidRPr="00033E65">
              <w:rPr>
                <w:szCs w:val="22"/>
                <w:lang w:eastAsia="es-CR"/>
              </w:rPr>
              <w:t>Defensa Pública en Cartago</w:t>
            </w:r>
          </w:p>
        </w:tc>
        <w:tc>
          <w:tcPr>
            <w:tcW w:w="2025" w:type="dxa"/>
            <w:tcBorders>
              <w:top w:val="nil"/>
              <w:left w:val="nil"/>
              <w:bottom w:val="double" w:sz="6" w:space="0" w:color="1F497D"/>
              <w:right w:val="double" w:sz="6" w:space="0" w:color="1F497D"/>
            </w:tcBorders>
            <w:shd w:val="clear" w:color="auto" w:fill="auto"/>
            <w:vAlign w:val="center"/>
            <w:hideMark/>
          </w:tcPr>
          <w:p w14:paraId="6AD35841" w14:textId="6E4BFAC2" w:rsidR="00F751B0" w:rsidRPr="00033E65" w:rsidRDefault="005046C5" w:rsidP="00274042">
            <w:pPr>
              <w:spacing w:before="0" w:after="0"/>
              <w:jc w:val="center"/>
              <w:rPr>
                <w:b/>
                <w:bCs/>
                <w:szCs w:val="22"/>
                <w:lang w:eastAsia="es-CR"/>
              </w:rPr>
            </w:pPr>
            <w:r w:rsidRPr="00033E65">
              <w:rPr>
                <w:b/>
                <w:bCs/>
                <w:szCs w:val="22"/>
                <w:lang w:eastAsia="es-CR"/>
              </w:rPr>
              <w:t>1</w:t>
            </w:r>
            <w:r w:rsidR="00F751B0" w:rsidRPr="00033E65">
              <w:rPr>
                <w:b/>
                <w:bCs/>
                <w:szCs w:val="22"/>
                <w:lang w:eastAsia="es-CR"/>
              </w:rPr>
              <w:t xml:space="preserve"> </w:t>
            </w:r>
          </w:p>
        </w:tc>
        <w:tc>
          <w:tcPr>
            <w:tcW w:w="2225" w:type="dxa"/>
            <w:tcBorders>
              <w:top w:val="nil"/>
              <w:left w:val="nil"/>
              <w:bottom w:val="double" w:sz="6" w:space="0" w:color="1F497D"/>
              <w:right w:val="double" w:sz="6" w:space="0" w:color="1F497D"/>
            </w:tcBorders>
            <w:shd w:val="clear" w:color="auto" w:fill="auto"/>
            <w:vAlign w:val="center"/>
            <w:hideMark/>
          </w:tcPr>
          <w:p w14:paraId="48EDA76E" w14:textId="119A7A21" w:rsidR="005046C5" w:rsidRPr="00033E65" w:rsidRDefault="00A30F42" w:rsidP="00274042">
            <w:pPr>
              <w:spacing w:before="0" w:after="0"/>
              <w:jc w:val="center"/>
              <w:rPr>
                <w:szCs w:val="22"/>
                <w:lang w:eastAsia="es-CR"/>
              </w:rPr>
            </w:pPr>
            <w:r w:rsidRPr="00033E65">
              <w:rPr>
                <w:color w:val="000000"/>
                <w:szCs w:val="22"/>
                <w:lang w:val="es-ES" w:eastAsia="es-CR"/>
              </w:rPr>
              <w:t>Ordinaria vacante en concurso</w:t>
            </w:r>
          </w:p>
        </w:tc>
      </w:tr>
      <w:tr w:rsidR="00864BA5" w:rsidRPr="00033E65" w14:paraId="51EF6CD3" w14:textId="77777777" w:rsidTr="00864BA5">
        <w:trPr>
          <w:trHeight w:val="312"/>
          <w:jc w:val="center"/>
        </w:trPr>
        <w:tc>
          <w:tcPr>
            <w:tcW w:w="4820" w:type="dxa"/>
            <w:tcBorders>
              <w:top w:val="nil"/>
              <w:left w:val="double" w:sz="6" w:space="0" w:color="1F497D"/>
              <w:bottom w:val="double" w:sz="6" w:space="0" w:color="1F497D"/>
              <w:right w:val="double" w:sz="6" w:space="0" w:color="1F497D"/>
            </w:tcBorders>
            <w:shd w:val="clear" w:color="auto" w:fill="auto"/>
            <w:vAlign w:val="center"/>
            <w:hideMark/>
          </w:tcPr>
          <w:p w14:paraId="1ED60FD6" w14:textId="77777777" w:rsidR="005046C5" w:rsidRPr="00033E65" w:rsidRDefault="005046C5" w:rsidP="00274042">
            <w:pPr>
              <w:spacing w:before="0" w:after="0"/>
              <w:rPr>
                <w:szCs w:val="22"/>
                <w:lang w:eastAsia="es-CR"/>
              </w:rPr>
            </w:pPr>
            <w:r w:rsidRPr="00033E65">
              <w:rPr>
                <w:szCs w:val="22"/>
                <w:lang w:eastAsia="es-CR"/>
              </w:rPr>
              <w:t>Defensa Pública en Alajuela</w:t>
            </w:r>
          </w:p>
        </w:tc>
        <w:tc>
          <w:tcPr>
            <w:tcW w:w="2025" w:type="dxa"/>
            <w:tcBorders>
              <w:top w:val="nil"/>
              <w:left w:val="nil"/>
              <w:bottom w:val="double" w:sz="6" w:space="0" w:color="1F497D"/>
              <w:right w:val="double" w:sz="6" w:space="0" w:color="1F497D"/>
            </w:tcBorders>
            <w:shd w:val="clear" w:color="auto" w:fill="auto"/>
            <w:vAlign w:val="center"/>
            <w:hideMark/>
          </w:tcPr>
          <w:p w14:paraId="152A53A5" w14:textId="77777777" w:rsidR="005046C5" w:rsidRPr="00033E65" w:rsidRDefault="005046C5" w:rsidP="00274042">
            <w:pPr>
              <w:spacing w:before="0" w:after="0"/>
              <w:jc w:val="center"/>
              <w:rPr>
                <w:b/>
                <w:bCs/>
                <w:szCs w:val="22"/>
                <w:lang w:eastAsia="es-CR"/>
              </w:rPr>
            </w:pPr>
            <w:r w:rsidRPr="00033E65">
              <w:rPr>
                <w:b/>
                <w:bCs/>
                <w:szCs w:val="22"/>
                <w:lang w:eastAsia="es-CR"/>
              </w:rPr>
              <w:t>1</w:t>
            </w:r>
          </w:p>
        </w:tc>
        <w:tc>
          <w:tcPr>
            <w:tcW w:w="2225" w:type="dxa"/>
            <w:tcBorders>
              <w:top w:val="nil"/>
              <w:left w:val="nil"/>
              <w:bottom w:val="double" w:sz="6" w:space="0" w:color="1F497D"/>
              <w:right w:val="double" w:sz="6" w:space="0" w:color="1F497D"/>
            </w:tcBorders>
            <w:shd w:val="clear" w:color="auto" w:fill="auto"/>
            <w:vAlign w:val="center"/>
            <w:hideMark/>
          </w:tcPr>
          <w:p w14:paraId="13D79EAF" w14:textId="69D972B0" w:rsidR="005046C5" w:rsidRPr="00033E65" w:rsidRDefault="005046C5" w:rsidP="00274042">
            <w:pPr>
              <w:spacing w:before="0" w:after="0"/>
              <w:jc w:val="center"/>
              <w:rPr>
                <w:szCs w:val="22"/>
                <w:lang w:eastAsia="es-CR"/>
              </w:rPr>
            </w:pPr>
            <w:r w:rsidRPr="00033E65">
              <w:rPr>
                <w:szCs w:val="22"/>
                <w:lang w:eastAsia="es-CR"/>
              </w:rPr>
              <w:t xml:space="preserve">Ordinaria </w:t>
            </w:r>
            <w:r w:rsidR="00A30F42" w:rsidRPr="00033E65">
              <w:rPr>
                <w:szCs w:val="22"/>
                <w:lang w:eastAsia="es-CR"/>
              </w:rPr>
              <w:t>en propiedad</w:t>
            </w:r>
          </w:p>
        </w:tc>
      </w:tr>
      <w:tr w:rsidR="00864BA5" w:rsidRPr="00033E65" w14:paraId="5762BE3F" w14:textId="77777777" w:rsidTr="00864BA5">
        <w:trPr>
          <w:trHeight w:val="312"/>
          <w:jc w:val="center"/>
        </w:trPr>
        <w:tc>
          <w:tcPr>
            <w:tcW w:w="4820" w:type="dxa"/>
            <w:tcBorders>
              <w:top w:val="nil"/>
              <w:left w:val="double" w:sz="6" w:space="0" w:color="1F497D"/>
              <w:bottom w:val="double" w:sz="6" w:space="0" w:color="1F497D"/>
              <w:right w:val="double" w:sz="6" w:space="0" w:color="1F497D"/>
            </w:tcBorders>
            <w:shd w:val="clear" w:color="auto" w:fill="auto"/>
            <w:vAlign w:val="center"/>
            <w:hideMark/>
          </w:tcPr>
          <w:p w14:paraId="692EBEE7" w14:textId="77777777" w:rsidR="005046C5" w:rsidRPr="00033E65" w:rsidRDefault="005046C5" w:rsidP="00274042">
            <w:pPr>
              <w:spacing w:before="0" w:after="0"/>
              <w:rPr>
                <w:szCs w:val="22"/>
                <w:lang w:eastAsia="es-CR"/>
              </w:rPr>
            </w:pPr>
            <w:r w:rsidRPr="00033E65">
              <w:rPr>
                <w:szCs w:val="22"/>
                <w:lang w:eastAsia="es-CR"/>
              </w:rPr>
              <w:t>Defensa Pública en San Ramón</w:t>
            </w:r>
          </w:p>
        </w:tc>
        <w:tc>
          <w:tcPr>
            <w:tcW w:w="2025" w:type="dxa"/>
            <w:tcBorders>
              <w:top w:val="nil"/>
              <w:left w:val="nil"/>
              <w:bottom w:val="double" w:sz="6" w:space="0" w:color="1F497D"/>
              <w:right w:val="double" w:sz="6" w:space="0" w:color="1F497D"/>
            </w:tcBorders>
            <w:shd w:val="clear" w:color="auto" w:fill="auto"/>
            <w:vAlign w:val="center"/>
            <w:hideMark/>
          </w:tcPr>
          <w:p w14:paraId="415EA578" w14:textId="77777777" w:rsidR="005046C5" w:rsidRPr="00033E65" w:rsidRDefault="005046C5" w:rsidP="00274042">
            <w:pPr>
              <w:spacing w:before="0" w:after="0"/>
              <w:jc w:val="center"/>
              <w:rPr>
                <w:b/>
                <w:bCs/>
                <w:szCs w:val="22"/>
                <w:lang w:eastAsia="es-CR"/>
              </w:rPr>
            </w:pPr>
            <w:r w:rsidRPr="00033E65">
              <w:rPr>
                <w:b/>
                <w:bCs/>
                <w:szCs w:val="22"/>
                <w:lang w:eastAsia="es-CR"/>
              </w:rPr>
              <w:t>1</w:t>
            </w:r>
          </w:p>
        </w:tc>
        <w:tc>
          <w:tcPr>
            <w:tcW w:w="2225" w:type="dxa"/>
            <w:tcBorders>
              <w:top w:val="nil"/>
              <w:left w:val="nil"/>
              <w:bottom w:val="double" w:sz="6" w:space="0" w:color="1F497D"/>
              <w:right w:val="double" w:sz="6" w:space="0" w:color="1F497D"/>
            </w:tcBorders>
            <w:shd w:val="clear" w:color="auto" w:fill="auto"/>
            <w:vAlign w:val="center"/>
            <w:hideMark/>
          </w:tcPr>
          <w:p w14:paraId="66FEC89B" w14:textId="43685010" w:rsidR="005046C5" w:rsidRPr="00033E65" w:rsidRDefault="00106513" w:rsidP="00274042">
            <w:pPr>
              <w:spacing w:before="0" w:after="0"/>
              <w:jc w:val="center"/>
              <w:rPr>
                <w:szCs w:val="22"/>
                <w:lang w:eastAsia="es-CR"/>
              </w:rPr>
            </w:pPr>
            <w:r w:rsidRPr="00033E65">
              <w:rPr>
                <w:szCs w:val="22"/>
                <w:lang w:eastAsia="es-CR"/>
              </w:rPr>
              <w:t>Ordinaria en propiedad</w:t>
            </w:r>
          </w:p>
        </w:tc>
      </w:tr>
      <w:tr w:rsidR="00864BA5" w:rsidRPr="00033E65" w14:paraId="12FAD90D" w14:textId="77777777" w:rsidTr="00864BA5">
        <w:trPr>
          <w:trHeight w:val="312"/>
          <w:jc w:val="center"/>
        </w:trPr>
        <w:tc>
          <w:tcPr>
            <w:tcW w:w="4820" w:type="dxa"/>
            <w:tcBorders>
              <w:top w:val="nil"/>
              <w:left w:val="double" w:sz="6" w:space="0" w:color="1F497D"/>
              <w:bottom w:val="double" w:sz="6" w:space="0" w:color="1F497D"/>
              <w:right w:val="double" w:sz="6" w:space="0" w:color="1F497D"/>
            </w:tcBorders>
            <w:shd w:val="clear" w:color="auto" w:fill="auto"/>
            <w:vAlign w:val="center"/>
            <w:hideMark/>
          </w:tcPr>
          <w:p w14:paraId="02294BDC" w14:textId="77777777" w:rsidR="005046C5" w:rsidRPr="00033E65" w:rsidRDefault="005046C5" w:rsidP="00274042">
            <w:pPr>
              <w:spacing w:before="0" w:after="0"/>
              <w:rPr>
                <w:szCs w:val="22"/>
                <w:lang w:eastAsia="es-CR"/>
              </w:rPr>
            </w:pPr>
            <w:r w:rsidRPr="00033E65">
              <w:rPr>
                <w:szCs w:val="22"/>
                <w:lang w:eastAsia="es-CR"/>
              </w:rPr>
              <w:t>Defensa Pública en Upala</w:t>
            </w:r>
          </w:p>
        </w:tc>
        <w:tc>
          <w:tcPr>
            <w:tcW w:w="2025" w:type="dxa"/>
            <w:tcBorders>
              <w:top w:val="nil"/>
              <w:left w:val="nil"/>
              <w:bottom w:val="double" w:sz="6" w:space="0" w:color="1F497D"/>
              <w:right w:val="double" w:sz="6" w:space="0" w:color="1F497D"/>
            </w:tcBorders>
            <w:shd w:val="clear" w:color="auto" w:fill="auto"/>
            <w:vAlign w:val="center"/>
            <w:hideMark/>
          </w:tcPr>
          <w:p w14:paraId="054FE9A7" w14:textId="77777777" w:rsidR="005046C5" w:rsidRPr="00033E65" w:rsidRDefault="005046C5" w:rsidP="00274042">
            <w:pPr>
              <w:spacing w:before="0" w:after="0"/>
              <w:jc w:val="center"/>
              <w:rPr>
                <w:b/>
                <w:bCs/>
                <w:szCs w:val="22"/>
                <w:lang w:eastAsia="es-CR"/>
              </w:rPr>
            </w:pPr>
            <w:r w:rsidRPr="00033E65">
              <w:rPr>
                <w:b/>
                <w:bCs/>
                <w:szCs w:val="22"/>
                <w:lang w:eastAsia="es-CR"/>
              </w:rPr>
              <w:t>1</w:t>
            </w:r>
          </w:p>
        </w:tc>
        <w:tc>
          <w:tcPr>
            <w:tcW w:w="2225" w:type="dxa"/>
            <w:tcBorders>
              <w:top w:val="nil"/>
              <w:left w:val="nil"/>
              <w:bottom w:val="double" w:sz="6" w:space="0" w:color="1F497D"/>
              <w:right w:val="double" w:sz="6" w:space="0" w:color="1F497D"/>
            </w:tcBorders>
            <w:shd w:val="clear" w:color="auto" w:fill="auto"/>
            <w:vAlign w:val="center"/>
            <w:hideMark/>
          </w:tcPr>
          <w:p w14:paraId="65C35E05" w14:textId="6E0EDDAF" w:rsidR="005046C5" w:rsidRPr="00033E65" w:rsidRDefault="005046C5" w:rsidP="00274042">
            <w:pPr>
              <w:spacing w:before="0" w:after="0"/>
              <w:jc w:val="center"/>
              <w:rPr>
                <w:szCs w:val="22"/>
                <w:lang w:eastAsia="es-CR"/>
              </w:rPr>
            </w:pPr>
            <w:r w:rsidRPr="00033E65">
              <w:rPr>
                <w:szCs w:val="22"/>
                <w:lang w:eastAsia="es-CR"/>
              </w:rPr>
              <w:t>Ordinaria vacante</w:t>
            </w:r>
            <w:r w:rsidR="008A4B7F" w:rsidRPr="00033E65">
              <w:rPr>
                <w:szCs w:val="22"/>
                <w:lang w:eastAsia="es-CR"/>
              </w:rPr>
              <w:t xml:space="preserve"> en concurso</w:t>
            </w:r>
          </w:p>
        </w:tc>
      </w:tr>
      <w:tr w:rsidR="00864BA5" w:rsidRPr="00033E65" w14:paraId="0013D7F3" w14:textId="77777777" w:rsidTr="00864BA5">
        <w:trPr>
          <w:trHeight w:val="312"/>
          <w:jc w:val="center"/>
        </w:trPr>
        <w:tc>
          <w:tcPr>
            <w:tcW w:w="4820" w:type="dxa"/>
            <w:tcBorders>
              <w:top w:val="nil"/>
              <w:left w:val="double" w:sz="6" w:space="0" w:color="1F497D"/>
              <w:bottom w:val="double" w:sz="6" w:space="0" w:color="1F497D"/>
              <w:right w:val="double" w:sz="6" w:space="0" w:color="1F497D"/>
            </w:tcBorders>
            <w:shd w:val="clear" w:color="auto" w:fill="auto"/>
            <w:vAlign w:val="center"/>
            <w:hideMark/>
          </w:tcPr>
          <w:p w14:paraId="3C6579DA" w14:textId="77777777" w:rsidR="005046C5" w:rsidRPr="00033E65" w:rsidRDefault="005046C5" w:rsidP="00274042">
            <w:pPr>
              <w:spacing w:before="0" w:after="0"/>
              <w:rPr>
                <w:szCs w:val="22"/>
                <w:lang w:eastAsia="es-CR"/>
              </w:rPr>
            </w:pPr>
            <w:r w:rsidRPr="00033E65">
              <w:rPr>
                <w:szCs w:val="22"/>
                <w:lang w:eastAsia="es-CR"/>
              </w:rPr>
              <w:t>Defensa Pública en Puntarenas</w:t>
            </w:r>
          </w:p>
        </w:tc>
        <w:tc>
          <w:tcPr>
            <w:tcW w:w="2025" w:type="dxa"/>
            <w:tcBorders>
              <w:top w:val="nil"/>
              <w:left w:val="nil"/>
              <w:bottom w:val="double" w:sz="6" w:space="0" w:color="1F497D"/>
              <w:right w:val="double" w:sz="6" w:space="0" w:color="1F497D"/>
            </w:tcBorders>
            <w:shd w:val="clear" w:color="auto" w:fill="auto"/>
            <w:vAlign w:val="center"/>
            <w:hideMark/>
          </w:tcPr>
          <w:p w14:paraId="1C006788" w14:textId="77777777" w:rsidR="005046C5" w:rsidRPr="00033E65" w:rsidRDefault="005046C5" w:rsidP="00274042">
            <w:pPr>
              <w:spacing w:before="0" w:after="0"/>
              <w:jc w:val="center"/>
              <w:rPr>
                <w:b/>
                <w:bCs/>
                <w:szCs w:val="22"/>
                <w:lang w:eastAsia="es-CR"/>
              </w:rPr>
            </w:pPr>
            <w:r w:rsidRPr="00033E65">
              <w:rPr>
                <w:b/>
                <w:bCs/>
                <w:szCs w:val="22"/>
                <w:lang w:eastAsia="es-CR"/>
              </w:rPr>
              <w:t>1</w:t>
            </w:r>
          </w:p>
        </w:tc>
        <w:tc>
          <w:tcPr>
            <w:tcW w:w="2225" w:type="dxa"/>
            <w:tcBorders>
              <w:top w:val="nil"/>
              <w:left w:val="nil"/>
              <w:bottom w:val="double" w:sz="6" w:space="0" w:color="1F497D"/>
              <w:right w:val="double" w:sz="6" w:space="0" w:color="1F497D"/>
            </w:tcBorders>
            <w:shd w:val="clear" w:color="auto" w:fill="auto"/>
            <w:vAlign w:val="center"/>
            <w:hideMark/>
          </w:tcPr>
          <w:p w14:paraId="56907CE2" w14:textId="39D91E42" w:rsidR="005046C5" w:rsidRPr="00033E65" w:rsidRDefault="005046C5" w:rsidP="00274042">
            <w:pPr>
              <w:spacing w:before="0" w:after="0"/>
              <w:jc w:val="center"/>
              <w:rPr>
                <w:szCs w:val="22"/>
                <w:lang w:eastAsia="es-CR"/>
              </w:rPr>
            </w:pPr>
            <w:r w:rsidRPr="00033E65">
              <w:rPr>
                <w:szCs w:val="22"/>
                <w:lang w:eastAsia="es-CR"/>
              </w:rPr>
              <w:t xml:space="preserve">Ordinaria </w:t>
            </w:r>
            <w:r w:rsidR="0017074C" w:rsidRPr="00033E65">
              <w:rPr>
                <w:szCs w:val="22"/>
                <w:lang w:eastAsia="es-CR"/>
              </w:rPr>
              <w:t>en propiedad</w:t>
            </w:r>
          </w:p>
        </w:tc>
      </w:tr>
      <w:tr w:rsidR="00864BA5" w:rsidRPr="00033E65" w14:paraId="3254C3F3" w14:textId="77777777" w:rsidTr="00864BA5">
        <w:trPr>
          <w:trHeight w:val="444"/>
          <w:jc w:val="center"/>
        </w:trPr>
        <w:tc>
          <w:tcPr>
            <w:tcW w:w="4820" w:type="dxa"/>
            <w:tcBorders>
              <w:top w:val="nil"/>
              <w:left w:val="double" w:sz="6" w:space="0" w:color="1F497D"/>
              <w:bottom w:val="double" w:sz="6" w:space="0" w:color="1F497D"/>
              <w:right w:val="double" w:sz="6" w:space="0" w:color="1F497D"/>
            </w:tcBorders>
            <w:shd w:val="clear" w:color="auto" w:fill="auto"/>
            <w:vAlign w:val="center"/>
          </w:tcPr>
          <w:p w14:paraId="0775824F" w14:textId="51A72A96" w:rsidR="00F751B0" w:rsidRPr="00033E65" w:rsidRDefault="00F751B0" w:rsidP="00274042">
            <w:pPr>
              <w:spacing w:before="0" w:after="0"/>
              <w:rPr>
                <w:szCs w:val="22"/>
                <w:lang w:eastAsia="es-CR"/>
              </w:rPr>
            </w:pPr>
            <w:r w:rsidRPr="00033E65">
              <w:rPr>
                <w:szCs w:val="22"/>
                <w:lang w:eastAsia="es-CR"/>
              </w:rPr>
              <w:t>Defensa Pública de Nicoya (Atención Jicaral)</w:t>
            </w:r>
          </w:p>
        </w:tc>
        <w:tc>
          <w:tcPr>
            <w:tcW w:w="2025" w:type="dxa"/>
            <w:tcBorders>
              <w:top w:val="nil"/>
              <w:left w:val="nil"/>
              <w:bottom w:val="double" w:sz="6" w:space="0" w:color="1F497D"/>
              <w:right w:val="double" w:sz="6" w:space="0" w:color="1F497D"/>
            </w:tcBorders>
            <w:shd w:val="clear" w:color="auto" w:fill="auto"/>
            <w:vAlign w:val="center"/>
          </w:tcPr>
          <w:p w14:paraId="4214B497" w14:textId="3C80A7AA" w:rsidR="00F751B0" w:rsidRPr="00033E65" w:rsidRDefault="00F751B0" w:rsidP="00274042">
            <w:pPr>
              <w:spacing w:before="0" w:after="0"/>
              <w:jc w:val="center"/>
              <w:rPr>
                <w:b/>
                <w:bCs/>
                <w:szCs w:val="22"/>
                <w:lang w:eastAsia="es-CR"/>
              </w:rPr>
            </w:pPr>
            <w:r w:rsidRPr="00033E65">
              <w:rPr>
                <w:b/>
                <w:bCs/>
                <w:szCs w:val="22"/>
                <w:lang w:eastAsia="es-CR"/>
              </w:rPr>
              <w:t>1</w:t>
            </w:r>
          </w:p>
        </w:tc>
        <w:tc>
          <w:tcPr>
            <w:tcW w:w="2225" w:type="dxa"/>
            <w:tcBorders>
              <w:top w:val="nil"/>
              <w:left w:val="nil"/>
              <w:bottom w:val="double" w:sz="6" w:space="0" w:color="1F497D"/>
              <w:right w:val="double" w:sz="6" w:space="0" w:color="1F497D"/>
            </w:tcBorders>
            <w:shd w:val="clear" w:color="auto" w:fill="auto"/>
            <w:vAlign w:val="center"/>
          </w:tcPr>
          <w:p w14:paraId="2F60DEEC" w14:textId="70F52145" w:rsidR="00F751B0" w:rsidRPr="00033E65" w:rsidRDefault="00F751B0" w:rsidP="00274042">
            <w:pPr>
              <w:spacing w:before="0" w:after="0"/>
              <w:jc w:val="center"/>
              <w:rPr>
                <w:szCs w:val="22"/>
                <w:lang w:eastAsia="es-CR"/>
              </w:rPr>
            </w:pPr>
            <w:r w:rsidRPr="00033E65">
              <w:rPr>
                <w:szCs w:val="22"/>
                <w:lang w:eastAsia="es-CR"/>
              </w:rPr>
              <w:t xml:space="preserve">Ordinaria </w:t>
            </w:r>
            <w:r w:rsidR="0017074C" w:rsidRPr="00033E65">
              <w:rPr>
                <w:szCs w:val="22"/>
                <w:lang w:eastAsia="es-CR"/>
              </w:rPr>
              <w:t>en propiedad</w:t>
            </w:r>
          </w:p>
        </w:tc>
      </w:tr>
      <w:tr w:rsidR="00864BA5" w:rsidRPr="00033E65" w14:paraId="2A7F6FD2" w14:textId="77777777" w:rsidTr="00864BA5">
        <w:trPr>
          <w:trHeight w:val="310"/>
          <w:jc w:val="center"/>
        </w:trPr>
        <w:tc>
          <w:tcPr>
            <w:tcW w:w="4820" w:type="dxa"/>
            <w:tcBorders>
              <w:top w:val="nil"/>
              <w:left w:val="double" w:sz="6" w:space="0" w:color="1F497D"/>
              <w:bottom w:val="double" w:sz="6" w:space="0" w:color="1F497D"/>
              <w:right w:val="double" w:sz="6" w:space="0" w:color="1F497D"/>
            </w:tcBorders>
            <w:shd w:val="clear" w:color="auto" w:fill="auto"/>
            <w:vAlign w:val="center"/>
          </w:tcPr>
          <w:p w14:paraId="1BEA1ED6" w14:textId="719AE256" w:rsidR="00F751B0" w:rsidRPr="00033E65" w:rsidRDefault="00F751B0" w:rsidP="00274042">
            <w:pPr>
              <w:spacing w:before="0" w:after="0"/>
              <w:rPr>
                <w:szCs w:val="22"/>
                <w:lang w:eastAsia="es-CR"/>
              </w:rPr>
            </w:pPr>
            <w:r w:rsidRPr="00033E65">
              <w:rPr>
                <w:szCs w:val="22"/>
                <w:lang w:eastAsia="es-CR"/>
              </w:rPr>
              <w:lastRenderedPageBreak/>
              <w:t xml:space="preserve">Defensa Pública de San Carlos </w:t>
            </w:r>
          </w:p>
        </w:tc>
        <w:tc>
          <w:tcPr>
            <w:tcW w:w="2025" w:type="dxa"/>
            <w:tcBorders>
              <w:top w:val="nil"/>
              <w:left w:val="nil"/>
              <w:bottom w:val="double" w:sz="6" w:space="0" w:color="1F497D"/>
              <w:right w:val="double" w:sz="6" w:space="0" w:color="1F497D"/>
            </w:tcBorders>
            <w:shd w:val="clear" w:color="auto" w:fill="auto"/>
            <w:vAlign w:val="center"/>
          </w:tcPr>
          <w:p w14:paraId="7FADC97C" w14:textId="101F8350" w:rsidR="00F751B0" w:rsidRPr="00033E65" w:rsidRDefault="00F751B0" w:rsidP="00274042">
            <w:pPr>
              <w:spacing w:before="0" w:after="0"/>
              <w:jc w:val="center"/>
              <w:rPr>
                <w:b/>
                <w:bCs/>
                <w:szCs w:val="22"/>
                <w:lang w:eastAsia="es-CR"/>
              </w:rPr>
            </w:pPr>
            <w:r w:rsidRPr="00033E65">
              <w:rPr>
                <w:b/>
                <w:bCs/>
                <w:szCs w:val="22"/>
                <w:lang w:eastAsia="es-CR"/>
              </w:rPr>
              <w:t>1</w:t>
            </w:r>
          </w:p>
        </w:tc>
        <w:tc>
          <w:tcPr>
            <w:tcW w:w="2225" w:type="dxa"/>
            <w:tcBorders>
              <w:top w:val="nil"/>
              <w:left w:val="nil"/>
              <w:bottom w:val="double" w:sz="6" w:space="0" w:color="1F497D"/>
              <w:right w:val="double" w:sz="6" w:space="0" w:color="1F497D"/>
            </w:tcBorders>
            <w:shd w:val="clear" w:color="auto" w:fill="auto"/>
            <w:vAlign w:val="center"/>
          </w:tcPr>
          <w:p w14:paraId="4917A0C5" w14:textId="27250F7B" w:rsidR="00F751B0" w:rsidRPr="00033E65" w:rsidRDefault="00F751B0" w:rsidP="00274042">
            <w:pPr>
              <w:spacing w:before="0" w:after="0"/>
              <w:jc w:val="center"/>
              <w:rPr>
                <w:szCs w:val="22"/>
                <w:lang w:eastAsia="es-CR"/>
              </w:rPr>
            </w:pPr>
            <w:r w:rsidRPr="00033E65">
              <w:rPr>
                <w:szCs w:val="22"/>
                <w:lang w:eastAsia="es-CR"/>
              </w:rPr>
              <w:t>Ordinaria en propiedad</w:t>
            </w:r>
          </w:p>
        </w:tc>
      </w:tr>
      <w:tr w:rsidR="00864BA5" w:rsidRPr="00033E65" w14:paraId="1EB9BD63" w14:textId="77777777" w:rsidTr="00864BA5">
        <w:trPr>
          <w:trHeight w:val="312"/>
          <w:jc w:val="center"/>
        </w:trPr>
        <w:tc>
          <w:tcPr>
            <w:tcW w:w="4820"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145043B2" w14:textId="77777777" w:rsidR="005046C5" w:rsidRPr="00033E65" w:rsidRDefault="005046C5" w:rsidP="00274042">
            <w:pPr>
              <w:spacing w:before="0" w:after="0"/>
              <w:jc w:val="right"/>
              <w:rPr>
                <w:b/>
                <w:bCs/>
                <w:szCs w:val="22"/>
                <w:lang w:eastAsia="es-CR"/>
              </w:rPr>
            </w:pPr>
            <w:r w:rsidRPr="00033E65">
              <w:rPr>
                <w:b/>
                <w:bCs/>
                <w:szCs w:val="22"/>
                <w:lang w:eastAsia="es-CR"/>
              </w:rPr>
              <w:t>Total, general</w:t>
            </w:r>
          </w:p>
        </w:tc>
        <w:tc>
          <w:tcPr>
            <w:tcW w:w="2025" w:type="dxa"/>
            <w:tcBorders>
              <w:top w:val="double" w:sz="6" w:space="0" w:color="0673A5"/>
              <w:left w:val="nil"/>
              <w:bottom w:val="double" w:sz="6" w:space="0" w:color="0673A5"/>
              <w:right w:val="double" w:sz="6" w:space="0" w:color="0673A5"/>
            </w:tcBorders>
            <w:shd w:val="clear" w:color="DCE6F1" w:fill="DCE6F1"/>
            <w:noWrap/>
            <w:vAlign w:val="bottom"/>
            <w:hideMark/>
          </w:tcPr>
          <w:p w14:paraId="6641C2E7" w14:textId="7D39816C" w:rsidR="005046C5" w:rsidRPr="00033E65" w:rsidRDefault="00F751B0" w:rsidP="00274042">
            <w:pPr>
              <w:spacing w:before="0" w:after="0"/>
              <w:jc w:val="center"/>
              <w:rPr>
                <w:b/>
                <w:bCs/>
                <w:szCs w:val="22"/>
                <w:lang w:eastAsia="es-CR"/>
              </w:rPr>
            </w:pPr>
            <w:r w:rsidRPr="00033E65">
              <w:rPr>
                <w:b/>
                <w:bCs/>
                <w:szCs w:val="22"/>
                <w:lang w:eastAsia="es-CR"/>
              </w:rPr>
              <w:t>17</w:t>
            </w:r>
          </w:p>
        </w:tc>
        <w:tc>
          <w:tcPr>
            <w:tcW w:w="2225" w:type="dxa"/>
            <w:tcBorders>
              <w:top w:val="double" w:sz="6" w:space="0" w:color="0673A5"/>
              <w:left w:val="nil"/>
              <w:bottom w:val="double" w:sz="6" w:space="0" w:color="0673A5"/>
              <w:right w:val="double" w:sz="6" w:space="0" w:color="0673A5"/>
            </w:tcBorders>
            <w:shd w:val="clear" w:color="DCE6F1" w:fill="DCE6F1"/>
            <w:noWrap/>
            <w:vAlign w:val="bottom"/>
            <w:hideMark/>
          </w:tcPr>
          <w:p w14:paraId="03DF0B1B" w14:textId="77777777" w:rsidR="005046C5" w:rsidRPr="00033E65" w:rsidRDefault="005046C5" w:rsidP="00274042">
            <w:pPr>
              <w:spacing w:before="0" w:after="0"/>
              <w:jc w:val="right"/>
              <w:rPr>
                <w:b/>
                <w:bCs/>
                <w:szCs w:val="22"/>
                <w:lang w:eastAsia="es-CR"/>
              </w:rPr>
            </w:pPr>
            <w:r w:rsidRPr="00033E65">
              <w:rPr>
                <w:b/>
                <w:bCs/>
                <w:szCs w:val="22"/>
                <w:lang w:eastAsia="es-CR"/>
              </w:rPr>
              <w:t> </w:t>
            </w:r>
          </w:p>
        </w:tc>
      </w:tr>
    </w:tbl>
    <w:p w14:paraId="362805E6" w14:textId="7A174701" w:rsidR="009E5DC3" w:rsidRPr="005E63FE" w:rsidRDefault="005046C5" w:rsidP="005E63FE">
      <w:pPr>
        <w:ind w:right="-801"/>
        <w:rPr>
          <w:b/>
          <w:i/>
          <w:sz w:val="18"/>
        </w:rPr>
      </w:pPr>
      <w:r w:rsidRPr="00033E65">
        <w:rPr>
          <w:b/>
          <w:i/>
          <w:sz w:val="18"/>
        </w:rPr>
        <w:t>Fuente: Defensa Pública, Lic</w:t>
      </w:r>
      <w:r w:rsidR="00297B00" w:rsidRPr="00033E65">
        <w:rPr>
          <w:b/>
          <w:i/>
          <w:sz w:val="18"/>
        </w:rPr>
        <w:t>. Jesús Chaves</w:t>
      </w:r>
      <w:r w:rsidRPr="00033E65">
        <w:rPr>
          <w:b/>
          <w:i/>
          <w:sz w:val="18"/>
        </w:rPr>
        <w:t xml:space="preserve">, Coordinador de la Unidad de Defensa Pública Agraria y Administración de la Defensa Publica.   </w:t>
      </w:r>
    </w:p>
    <w:p w14:paraId="5150E280" w14:textId="3E64A558" w:rsidR="005046C5" w:rsidRPr="00033E65" w:rsidRDefault="005046C5" w:rsidP="005046C5">
      <w:pPr>
        <w:spacing w:line="236" w:lineRule="auto"/>
        <w:ind w:right="49"/>
      </w:pPr>
      <w:r w:rsidRPr="00033E65">
        <w:t>Para atender a las personas usuarias, de los casos tramitados en cada Juzgado Agrario, es necesario que se asigne a varios Defensoras y Defensores Públicas Agrarias.</w:t>
      </w:r>
    </w:p>
    <w:p w14:paraId="270E3898" w14:textId="77777777" w:rsidR="005046C5" w:rsidRPr="00033E65" w:rsidRDefault="005046C5" w:rsidP="005046C5">
      <w:pPr>
        <w:rPr>
          <w:szCs w:val="22"/>
        </w:rPr>
      </w:pPr>
      <w:r w:rsidRPr="00033E65">
        <w:rPr>
          <w:szCs w:val="22"/>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r w:rsidRPr="00033E65">
        <w:rPr>
          <w:b/>
          <w:i/>
          <w:szCs w:val="22"/>
        </w:rPr>
        <w:t xml:space="preserve"> </w:t>
      </w:r>
    </w:p>
    <w:p w14:paraId="679DEEDE" w14:textId="77777777" w:rsidR="005046C5" w:rsidRPr="00033E65" w:rsidRDefault="005046C5" w:rsidP="005046C5">
      <w:pPr>
        <w:rPr>
          <w:szCs w:val="22"/>
        </w:rPr>
      </w:pPr>
      <w:r w:rsidRPr="00033E65">
        <w:rPr>
          <w:szCs w:val="22"/>
        </w:rPr>
        <w:t>Las plazas existentes deben asumir los casos de 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w:t>
      </w:r>
    </w:p>
    <w:p w14:paraId="30E197B6" w14:textId="77777777" w:rsidR="005046C5" w:rsidRPr="00033E65" w:rsidRDefault="005046C5" w:rsidP="005046C5">
      <w:pPr>
        <w:rPr>
          <w:szCs w:val="22"/>
        </w:rPr>
      </w:pPr>
      <w:r w:rsidRPr="00033E65">
        <w:rPr>
          <w:szCs w:val="22"/>
        </w:rPr>
        <w:t xml:space="preserve">A continuación, se explica cómo se atienden los casos en los que existan intereses contrapuestos en una causa: </w:t>
      </w:r>
    </w:p>
    <w:p w14:paraId="5985EB85" w14:textId="77777777" w:rsidR="005046C5" w:rsidRPr="00033E65" w:rsidRDefault="005046C5" w:rsidP="00F91CFF">
      <w:pPr>
        <w:pStyle w:val="Prrafodelista"/>
        <w:keepNext/>
        <w:keepLines/>
        <w:numPr>
          <w:ilvl w:val="0"/>
          <w:numId w:val="11"/>
        </w:numPr>
        <w:pBdr>
          <w:top w:val="single" w:sz="2" w:space="1" w:color="17365D" w:themeColor="text2" w:themeShade="BF"/>
          <w:left w:val="single" w:sz="2" w:space="4" w:color="17365D" w:themeColor="text2" w:themeShade="BF"/>
          <w:bottom w:val="single" w:sz="2" w:space="1" w:color="17365D" w:themeColor="text2" w:themeShade="BF"/>
          <w:right w:val="single" w:sz="2" w:space="4" w:color="17365D" w:themeColor="text2" w:themeShade="BF"/>
        </w:pBdr>
        <w:shd w:val="clear" w:color="auto" w:fill="B8CCE4" w:themeFill="accent1" w:themeFillTint="66"/>
        <w:spacing w:before="240" w:after="240"/>
        <w:contextualSpacing w:val="0"/>
        <w:outlineLvl w:val="0"/>
        <w:rPr>
          <w:rFonts w:eastAsiaTheme="majorEastAsia" w:cstheme="majorBidi"/>
          <w:b/>
          <w:vanish/>
          <w:sz w:val="24"/>
          <w:szCs w:val="32"/>
          <w:lang w:eastAsia="en-US"/>
        </w:rPr>
      </w:pPr>
      <w:bookmarkStart w:id="94" w:name="_Toc34639078"/>
      <w:bookmarkStart w:id="95" w:name="_Toc34727198"/>
      <w:bookmarkStart w:id="96" w:name="_Toc34830125"/>
      <w:bookmarkStart w:id="97" w:name="_Toc34903268"/>
      <w:bookmarkStart w:id="98" w:name="_Toc34912960"/>
      <w:bookmarkStart w:id="99" w:name="_Toc34914053"/>
      <w:bookmarkStart w:id="100" w:name="_Toc36214351"/>
      <w:bookmarkStart w:id="101" w:name="_Toc37668863"/>
      <w:bookmarkStart w:id="102" w:name="_Toc37670348"/>
      <w:bookmarkStart w:id="103" w:name="_Toc37670450"/>
      <w:bookmarkStart w:id="104" w:name="_Toc64355588"/>
      <w:bookmarkStart w:id="105" w:name="_Toc64355662"/>
      <w:bookmarkStart w:id="106" w:name="_Toc64355736"/>
      <w:bookmarkStart w:id="107" w:name="_Toc64356112"/>
      <w:bookmarkStart w:id="108" w:name="_Toc65768228"/>
      <w:bookmarkStart w:id="109" w:name="_Toc67301318"/>
      <w:bookmarkStart w:id="110" w:name="_Toc67304720"/>
      <w:bookmarkStart w:id="111" w:name="_Toc67398012"/>
      <w:bookmarkStart w:id="112" w:name="_Toc68688517"/>
      <w:bookmarkStart w:id="113" w:name="_Toc94015006"/>
      <w:bookmarkStart w:id="114" w:name="_Toc132637903"/>
      <w:bookmarkStart w:id="115" w:name="_Toc132639416"/>
      <w:bookmarkStart w:id="116" w:name="_Toc132639505"/>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14:paraId="01A93552" w14:textId="577CEDAC" w:rsidR="005046C5" w:rsidRPr="00033E65" w:rsidRDefault="000D6CD3" w:rsidP="00951D3E">
      <w:pPr>
        <w:pStyle w:val="Ttulo3"/>
      </w:pPr>
      <w:bookmarkStart w:id="117" w:name="_Toc37670451"/>
      <w:bookmarkStart w:id="118" w:name="_Toc132639506"/>
      <w:r w:rsidRPr="00033E65">
        <w:t xml:space="preserve">3.2.1 </w:t>
      </w:r>
      <w:r w:rsidR="005046C5" w:rsidRPr="00033E65">
        <w:t>Juzgado Agrario del I Circuito Judicial de Guanacaste (Liberia)</w:t>
      </w:r>
      <w:bookmarkEnd w:id="117"/>
      <w:bookmarkEnd w:id="118"/>
      <w:r w:rsidR="005046C5" w:rsidRPr="00033E65">
        <w:t xml:space="preserve"> </w:t>
      </w:r>
    </w:p>
    <w:p w14:paraId="536F42C2" w14:textId="1D6E78D8" w:rsidR="005046C5" w:rsidRPr="00033E65" w:rsidRDefault="005046C5" w:rsidP="005046C5">
      <w:pPr>
        <w:spacing w:line="236" w:lineRule="auto"/>
        <w:ind w:right="49"/>
      </w:pPr>
      <w:r w:rsidRPr="00033E65">
        <w:t>La atención de las personas usuarias cuyos casos se tramitan en el Juzgado Agrario de Liberia, las realiza la plaza de Defensor Público Agrario o Defensora Pública Agraria destacada en la Oficina Regional de la Defensa Pública de Liberia. En caso de que una persona usuaria contraparte requiera de los servicios de la Defensa Pública, aqu</w:t>
      </w:r>
      <w:r w:rsidR="00F60765" w:rsidRPr="00033E65">
        <w:t>e</w:t>
      </w:r>
      <w:r w:rsidRPr="00033E65">
        <w:t>lla es atendida por recargo por la plaza de Defensor Público Agrario o Defensora Pública Agraria destacada en la Oficina Regional de la Defensa Pública de Nicoya</w:t>
      </w:r>
      <w:r w:rsidR="00745DD7" w:rsidRPr="00033E65">
        <w:t xml:space="preserve"> </w:t>
      </w:r>
      <w:r w:rsidR="007E276C" w:rsidRPr="00033E65">
        <w:t>con atención en</w:t>
      </w:r>
      <w:r w:rsidR="002B3E5C" w:rsidRPr="00033E65">
        <w:t xml:space="preserve"> </w:t>
      </w:r>
      <w:r w:rsidR="00745DD7" w:rsidRPr="00033E65">
        <w:t>Santa Cruz</w:t>
      </w:r>
      <w:r w:rsidRPr="00033E65">
        <w:t>.</w:t>
      </w:r>
    </w:p>
    <w:p w14:paraId="2890DE87" w14:textId="77777777" w:rsidR="006B2933" w:rsidRPr="00033E65" w:rsidRDefault="006B2933" w:rsidP="006B2933">
      <w:pPr>
        <w:spacing w:line="235" w:lineRule="auto"/>
        <w:ind w:right="49"/>
        <w:rPr>
          <w:color w:val="000000"/>
        </w:rPr>
      </w:pPr>
      <w:r w:rsidRPr="00033E65">
        <w:rPr>
          <w:color w:val="000000"/>
        </w:rPr>
        <w:t>En caso de que sean más de dos personas usuarias (actora, demanda y terceras interesadas) las que intervengan en un proceso agrario tramitado en el Juzgado Agrario de Liberia, se procede de la siguiente forma:</w:t>
      </w:r>
    </w:p>
    <w:p w14:paraId="58B59FC2" w14:textId="77777777" w:rsidR="006B2933" w:rsidRPr="00033E65" w:rsidRDefault="006B2933">
      <w:pPr>
        <w:pStyle w:val="Prrafodelista"/>
        <w:numPr>
          <w:ilvl w:val="0"/>
          <w:numId w:val="22"/>
        </w:numPr>
        <w:suppressAutoHyphens/>
        <w:spacing w:line="235" w:lineRule="auto"/>
        <w:ind w:left="714" w:right="51" w:hanging="357"/>
        <w:contextualSpacing w:val="0"/>
        <w:rPr>
          <w:color w:val="000000"/>
        </w:rPr>
      </w:pPr>
      <w:r w:rsidRPr="00033E65">
        <w:rPr>
          <w:color w:val="000000"/>
        </w:rPr>
        <w:t>Una de ellas es atendida por la plaza de Defensor Público Agrario o Defensora Pública Agraria destacada en la Oficina de la Defensa Pública de Liberia.</w:t>
      </w:r>
    </w:p>
    <w:p w14:paraId="4ABEB097" w14:textId="77777777" w:rsidR="006B2933" w:rsidRPr="00033E65" w:rsidRDefault="006B2933">
      <w:pPr>
        <w:pStyle w:val="Prrafodelista"/>
        <w:numPr>
          <w:ilvl w:val="0"/>
          <w:numId w:val="22"/>
        </w:numPr>
        <w:suppressAutoHyphens/>
        <w:spacing w:line="235" w:lineRule="auto"/>
        <w:ind w:left="714" w:right="51" w:hanging="357"/>
        <w:contextualSpacing w:val="0"/>
        <w:rPr>
          <w:color w:val="000000"/>
        </w:rPr>
      </w:pPr>
      <w:r w:rsidRPr="00033E65">
        <w:rPr>
          <w:color w:val="000000"/>
        </w:rPr>
        <w:t>Otra es atendida por la plaza de Defensor Público Agrario o Defensora Pública Agraria destacada en la Oficina Regional de la Defensa Pública de Nicoya con atención Santa Cruz.</w:t>
      </w:r>
    </w:p>
    <w:p w14:paraId="34D991E7" w14:textId="09722312" w:rsidR="006B2933" w:rsidRPr="005E63FE" w:rsidRDefault="006B2933" w:rsidP="005E63FE">
      <w:pPr>
        <w:pStyle w:val="Prrafodelista"/>
        <w:numPr>
          <w:ilvl w:val="0"/>
          <w:numId w:val="22"/>
        </w:numPr>
        <w:suppressAutoHyphens/>
        <w:spacing w:line="235" w:lineRule="auto"/>
        <w:ind w:left="714" w:right="51" w:hanging="357"/>
        <w:contextualSpacing w:val="0"/>
        <w:rPr>
          <w:color w:val="000000"/>
        </w:rPr>
      </w:pPr>
      <w:r w:rsidRPr="00033E65">
        <w:rPr>
          <w:color w:val="000000"/>
        </w:rPr>
        <w:t xml:space="preserve">Las otras personas usuarias son atendidas por alguna o algunas de las otras plazas de Defensor Público Agrario o Defensora Pública Agraria destacadas en otras oficinas regionales de la Defensa Pública (Nicoya/Jicaral, Upala) o por la plaza de </w:t>
      </w:r>
      <w:r w:rsidRPr="00033E65">
        <w:rPr>
          <w:color w:val="000000"/>
        </w:rPr>
        <w:lastRenderedPageBreak/>
        <w:t>Coordinación, según lo disponga con criterio técnico el Defensor Público Agrario Coordinador de la Unidad de Defensa Agraria.</w:t>
      </w:r>
    </w:p>
    <w:p w14:paraId="306AFB26" w14:textId="38C9F18F" w:rsidR="005046C5" w:rsidRPr="00033E65" w:rsidRDefault="000D6CD3" w:rsidP="00951D3E">
      <w:pPr>
        <w:pStyle w:val="Ttulo3"/>
      </w:pPr>
      <w:bookmarkStart w:id="119" w:name="_Toc37670452"/>
      <w:bookmarkStart w:id="120" w:name="_Toc132639507"/>
      <w:r w:rsidRPr="00033E65">
        <w:t xml:space="preserve">3.2.2 </w:t>
      </w:r>
      <w:r w:rsidR="005046C5" w:rsidRPr="00033E65">
        <w:t>Juzgado Agrario del II Circuito Judicial de Guanacaste (Santa Cruz)</w:t>
      </w:r>
      <w:bookmarkEnd w:id="119"/>
      <w:bookmarkEnd w:id="120"/>
      <w:r w:rsidR="005046C5" w:rsidRPr="00033E65">
        <w:t xml:space="preserve"> </w:t>
      </w:r>
    </w:p>
    <w:p w14:paraId="67CDC73D" w14:textId="77777777" w:rsidR="004B7A28" w:rsidRPr="00033E65" w:rsidRDefault="004B7A28" w:rsidP="004B7A28">
      <w:pPr>
        <w:spacing w:line="230" w:lineRule="auto"/>
        <w:ind w:right="260"/>
        <w:rPr>
          <w:color w:val="000000"/>
        </w:rPr>
      </w:pPr>
      <w:r w:rsidRPr="00033E65">
        <w:rPr>
          <w:color w:val="000000"/>
          <w:szCs w:val="22"/>
        </w:rPr>
        <w:t>La atención de las personas usuarias cuyos casos se tramitan en el Juzgado Agrario de Santa Cruz la realiza la plaza de Defensor Público Agrario o Defensora Pública Agraria destacada en la Oficina Regional de la Defensa Pública de Nicoya- Santa Cruz. En caso de que una persona usuaria contraparte requiera de los servicios de la Defensa Pública, aquélla es atendida por recargo por la plaza de Defensor Público Agrario o Defensora Pública Agraria destacada en la Oficina Regional de la Defensa Pública de Nicoya (Jicaral).</w:t>
      </w:r>
    </w:p>
    <w:p w14:paraId="5C6162D9" w14:textId="77777777" w:rsidR="004B7A28" w:rsidRPr="00033E65" w:rsidRDefault="004B7A28" w:rsidP="004B7A28">
      <w:pPr>
        <w:spacing w:line="235" w:lineRule="auto"/>
        <w:ind w:right="260"/>
        <w:rPr>
          <w:color w:val="000000"/>
          <w:szCs w:val="22"/>
        </w:rPr>
      </w:pPr>
      <w:r w:rsidRPr="00033E65">
        <w:rPr>
          <w:color w:val="000000"/>
          <w:szCs w:val="22"/>
        </w:rPr>
        <w:t>En caso de que sean más de dos personas usuarias (actora, demanda y terceras interesadas) las que intervengan en un proceso agrario tramitado en el Juzgado Agrario de Santa Cruz, se procede de la siguiente forma:</w:t>
      </w:r>
    </w:p>
    <w:p w14:paraId="6B72578C" w14:textId="77777777" w:rsidR="004B7A28" w:rsidRPr="00033E65" w:rsidRDefault="004B7A28" w:rsidP="004B7A28">
      <w:pPr>
        <w:spacing w:line="235" w:lineRule="auto"/>
        <w:ind w:right="260"/>
        <w:rPr>
          <w:color w:val="000000"/>
        </w:rPr>
      </w:pPr>
    </w:p>
    <w:p w14:paraId="1F1A0A0F" w14:textId="77777777" w:rsidR="004B7A28" w:rsidRPr="00033E65" w:rsidRDefault="004B7A28">
      <w:pPr>
        <w:numPr>
          <w:ilvl w:val="0"/>
          <w:numId w:val="23"/>
        </w:numPr>
        <w:tabs>
          <w:tab w:val="left" w:pos="851"/>
        </w:tabs>
        <w:spacing w:before="60" w:after="60" w:line="235" w:lineRule="auto"/>
        <w:ind w:left="851" w:right="260" w:hanging="358"/>
        <w:rPr>
          <w:color w:val="000000"/>
        </w:rPr>
      </w:pPr>
      <w:r w:rsidRPr="00033E65">
        <w:rPr>
          <w:color w:val="000000"/>
          <w:szCs w:val="22"/>
        </w:rPr>
        <w:t>Una de ellas es atendida por la plaza de Defensor Público Agrario o Defensora Pública Agraria destacada en la oficina de la Defensa Pública de Nicoya-Santa Cruz.</w:t>
      </w:r>
    </w:p>
    <w:p w14:paraId="45009227" w14:textId="77777777" w:rsidR="004B7A28" w:rsidRPr="00033E65" w:rsidRDefault="004B7A28" w:rsidP="004B7A28">
      <w:pPr>
        <w:tabs>
          <w:tab w:val="left" w:pos="851"/>
        </w:tabs>
        <w:spacing w:before="60" w:after="60" w:line="12" w:lineRule="exact"/>
        <w:ind w:left="851"/>
        <w:rPr>
          <w:color w:val="000000"/>
          <w:szCs w:val="22"/>
        </w:rPr>
      </w:pPr>
    </w:p>
    <w:p w14:paraId="41F3BE8E" w14:textId="77777777" w:rsidR="004B7A28" w:rsidRPr="00033E65" w:rsidRDefault="004B7A28">
      <w:pPr>
        <w:numPr>
          <w:ilvl w:val="0"/>
          <w:numId w:val="23"/>
        </w:numPr>
        <w:tabs>
          <w:tab w:val="left" w:pos="851"/>
        </w:tabs>
        <w:spacing w:before="60" w:after="60" w:line="235" w:lineRule="auto"/>
        <w:ind w:left="851" w:right="260" w:hanging="358"/>
        <w:rPr>
          <w:color w:val="000000"/>
        </w:rPr>
      </w:pPr>
      <w:r w:rsidRPr="00033E65">
        <w:rPr>
          <w:color w:val="000000"/>
          <w:szCs w:val="22"/>
        </w:rPr>
        <w:t>Otra es atendida por la plaza de Defensor Público Agrario o Defensora Pública Agraria destacada en la oficina regional de la Defensa Pública de Nicoya-Jicaral.</w:t>
      </w:r>
    </w:p>
    <w:p w14:paraId="3EE22600" w14:textId="77777777" w:rsidR="004B7A28" w:rsidRPr="00033E65" w:rsidRDefault="004B7A28" w:rsidP="004B7A28">
      <w:pPr>
        <w:tabs>
          <w:tab w:val="left" w:pos="851"/>
        </w:tabs>
        <w:spacing w:before="60" w:after="60" w:line="13" w:lineRule="exact"/>
        <w:ind w:left="851"/>
        <w:rPr>
          <w:color w:val="000000"/>
          <w:szCs w:val="22"/>
        </w:rPr>
      </w:pPr>
    </w:p>
    <w:p w14:paraId="45F16E94" w14:textId="0CFEB722" w:rsidR="000539ED" w:rsidRPr="005E63FE" w:rsidRDefault="004B7A28" w:rsidP="005E63FE">
      <w:pPr>
        <w:numPr>
          <w:ilvl w:val="0"/>
          <w:numId w:val="23"/>
        </w:numPr>
        <w:tabs>
          <w:tab w:val="left" w:pos="851"/>
        </w:tabs>
        <w:spacing w:before="60" w:after="60" w:line="235" w:lineRule="auto"/>
        <w:ind w:left="851" w:right="260" w:hanging="358"/>
        <w:rPr>
          <w:color w:val="000000"/>
        </w:rPr>
      </w:pPr>
      <w:r w:rsidRPr="00033E65">
        <w:rPr>
          <w:color w:val="000000"/>
          <w:szCs w:val="22"/>
        </w:rPr>
        <w:t>Las otras personas usuarias son atendidas por alguna o algunas de las otras plazas de Defensor Público Agrario o Defensora Pública Agraria destacadas en otras oficinas regionales de la Defensa Pública (Liberia, Upala, Puntarenas) o por la plaza de Coordinación, según lo disponga con criterio técnico el Defensor Público Agrario Coordinador de la Unidad de Defensa Agraria.</w:t>
      </w:r>
    </w:p>
    <w:p w14:paraId="476CCC7F" w14:textId="7A35142D" w:rsidR="005046C5" w:rsidRPr="00033E65" w:rsidRDefault="000D6CD3" w:rsidP="00951D3E">
      <w:pPr>
        <w:pStyle w:val="Ttulo3"/>
      </w:pPr>
      <w:bookmarkStart w:id="121" w:name="_Toc37670453"/>
      <w:bookmarkStart w:id="122" w:name="_Toc132639508"/>
      <w:r w:rsidRPr="00033E65">
        <w:t>3.2.3</w:t>
      </w:r>
      <w:r w:rsidR="005046C5" w:rsidRPr="00033E65">
        <w:t>Juzgado Agrario de Puntarenas</w:t>
      </w:r>
      <w:bookmarkEnd w:id="121"/>
      <w:bookmarkEnd w:id="122"/>
    </w:p>
    <w:p w14:paraId="00887AC8" w14:textId="77777777" w:rsidR="009443D4" w:rsidRPr="00033E65" w:rsidRDefault="009443D4" w:rsidP="009443D4">
      <w:pPr>
        <w:spacing w:line="230" w:lineRule="auto"/>
        <w:ind w:right="260"/>
        <w:rPr>
          <w:color w:val="000000"/>
        </w:rPr>
      </w:pPr>
      <w:bookmarkStart w:id="123" w:name="_Toc37670454"/>
      <w:r w:rsidRPr="00033E65">
        <w:rPr>
          <w:color w:val="000000"/>
          <w:szCs w:val="22"/>
        </w:rPr>
        <w:t>La atención de las personas usuarias cuyos casos se tramitan en el Juzgado Agrario de Puntarenas la realiza la plaza de Defensor Público Agrario o Defensora Pública Agraria destacada en la oficina regional de la Defensa Pública de Puntarenas. En caso de que una persona usuaria contraparte requiera de los servicios de la Defensa Pública, aquélla es atendida por recargo por la plaza de Defensor Público Agrario o Defensora Pública Agraria destacada en la oficina regional de la Defensa Pública de San Ramón.</w:t>
      </w:r>
    </w:p>
    <w:p w14:paraId="0EDB0B53" w14:textId="77777777" w:rsidR="009443D4" w:rsidRPr="00033E65" w:rsidRDefault="009443D4" w:rsidP="009443D4">
      <w:pPr>
        <w:spacing w:line="235" w:lineRule="auto"/>
        <w:ind w:right="260"/>
        <w:rPr>
          <w:color w:val="000000"/>
        </w:rPr>
      </w:pPr>
      <w:r w:rsidRPr="00033E65">
        <w:rPr>
          <w:color w:val="000000"/>
          <w:szCs w:val="22"/>
        </w:rPr>
        <w:t>En caso de que sean más de dos personas usuarias (actora, demanda y terceras interesadas) las que intervengan en un proceso agrario tramitado en el Juzgado Agrario de Puntarenas, se procede de la siguiente forma:</w:t>
      </w:r>
    </w:p>
    <w:p w14:paraId="044E1944" w14:textId="77777777" w:rsidR="009443D4" w:rsidRPr="00033E65" w:rsidRDefault="009443D4">
      <w:pPr>
        <w:pStyle w:val="Prrafodelista"/>
        <w:numPr>
          <w:ilvl w:val="0"/>
          <w:numId w:val="24"/>
        </w:numPr>
        <w:tabs>
          <w:tab w:val="left" w:pos="980"/>
        </w:tabs>
        <w:suppressAutoHyphens/>
        <w:spacing w:line="235" w:lineRule="auto"/>
        <w:ind w:left="851" w:right="260"/>
        <w:rPr>
          <w:color w:val="000000"/>
        </w:rPr>
      </w:pPr>
      <w:r w:rsidRPr="00033E65">
        <w:rPr>
          <w:color w:val="000000"/>
          <w:szCs w:val="22"/>
        </w:rPr>
        <w:t>Una de ellas es atendida por la plaza de Defensor Público Agrario o Defensora Pública Agraria destacada en la oficina de la Defensa Pública de Puntarenas.</w:t>
      </w:r>
    </w:p>
    <w:p w14:paraId="432C07D4" w14:textId="77777777" w:rsidR="009443D4" w:rsidRPr="00033E65" w:rsidRDefault="009443D4">
      <w:pPr>
        <w:numPr>
          <w:ilvl w:val="0"/>
          <w:numId w:val="24"/>
        </w:numPr>
        <w:tabs>
          <w:tab w:val="left" w:pos="980"/>
        </w:tabs>
        <w:suppressAutoHyphens/>
        <w:spacing w:line="235" w:lineRule="auto"/>
        <w:ind w:left="851" w:right="260"/>
        <w:rPr>
          <w:color w:val="000000"/>
        </w:rPr>
      </w:pPr>
      <w:r w:rsidRPr="00033E65">
        <w:rPr>
          <w:color w:val="000000"/>
          <w:szCs w:val="22"/>
        </w:rPr>
        <w:t>Otra es atendida por la plaza de Defensor Público Agrario o Defensora Pública Agraria destacada en la oficina regional de la Defensa Pública de San Ramón.</w:t>
      </w:r>
    </w:p>
    <w:p w14:paraId="0F99D7E0" w14:textId="1140A05F" w:rsidR="002C6273" w:rsidRPr="005E63FE" w:rsidRDefault="009443D4" w:rsidP="005E63FE">
      <w:pPr>
        <w:numPr>
          <w:ilvl w:val="0"/>
          <w:numId w:val="24"/>
        </w:numPr>
        <w:tabs>
          <w:tab w:val="left" w:pos="980"/>
        </w:tabs>
        <w:suppressAutoHyphens/>
        <w:spacing w:line="235" w:lineRule="auto"/>
        <w:ind w:left="851" w:right="260"/>
        <w:rPr>
          <w:color w:val="000000"/>
        </w:rPr>
      </w:pPr>
      <w:r w:rsidRPr="00033E65">
        <w:rPr>
          <w:color w:val="000000"/>
          <w:szCs w:val="22"/>
        </w:rPr>
        <w:lastRenderedPageBreak/>
        <w:t>Las otras personas usuarias son atendidas por alguna o algunas de las otras plazas de Defensor Público Agrario o Defensora Pública Agraria destacadas en otras oficinas regionales de la Defensa Pública (Alajuela, San José) o por la plaza de Coordinación, según lo disponga con criterio técnico el Defensor Público Agrario Coordinador de la Unidad de Defensa Agraria.</w:t>
      </w:r>
    </w:p>
    <w:p w14:paraId="4D1B84A5" w14:textId="192515CE" w:rsidR="005046C5" w:rsidRPr="00033E65" w:rsidRDefault="000D6CD3" w:rsidP="00951D3E">
      <w:pPr>
        <w:pStyle w:val="Ttulo3"/>
      </w:pPr>
      <w:bookmarkStart w:id="124" w:name="_Toc132639509"/>
      <w:r w:rsidRPr="00033E65">
        <w:t xml:space="preserve">3.2.4 </w:t>
      </w:r>
      <w:r w:rsidR="005046C5" w:rsidRPr="00033E65">
        <w:t>Juzgado Agrario del Tercer Circuito Judicial de Alajuela (San Ramón)</w:t>
      </w:r>
      <w:bookmarkEnd w:id="123"/>
      <w:bookmarkEnd w:id="124"/>
    </w:p>
    <w:p w14:paraId="47CF4B96" w14:textId="2483D69B" w:rsidR="0024511F" w:rsidRPr="00033E65" w:rsidRDefault="0024511F" w:rsidP="0024511F">
      <w:pPr>
        <w:spacing w:line="230" w:lineRule="auto"/>
        <w:ind w:right="261"/>
        <w:rPr>
          <w:color w:val="000000"/>
        </w:rPr>
      </w:pPr>
      <w:r w:rsidRPr="00033E65">
        <w:rPr>
          <w:color w:val="000000"/>
          <w:szCs w:val="22"/>
        </w:rPr>
        <w:t>La atención de las personas usuarias cuyos casos se tramitan en el Juzgado Agrario de San Ramón la realiza la plaza de Defensor Público Agrario o Defensora Pública Agraria destacada en la oficina regional de la Defensa Pública de San Ramón. En caso de que una persona usuaria contraparte requiera de los servicios de la Defensa Pública, aqu</w:t>
      </w:r>
      <w:r w:rsidR="009D32FB" w:rsidRPr="00033E65">
        <w:rPr>
          <w:color w:val="000000"/>
          <w:szCs w:val="22"/>
        </w:rPr>
        <w:t>e</w:t>
      </w:r>
      <w:r w:rsidRPr="00033E65">
        <w:rPr>
          <w:color w:val="000000"/>
          <w:szCs w:val="22"/>
        </w:rPr>
        <w:t>lla es atendida por recargo por la plaza de Defensor Público Agrario o Defensora Pública Agraria destacada en la oficina regional de la Defensa Pública de Puntarenas.</w:t>
      </w:r>
    </w:p>
    <w:p w14:paraId="7693882A" w14:textId="77777777" w:rsidR="0024511F" w:rsidRPr="00033E65" w:rsidRDefault="0024511F" w:rsidP="0024511F">
      <w:pPr>
        <w:spacing w:line="235" w:lineRule="auto"/>
        <w:ind w:right="261"/>
        <w:rPr>
          <w:color w:val="000000"/>
        </w:rPr>
      </w:pPr>
      <w:r w:rsidRPr="00033E65">
        <w:rPr>
          <w:color w:val="000000"/>
          <w:szCs w:val="22"/>
        </w:rPr>
        <w:t>En caso de que sean más de dos personas usuarias (actora, demanda y terceras interesadas) las que intervengan en un proceso agrario tramitado en el Juzgado Agrario de San Ramón, se procede de la siguiente forma:</w:t>
      </w:r>
    </w:p>
    <w:p w14:paraId="14DBA8D3" w14:textId="77777777" w:rsidR="0024511F" w:rsidRPr="00033E65" w:rsidRDefault="0024511F">
      <w:pPr>
        <w:numPr>
          <w:ilvl w:val="0"/>
          <w:numId w:val="25"/>
        </w:numPr>
        <w:tabs>
          <w:tab w:val="left" w:pos="851"/>
        </w:tabs>
        <w:spacing w:line="235" w:lineRule="auto"/>
        <w:ind w:left="851" w:right="261" w:hanging="358"/>
        <w:rPr>
          <w:color w:val="000000"/>
        </w:rPr>
      </w:pPr>
      <w:r w:rsidRPr="00033E65">
        <w:rPr>
          <w:color w:val="000000"/>
          <w:szCs w:val="22"/>
        </w:rPr>
        <w:t>Una de ellas es atendida por la plaza de Defensor Público Agrario o Defensora Pública Agraria destacada en la oficina de la Defensa Pública de San Ramón;</w:t>
      </w:r>
    </w:p>
    <w:p w14:paraId="49E859FA" w14:textId="77777777" w:rsidR="0024511F" w:rsidRPr="00033E65" w:rsidRDefault="0024511F" w:rsidP="0024511F">
      <w:pPr>
        <w:tabs>
          <w:tab w:val="left" w:pos="851"/>
        </w:tabs>
        <w:spacing w:line="235" w:lineRule="auto"/>
        <w:ind w:left="851" w:right="261"/>
        <w:rPr>
          <w:color w:val="000000"/>
        </w:rPr>
      </w:pPr>
      <w:r w:rsidRPr="00033E65">
        <w:rPr>
          <w:color w:val="000000"/>
          <w:szCs w:val="22"/>
        </w:rPr>
        <w:t>Otra es atendida por la plaza de Defensor Público Agrario o Defensora Pública Agraria destacada en la oficina regional de la Defensa Pública de Puntarenas.</w:t>
      </w:r>
    </w:p>
    <w:p w14:paraId="6892A50A" w14:textId="584F39DE" w:rsidR="0024511F" w:rsidRPr="005E63FE" w:rsidRDefault="0024511F" w:rsidP="0024511F">
      <w:pPr>
        <w:numPr>
          <w:ilvl w:val="0"/>
          <w:numId w:val="25"/>
        </w:numPr>
        <w:tabs>
          <w:tab w:val="left" w:pos="851"/>
        </w:tabs>
        <w:spacing w:line="235" w:lineRule="auto"/>
        <w:ind w:left="851" w:right="261" w:hanging="358"/>
        <w:rPr>
          <w:color w:val="000000"/>
        </w:rPr>
      </w:pPr>
      <w:r w:rsidRPr="00033E65">
        <w:rPr>
          <w:color w:val="000000"/>
          <w:szCs w:val="22"/>
        </w:rPr>
        <w:t>Las otras personas usuarias son atendidas por alguna o algunas de las otras plazas de Defensor Público Agrario o Defensora Pública Agraria destacadas en otras oficinas regionales de la Defensa Pública (Alajuela, San José, San Carlos) o por la plaza de Coordinación, según lo disponga con criterio técnico el Defensor Público Agrario Coordinador de la Unidad de Defensa Agraria.</w:t>
      </w:r>
    </w:p>
    <w:p w14:paraId="60A57E00" w14:textId="6AF83957" w:rsidR="005046C5" w:rsidRPr="00033E65" w:rsidRDefault="000D6CD3" w:rsidP="00951D3E">
      <w:pPr>
        <w:pStyle w:val="Ttulo3"/>
      </w:pPr>
      <w:bookmarkStart w:id="125" w:name="_Toc37670455"/>
      <w:bookmarkStart w:id="126" w:name="_Toc132639510"/>
      <w:r w:rsidRPr="00033E65">
        <w:t xml:space="preserve">3.2.5 </w:t>
      </w:r>
      <w:r w:rsidR="005046C5" w:rsidRPr="00033E65">
        <w:t>Juzgado</w:t>
      </w:r>
      <w:r w:rsidR="00F921A3" w:rsidRPr="00033E65">
        <w:t xml:space="preserve"> Civil, Trabajo, Agrario, Familia, Penal Juvenil, Contra la Violencia Doméstica y Protección Cautelar II Circuito Judicial de Alajuela, sede Upala</w:t>
      </w:r>
      <w:bookmarkEnd w:id="125"/>
      <w:bookmarkEnd w:id="126"/>
    </w:p>
    <w:p w14:paraId="4C93F0E0" w14:textId="77777777" w:rsidR="00526761" w:rsidRPr="00033E65" w:rsidRDefault="00526761" w:rsidP="00526761">
      <w:pPr>
        <w:spacing w:line="230" w:lineRule="auto"/>
        <w:ind w:right="260"/>
        <w:rPr>
          <w:color w:val="000000"/>
        </w:rPr>
      </w:pPr>
      <w:r w:rsidRPr="00033E65">
        <w:rPr>
          <w:szCs w:val="22"/>
        </w:rPr>
        <w:t xml:space="preserve"> </w:t>
      </w:r>
      <w:r w:rsidRPr="00033E65">
        <w:rPr>
          <w:color w:val="000000"/>
          <w:szCs w:val="22"/>
        </w:rPr>
        <w:t>La atención de las personas usuarias cuyos casos se tramitan en el Juzgado Civil, Trabajo, Agrario, Familia, Penal Juvenil, Contra la Violencia Doméstica y Protección Cautelar II Circuito Judicial de Alajuela, sede Upala realiza la plaza de Defensor Público Agrario o Defensora Pública Agraria destacada en la oficina regional de la Defensa Pública de Upala. En caso de que una persona usuaria contraparte requiera de los servicios de la Defensa Pública, aquélla es atendida por recargo por la plaza de Defensor Público Agrario o Defensora Pública Agraria destacada en la oficina regional de la Defensa Pública de San Carlos.</w:t>
      </w:r>
    </w:p>
    <w:p w14:paraId="628CA387" w14:textId="77777777" w:rsidR="00526761" w:rsidRPr="00033E65" w:rsidRDefault="00526761" w:rsidP="00526761">
      <w:pPr>
        <w:spacing w:line="235" w:lineRule="auto"/>
        <w:ind w:right="260"/>
        <w:rPr>
          <w:color w:val="000000"/>
        </w:rPr>
      </w:pPr>
      <w:r w:rsidRPr="00033E65">
        <w:rPr>
          <w:color w:val="000000"/>
          <w:szCs w:val="22"/>
        </w:rPr>
        <w:t>En caso de que sean más de dos personas usuarias (actora, demanda y terceras interesadas) las que intervengan en un proceso agrario tramitado en el Juzgado Agrario de Upala, se procede de la siguiente forma:</w:t>
      </w:r>
    </w:p>
    <w:p w14:paraId="486A704C" w14:textId="77777777" w:rsidR="00526761" w:rsidRPr="00033E65" w:rsidRDefault="00526761">
      <w:pPr>
        <w:numPr>
          <w:ilvl w:val="0"/>
          <w:numId w:val="26"/>
        </w:numPr>
        <w:tabs>
          <w:tab w:val="left" w:pos="980"/>
        </w:tabs>
        <w:spacing w:line="235" w:lineRule="auto"/>
        <w:ind w:left="980" w:right="260" w:hanging="358"/>
        <w:rPr>
          <w:color w:val="000000"/>
        </w:rPr>
      </w:pPr>
      <w:r w:rsidRPr="00033E65">
        <w:rPr>
          <w:color w:val="000000"/>
          <w:szCs w:val="22"/>
        </w:rPr>
        <w:t>Una de ellas es atendida por la plaza de Defensor Público Agrario o Defensora Pública Agraria destacada en la oficina de la Defensa Pública de Upala.</w:t>
      </w:r>
    </w:p>
    <w:p w14:paraId="3662EFEC" w14:textId="77777777" w:rsidR="00526761" w:rsidRPr="00033E65" w:rsidRDefault="00526761">
      <w:pPr>
        <w:numPr>
          <w:ilvl w:val="0"/>
          <w:numId w:val="26"/>
        </w:numPr>
        <w:tabs>
          <w:tab w:val="left" w:pos="980"/>
        </w:tabs>
        <w:spacing w:line="235" w:lineRule="auto"/>
        <w:ind w:left="980" w:right="260" w:hanging="358"/>
        <w:rPr>
          <w:color w:val="000000"/>
        </w:rPr>
      </w:pPr>
      <w:r w:rsidRPr="00033E65">
        <w:rPr>
          <w:color w:val="000000"/>
          <w:szCs w:val="22"/>
        </w:rPr>
        <w:lastRenderedPageBreak/>
        <w:t>Otra es atendida por la plaza de Defensor Público Agrario o Defensora Pública Agraria destacada en la oficina regional de la Defensa Pública de San Carlos.</w:t>
      </w:r>
    </w:p>
    <w:p w14:paraId="0C9B022F" w14:textId="77777777" w:rsidR="00526761" w:rsidRPr="00033E65" w:rsidRDefault="00526761">
      <w:pPr>
        <w:numPr>
          <w:ilvl w:val="0"/>
          <w:numId w:val="26"/>
        </w:numPr>
        <w:tabs>
          <w:tab w:val="left" w:pos="980"/>
        </w:tabs>
        <w:spacing w:line="235" w:lineRule="auto"/>
        <w:ind w:left="980" w:right="260" w:hanging="358"/>
        <w:rPr>
          <w:color w:val="000000"/>
        </w:rPr>
      </w:pPr>
      <w:r w:rsidRPr="00033E65">
        <w:rPr>
          <w:color w:val="000000"/>
          <w:szCs w:val="22"/>
        </w:rPr>
        <w:t>Las otras personas usuarias son atendidas por alguna o algunas de las otras plazas de Defensor Público Agrario o Defensora Pública Agraria destacadas en otras oficinas regionales de la Defensa Pública (Alajuela, San Ramón) o por la plaza de Coordinación, según lo disponga con criterio técnico el Defensor Público Agrario Coordinador de la Unidad de Defensa Agraria.</w:t>
      </w:r>
    </w:p>
    <w:p w14:paraId="031E0924" w14:textId="726BD25D" w:rsidR="00863C86" w:rsidRPr="005E63FE" w:rsidRDefault="00526761" w:rsidP="005E63FE">
      <w:pPr>
        <w:tabs>
          <w:tab w:val="left" w:pos="980"/>
        </w:tabs>
        <w:spacing w:line="235" w:lineRule="auto"/>
        <w:ind w:right="260"/>
        <w:rPr>
          <w:color w:val="000000"/>
        </w:rPr>
      </w:pPr>
      <w:r w:rsidRPr="00033E65">
        <w:rPr>
          <w:color w:val="000000"/>
          <w:szCs w:val="22"/>
        </w:rPr>
        <w:t xml:space="preserve">En caso de que una de las personas usuarias sea indígena, ésta será atendida por la plaza de Defensor Público Agrario o Defensora Pública Agraria de Upala, si la contraparte requiere servicio, ésta será atendida por la plaza de Defensor Público Agrario o Defensora Pública Agraria de San Carlos; y en caso de que sean más de dos personas usuarias y tengan interés contrapuestos, será atendida por las plazas de Defensora o Defensora Público de San Ramón o Liberia. La encargada de la representación de la ADI Maleku es la plaza de Alajuela. </w:t>
      </w:r>
    </w:p>
    <w:p w14:paraId="6ADE0809" w14:textId="398789BF" w:rsidR="005046C5" w:rsidRPr="00033E65" w:rsidRDefault="000D6CD3" w:rsidP="00951D3E">
      <w:pPr>
        <w:pStyle w:val="Ttulo3"/>
      </w:pPr>
      <w:bookmarkStart w:id="127" w:name="_Toc37670456"/>
      <w:bookmarkStart w:id="128" w:name="_Toc132639511"/>
      <w:r w:rsidRPr="00033E65">
        <w:t xml:space="preserve">3.2.6 </w:t>
      </w:r>
      <w:r w:rsidR="005046C5" w:rsidRPr="00033E65">
        <w:t>Juzgado Agrario del II Circuito Judicial de Alajuela (San Carlos)</w:t>
      </w:r>
      <w:bookmarkEnd w:id="127"/>
      <w:bookmarkEnd w:id="128"/>
    </w:p>
    <w:p w14:paraId="4984B80E" w14:textId="1C83BE1F" w:rsidR="00AE237A" w:rsidRPr="00033E65" w:rsidRDefault="00AE237A" w:rsidP="00AE237A">
      <w:pPr>
        <w:rPr>
          <w:color w:val="000000"/>
        </w:rPr>
      </w:pPr>
      <w:bookmarkStart w:id="129" w:name="_Toc37670457"/>
      <w:r w:rsidRPr="00033E65">
        <w:rPr>
          <w:color w:val="000000"/>
          <w:szCs w:val="22"/>
        </w:rPr>
        <w:t>La atención de las personas usuarias cuyos casos se tramitan en el Juzgado Agrario de San Carlos la realiza la plaza de Defensor Público Agrario o Defensora Pública Agraria destacada en la oficina regional de la Defensa Pública de San Carlos. En caso de que una persona usuaria contraparte requiera de los servicios de la Defensa Pública, aqu</w:t>
      </w:r>
      <w:r w:rsidR="00A8611A" w:rsidRPr="00033E65">
        <w:rPr>
          <w:color w:val="000000"/>
          <w:szCs w:val="22"/>
        </w:rPr>
        <w:t>e</w:t>
      </w:r>
      <w:r w:rsidRPr="00033E65">
        <w:rPr>
          <w:color w:val="000000"/>
          <w:szCs w:val="22"/>
        </w:rPr>
        <w:t>lla es atendida por recargo por la plaza de Defensor Público Agrario o Defensora Pública Agraria destacada en la oficina regional de la Defensa Pública de Upala.</w:t>
      </w:r>
    </w:p>
    <w:p w14:paraId="0395BB1E" w14:textId="77777777" w:rsidR="00AE237A" w:rsidRPr="00033E65" w:rsidRDefault="00AE237A" w:rsidP="00AE237A">
      <w:pPr>
        <w:rPr>
          <w:color w:val="000000"/>
        </w:rPr>
      </w:pPr>
      <w:r w:rsidRPr="00033E65">
        <w:rPr>
          <w:color w:val="000000"/>
          <w:szCs w:val="22"/>
        </w:rPr>
        <w:t>En caso de que sean más de dos personas usuarias (actora, demanda y terceras interesadas) las que intervengan en un proceso agrario tramitado en el Juzgado Agrario de San Carlos, se procede de la siguiente forma:</w:t>
      </w:r>
      <w:r w:rsidRPr="00033E65">
        <w:rPr>
          <w:color w:val="000000"/>
          <w:szCs w:val="22"/>
        </w:rPr>
        <w:tab/>
      </w:r>
    </w:p>
    <w:p w14:paraId="2238330F" w14:textId="77777777" w:rsidR="00AE237A" w:rsidRPr="00033E65" w:rsidRDefault="00AE237A">
      <w:pPr>
        <w:numPr>
          <w:ilvl w:val="0"/>
          <w:numId w:val="27"/>
        </w:numPr>
        <w:spacing w:line="235" w:lineRule="auto"/>
        <w:ind w:left="851" w:right="260" w:hanging="358"/>
        <w:rPr>
          <w:color w:val="000000"/>
        </w:rPr>
      </w:pPr>
      <w:r w:rsidRPr="00033E65">
        <w:rPr>
          <w:color w:val="000000"/>
          <w:szCs w:val="22"/>
        </w:rPr>
        <w:t>Una de ellas es atendida por la plaza de Defensor Público Agrario o Defensora Pública Agraria destacada en la oficina de la Defensa Pública de San Carlos.</w:t>
      </w:r>
    </w:p>
    <w:p w14:paraId="610B9306" w14:textId="77777777" w:rsidR="00AE237A" w:rsidRPr="00033E65" w:rsidRDefault="00AE237A">
      <w:pPr>
        <w:numPr>
          <w:ilvl w:val="0"/>
          <w:numId w:val="27"/>
        </w:numPr>
        <w:spacing w:line="235" w:lineRule="auto"/>
        <w:ind w:left="851" w:right="260" w:hanging="358"/>
        <w:rPr>
          <w:color w:val="000000"/>
        </w:rPr>
      </w:pPr>
      <w:r w:rsidRPr="00033E65">
        <w:rPr>
          <w:color w:val="000000"/>
          <w:szCs w:val="22"/>
        </w:rPr>
        <w:t>Otra es atendida por la plaza de Defensor Público Agrario o Defensora Pública Agraria destacada en la oficina regional de la Defensa Pública de Upala.</w:t>
      </w:r>
    </w:p>
    <w:p w14:paraId="6CBAC4A4" w14:textId="19CDE827" w:rsidR="00A8611A" w:rsidRPr="005E63FE" w:rsidRDefault="00AE237A" w:rsidP="005E63FE">
      <w:pPr>
        <w:numPr>
          <w:ilvl w:val="0"/>
          <w:numId w:val="27"/>
        </w:numPr>
        <w:spacing w:line="235" w:lineRule="auto"/>
        <w:ind w:left="851" w:right="260" w:hanging="358"/>
        <w:rPr>
          <w:color w:val="000000"/>
        </w:rPr>
      </w:pPr>
      <w:r w:rsidRPr="00033E65">
        <w:rPr>
          <w:color w:val="000000"/>
          <w:szCs w:val="22"/>
        </w:rPr>
        <w:t>Las otras personas usuarias son atendidas por alguna o algunas de las otras plazas de Defensor Público Agrario o Defensora Pública Agraria destacadas en otras oficinas regionales de la Defensa Pública (Alajuela, San Ramón) o por la plaza de Coordinación, según lo disponga con criterio técnico el Defensor Público Agrario Coordinador de la Unidad de Defensa Agraria.</w:t>
      </w:r>
    </w:p>
    <w:p w14:paraId="2E5EE242" w14:textId="52528922" w:rsidR="005046C5" w:rsidRPr="00033E65" w:rsidRDefault="000D6CD3" w:rsidP="00951D3E">
      <w:pPr>
        <w:pStyle w:val="Ttulo3"/>
      </w:pPr>
      <w:bookmarkStart w:id="130" w:name="_Toc132639512"/>
      <w:r w:rsidRPr="00033E65">
        <w:t xml:space="preserve">3.2.7 </w:t>
      </w:r>
      <w:r w:rsidR="005046C5" w:rsidRPr="00033E65">
        <w:t>Juzgado Agrario del I Circuito Judicial de la Zona Atlántica (Limón)</w:t>
      </w:r>
      <w:bookmarkEnd w:id="129"/>
      <w:bookmarkEnd w:id="130"/>
    </w:p>
    <w:p w14:paraId="728616BC" w14:textId="77777777" w:rsidR="00C56958" w:rsidRPr="00033E65" w:rsidRDefault="00C56958" w:rsidP="00C56958">
      <w:pPr>
        <w:rPr>
          <w:color w:val="000000"/>
        </w:rPr>
      </w:pPr>
      <w:bookmarkStart w:id="131" w:name="_Toc37670458"/>
      <w:r w:rsidRPr="00033E65">
        <w:rPr>
          <w:color w:val="000000"/>
          <w:szCs w:val="22"/>
        </w:rPr>
        <w:t>La atención de las personas usuarias cuyos casos se tramitan en el Juzgado Agrario de Limón la realizan las dos plazas de Defensor Público Agrario o Defensora Pública Agraria destacadas en la oficina regional de la Defensa Pública de Limón, atendiendo ambas también a las personas usuarias que tengan interés contrapuesto, la segunda plaza de Limón.</w:t>
      </w:r>
    </w:p>
    <w:p w14:paraId="1D231FB6" w14:textId="77777777" w:rsidR="00C56958" w:rsidRPr="00033E65" w:rsidRDefault="00C56958" w:rsidP="00C56958">
      <w:pPr>
        <w:rPr>
          <w:color w:val="000000"/>
        </w:rPr>
      </w:pPr>
      <w:r w:rsidRPr="00033E65">
        <w:rPr>
          <w:color w:val="000000"/>
          <w:szCs w:val="22"/>
        </w:rPr>
        <w:lastRenderedPageBreak/>
        <w:t>En caso de que sean más de dos personas usuarias (actora, demanda y terceras interesadas) las que intervengan en un proceso agrario tramitado en el Juzgado Agrario de Limón, se procede de la siguiente forma:</w:t>
      </w:r>
    </w:p>
    <w:p w14:paraId="678454DE" w14:textId="77777777" w:rsidR="00C56958" w:rsidRPr="00033E65" w:rsidRDefault="00C56958">
      <w:pPr>
        <w:pStyle w:val="Prrafodelista"/>
        <w:numPr>
          <w:ilvl w:val="0"/>
          <w:numId w:val="28"/>
        </w:numPr>
        <w:suppressAutoHyphens/>
        <w:spacing w:line="235" w:lineRule="auto"/>
        <w:ind w:right="260"/>
        <w:rPr>
          <w:color w:val="000000"/>
        </w:rPr>
      </w:pPr>
      <w:r w:rsidRPr="00033E65">
        <w:rPr>
          <w:color w:val="000000"/>
          <w:szCs w:val="22"/>
        </w:rPr>
        <w:t xml:space="preserve">Una de ellas es atendida por la plaza de Defensor Público Agrario o Defensora Pública Agraria destacada en la oficina de la Defensa Pública de Limón </w:t>
      </w:r>
    </w:p>
    <w:p w14:paraId="5AB8BAFD" w14:textId="77777777" w:rsidR="00C56958" w:rsidRPr="00033E65" w:rsidRDefault="00C56958">
      <w:pPr>
        <w:numPr>
          <w:ilvl w:val="0"/>
          <w:numId w:val="28"/>
        </w:numPr>
        <w:suppressAutoHyphens/>
        <w:spacing w:line="235" w:lineRule="auto"/>
        <w:ind w:right="260"/>
        <w:rPr>
          <w:color w:val="000000"/>
        </w:rPr>
      </w:pPr>
      <w:r w:rsidRPr="00033E65">
        <w:rPr>
          <w:color w:val="000000"/>
          <w:szCs w:val="22"/>
        </w:rPr>
        <w:t>Otra es atendida por la segunda plaza de Defensor Público Agrario o Defensora Pública Agraria destacada en la oficina regional de la Defensa Pública de Limón.</w:t>
      </w:r>
    </w:p>
    <w:p w14:paraId="7BEA5CCA" w14:textId="77777777" w:rsidR="00C56958" w:rsidRPr="00033E65" w:rsidRDefault="00C56958">
      <w:pPr>
        <w:numPr>
          <w:ilvl w:val="0"/>
          <w:numId w:val="28"/>
        </w:numPr>
        <w:suppressAutoHyphens/>
        <w:spacing w:line="235" w:lineRule="auto"/>
        <w:ind w:right="260"/>
        <w:rPr>
          <w:color w:val="000000"/>
        </w:rPr>
      </w:pPr>
      <w:r w:rsidRPr="00033E65">
        <w:rPr>
          <w:color w:val="000000"/>
          <w:szCs w:val="22"/>
        </w:rPr>
        <w:t>Las otras personas usuarias son atendidas por alguna o algunas de las otras plazas de Defensor Público Agrario o Defensora Pública Agraria destacadas en otras oficinas regionales de la Defensa Pública (Guápiles, Turrialba) o por la plaza de Coordinación, según lo disponga con criterio técnico el Defensor Público Agrario Coordinador de la Unidad de Defensa Agraria.</w:t>
      </w:r>
    </w:p>
    <w:p w14:paraId="18589C27" w14:textId="0B4FED0C" w:rsidR="00E239EF" w:rsidRPr="005E63FE" w:rsidRDefault="00C56958" w:rsidP="00C56958">
      <w:pPr>
        <w:spacing w:line="235" w:lineRule="auto"/>
        <w:ind w:right="260"/>
        <w:rPr>
          <w:color w:val="000000"/>
          <w:szCs w:val="22"/>
        </w:rPr>
      </w:pPr>
      <w:r w:rsidRPr="00033E65">
        <w:rPr>
          <w:color w:val="000000"/>
          <w:szCs w:val="22"/>
        </w:rPr>
        <w:t xml:space="preserve">En caso de que una de las personas usuarias sea indígena, ésta será atendida por la plaza de Defensor Público Agrario o Defensora Pública Agraria de Limón, si la contraparte requiere servicio, ésta será atendida por la segunda plaza de Defensor Público Agrario o Defensora Pública Agraria de Limón; y en caso de que sean más de dos personas usuarias y tengan interés contrapuestos, será atendida por las plazas de Defensora o Defensora Público de Turrialba o San José. La plaza encargada de representar las asociaciones indígenas de la zona es la plaza de Guápiles. </w:t>
      </w:r>
    </w:p>
    <w:p w14:paraId="5071DB06" w14:textId="7B4851E0" w:rsidR="005046C5" w:rsidRPr="00033E65" w:rsidRDefault="000D6CD3" w:rsidP="00951D3E">
      <w:pPr>
        <w:pStyle w:val="Ttulo3"/>
      </w:pPr>
      <w:bookmarkStart w:id="132" w:name="_Toc132639513"/>
      <w:r w:rsidRPr="00033E65">
        <w:t xml:space="preserve">3.2.8 </w:t>
      </w:r>
      <w:r w:rsidR="005046C5" w:rsidRPr="00033E65">
        <w:t>Juzgado Agrario del II Circuito Judicial de la Zona Atlántica (Guápiles)</w:t>
      </w:r>
      <w:bookmarkEnd w:id="131"/>
      <w:bookmarkEnd w:id="132"/>
      <w:r w:rsidR="005046C5" w:rsidRPr="00033E65">
        <w:t xml:space="preserve"> </w:t>
      </w:r>
    </w:p>
    <w:p w14:paraId="1F3C0AFD" w14:textId="77777777" w:rsidR="001D0F5D" w:rsidRPr="00033E65" w:rsidRDefault="001D0F5D" w:rsidP="001D0F5D">
      <w:pPr>
        <w:ind w:right="260"/>
        <w:rPr>
          <w:color w:val="000000"/>
        </w:rPr>
      </w:pPr>
      <w:bookmarkStart w:id="133" w:name="_Toc37670459"/>
      <w:r w:rsidRPr="00033E65">
        <w:rPr>
          <w:color w:val="000000"/>
          <w:szCs w:val="22"/>
        </w:rPr>
        <w:t>La atención de las personas usuarias cuyos casos se tramitan en el Juzgado Agrario de Guápiles la realiza la plaza de Defensor Público Agrario o Defensora Pública Agraria destacada en la oficina regional de la Defensa Pública de Guápiles. En caso de que una persona usuaria contraparte requiera de los servicios de la Defensa Pública, aquélla es atendida por recargo por la plaza de Defensor Público Agrario o Defensora Pública Agraria destacada en la oficina regional de la Defensa Pública de Turrialba.</w:t>
      </w:r>
    </w:p>
    <w:p w14:paraId="5D7E593C" w14:textId="77777777" w:rsidR="001D0F5D" w:rsidRPr="00033E65" w:rsidRDefault="001D0F5D" w:rsidP="001D0F5D">
      <w:pPr>
        <w:ind w:right="260"/>
        <w:rPr>
          <w:color w:val="000000"/>
        </w:rPr>
      </w:pPr>
      <w:r w:rsidRPr="00033E65">
        <w:rPr>
          <w:color w:val="000000"/>
          <w:szCs w:val="22"/>
        </w:rPr>
        <w:t>En caso de que sean más de dos personas usuarias (actora, demanda y terceras interesadas) las que intervengan en un proceso agrario tramitado en el Juzgado Agrario de Guápiles, se procede de la siguiente forma:</w:t>
      </w:r>
    </w:p>
    <w:p w14:paraId="53323E05" w14:textId="77777777" w:rsidR="001D0F5D" w:rsidRPr="00033E65" w:rsidRDefault="001D0F5D">
      <w:pPr>
        <w:pStyle w:val="Prrafodelista"/>
        <w:numPr>
          <w:ilvl w:val="0"/>
          <w:numId w:val="29"/>
        </w:numPr>
        <w:suppressAutoHyphens/>
        <w:ind w:left="714" w:right="261" w:hanging="357"/>
        <w:contextualSpacing w:val="0"/>
        <w:rPr>
          <w:color w:val="000000"/>
        </w:rPr>
      </w:pPr>
      <w:r w:rsidRPr="00033E65">
        <w:rPr>
          <w:color w:val="000000"/>
          <w:szCs w:val="22"/>
        </w:rPr>
        <w:t>Una de ellas es atendida por la plaza de Defensor Público Agrario o Defensora Pública Agraria destacada en la oficina de la Defensa Pública de Guápiles.</w:t>
      </w:r>
    </w:p>
    <w:p w14:paraId="49821CE2" w14:textId="77777777" w:rsidR="001D0F5D" w:rsidRPr="00033E65" w:rsidRDefault="001D0F5D">
      <w:pPr>
        <w:pStyle w:val="Prrafodelista"/>
        <w:numPr>
          <w:ilvl w:val="0"/>
          <w:numId w:val="29"/>
        </w:numPr>
        <w:suppressAutoHyphens/>
        <w:ind w:left="714" w:right="261" w:hanging="357"/>
        <w:contextualSpacing w:val="0"/>
        <w:rPr>
          <w:color w:val="000000"/>
        </w:rPr>
      </w:pPr>
      <w:r w:rsidRPr="00033E65">
        <w:rPr>
          <w:color w:val="000000"/>
          <w:szCs w:val="22"/>
        </w:rPr>
        <w:t>Otra es atendida por la plaza de Defensor Público Agrario o Defensora Pública Agraria destacada en la oficina regional de la Defensa Pública de Turrialba.</w:t>
      </w:r>
    </w:p>
    <w:p w14:paraId="1F9AE67E" w14:textId="77777777" w:rsidR="001D0F5D" w:rsidRPr="00033E65" w:rsidRDefault="001D0F5D">
      <w:pPr>
        <w:pStyle w:val="Prrafodelista"/>
        <w:numPr>
          <w:ilvl w:val="0"/>
          <w:numId w:val="29"/>
        </w:numPr>
        <w:tabs>
          <w:tab w:val="left" w:pos="980"/>
        </w:tabs>
        <w:suppressAutoHyphens/>
        <w:ind w:left="714" w:right="261" w:hanging="357"/>
        <w:contextualSpacing w:val="0"/>
        <w:rPr>
          <w:color w:val="000000"/>
        </w:rPr>
      </w:pPr>
      <w:r w:rsidRPr="00033E65">
        <w:rPr>
          <w:color w:val="000000"/>
          <w:szCs w:val="22"/>
        </w:rPr>
        <w:t>Las otras personas usuarias son atendidas por alguna o algunas de las otras plazas de Defensor Público Agrario o Defensora Pública Agraria destacadas en otras oficinas regionales de la Defensa Pública (Limón, San José) o por la plaza de Coordinación, según lo disponga con criterio técnico el Defensor Público Agrario Coordinador de la Unidad de Defensa Agraria.</w:t>
      </w:r>
    </w:p>
    <w:p w14:paraId="26620E19" w14:textId="77777777" w:rsidR="001D0F5D" w:rsidRPr="00033E65" w:rsidRDefault="001D0F5D" w:rsidP="001D0F5D">
      <w:pPr>
        <w:pStyle w:val="Prrafodelista"/>
        <w:tabs>
          <w:tab w:val="left" w:pos="980"/>
        </w:tabs>
        <w:suppressAutoHyphens/>
        <w:ind w:left="714" w:right="261"/>
        <w:contextualSpacing w:val="0"/>
        <w:rPr>
          <w:color w:val="000000"/>
        </w:rPr>
      </w:pPr>
    </w:p>
    <w:p w14:paraId="3E893CF7" w14:textId="50B5D378" w:rsidR="005046C5" w:rsidRPr="00033E65" w:rsidRDefault="000D6CD3" w:rsidP="00951D3E">
      <w:pPr>
        <w:pStyle w:val="Ttulo3"/>
      </w:pPr>
      <w:bookmarkStart w:id="134" w:name="_Toc132639514"/>
      <w:r w:rsidRPr="00033E65">
        <w:lastRenderedPageBreak/>
        <w:t xml:space="preserve">3.2.9 </w:t>
      </w:r>
      <w:r w:rsidR="005046C5" w:rsidRPr="00033E65">
        <w:t>Juzgado Civil, Trabajo y Agrario de Turrialba</w:t>
      </w:r>
      <w:bookmarkEnd w:id="133"/>
      <w:bookmarkEnd w:id="134"/>
      <w:r w:rsidR="005046C5" w:rsidRPr="00033E65">
        <w:t xml:space="preserve"> </w:t>
      </w:r>
    </w:p>
    <w:p w14:paraId="072EFAD0" w14:textId="31DF7356" w:rsidR="00641BBA" w:rsidRPr="00033E65" w:rsidRDefault="00641BBA" w:rsidP="00641BBA">
      <w:pPr>
        <w:spacing w:line="230" w:lineRule="auto"/>
        <w:ind w:right="260"/>
        <w:rPr>
          <w:color w:val="000000"/>
        </w:rPr>
      </w:pPr>
      <w:bookmarkStart w:id="135" w:name="_Toc37670460"/>
      <w:r w:rsidRPr="00033E65">
        <w:rPr>
          <w:color w:val="000000"/>
          <w:szCs w:val="22"/>
        </w:rPr>
        <w:t>La atención de las personas usuarias cuyos casos se tramitan en el Juzgado Agrario de Turrialba la realiza la plaza de Defensor Público Agrario o Defensora Pública Agraria destacada en la oficina regional de la Defensa Pública de Turrialba. En caso de que una persona usuaria contraparte requiera de los servicios de la Defensa Pública, aquella es atendida por recargo por la plaza de Defensor Público Agrario o Defensora Pública Agraria destacada en la oficina regional de la Defensa Pública de Cartago.</w:t>
      </w:r>
    </w:p>
    <w:p w14:paraId="3058B828" w14:textId="77777777" w:rsidR="00641BBA" w:rsidRPr="00033E65" w:rsidRDefault="00641BBA" w:rsidP="00641BBA">
      <w:pPr>
        <w:spacing w:line="235" w:lineRule="auto"/>
        <w:ind w:right="261"/>
        <w:rPr>
          <w:color w:val="000000"/>
        </w:rPr>
      </w:pPr>
      <w:r w:rsidRPr="00033E65">
        <w:rPr>
          <w:color w:val="000000"/>
          <w:szCs w:val="22"/>
        </w:rPr>
        <w:t>En caso de que sean más de dos personas usuarias (actora, demanda y terceras interesadas) las que intervengan en un proceso agrario tramitado en el Juzgado Agrario de Turrialba, se procede de la siguiente forma:</w:t>
      </w:r>
    </w:p>
    <w:p w14:paraId="569DB205" w14:textId="77777777" w:rsidR="00641BBA" w:rsidRPr="00033E65" w:rsidRDefault="00641BBA">
      <w:pPr>
        <w:pStyle w:val="Prrafodelista"/>
        <w:numPr>
          <w:ilvl w:val="0"/>
          <w:numId w:val="30"/>
        </w:numPr>
        <w:tabs>
          <w:tab w:val="left" w:pos="980"/>
        </w:tabs>
        <w:suppressAutoHyphens/>
        <w:spacing w:line="235" w:lineRule="auto"/>
        <w:ind w:left="714" w:right="261" w:hanging="357"/>
        <w:contextualSpacing w:val="0"/>
        <w:rPr>
          <w:color w:val="000000"/>
        </w:rPr>
      </w:pPr>
      <w:r w:rsidRPr="00033E65">
        <w:rPr>
          <w:color w:val="000000"/>
          <w:szCs w:val="22"/>
        </w:rPr>
        <w:t>Una de ellas es atendida por la plaza de Defensor Público Agrario o Defensora Pública Agraria destacada en la oficina de la Defensa Pública de Turrialba;</w:t>
      </w:r>
    </w:p>
    <w:p w14:paraId="7AC33B56" w14:textId="77777777" w:rsidR="00641BBA" w:rsidRPr="00033E65" w:rsidRDefault="00641BBA">
      <w:pPr>
        <w:pStyle w:val="Prrafodelista"/>
        <w:numPr>
          <w:ilvl w:val="0"/>
          <w:numId w:val="30"/>
        </w:numPr>
        <w:tabs>
          <w:tab w:val="left" w:pos="980"/>
        </w:tabs>
        <w:suppressAutoHyphens/>
        <w:spacing w:line="235" w:lineRule="auto"/>
        <w:ind w:left="714" w:right="261" w:hanging="357"/>
        <w:contextualSpacing w:val="0"/>
        <w:rPr>
          <w:color w:val="000000"/>
        </w:rPr>
      </w:pPr>
      <w:r w:rsidRPr="00033E65">
        <w:rPr>
          <w:color w:val="000000"/>
          <w:szCs w:val="22"/>
        </w:rPr>
        <w:t>Otra es atendida por la plaza de Defensor Público Agrario o Defensora Pública Agraria destacada en la oficina regional de la Defensa Pública de Cartago;</w:t>
      </w:r>
    </w:p>
    <w:p w14:paraId="2EC8440F" w14:textId="77777777" w:rsidR="00641BBA" w:rsidRPr="00033E65" w:rsidRDefault="00641BBA">
      <w:pPr>
        <w:pStyle w:val="Prrafodelista"/>
        <w:numPr>
          <w:ilvl w:val="0"/>
          <w:numId w:val="30"/>
        </w:numPr>
        <w:tabs>
          <w:tab w:val="left" w:pos="980"/>
        </w:tabs>
        <w:suppressAutoHyphens/>
        <w:spacing w:line="235" w:lineRule="auto"/>
        <w:ind w:left="714" w:right="261" w:hanging="357"/>
        <w:contextualSpacing w:val="0"/>
        <w:rPr>
          <w:color w:val="000000"/>
        </w:rPr>
      </w:pPr>
      <w:r w:rsidRPr="00033E65">
        <w:rPr>
          <w:color w:val="000000"/>
          <w:szCs w:val="22"/>
        </w:rPr>
        <w:t>Las otras personas usuarias son atendidas por alguna o algunas de las otras plazas de Defensor Público Agrario o Defensora Pública Agraria destacadas en otras oficinas regionales de la Defensa Pública (San José, Guápiles) o por la plaza de Coordinación, según lo disponga con criterio técnico el Defensor Público Agrario Coordinador de la Unidad de Defensa Agraria.</w:t>
      </w:r>
    </w:p>
    <w:p w14:paraId="53E7C9FE" w14:textId="77777777" w:rsidR="00641BBA" w:rsidRPr="00033E65" w:rsidRDefault="00641BBA" w:rsidP="00641BBA">
      <w:pPr>
        <w:pStyle w:val="Prrafodelista"/>
        <w:tabs>
          <w:tab w:val="left" w:pos="980"/>
        </w:tabs>
        <w:spacing w:line="235" w:lineRule="auto"/>
        <w:ind w:left="714" w:right="261" w:hanging="357"/>
        <w:contextualSpacing w:val="0"/>
        <w:rPr>
          <w:color w:val="000000"/>
        </w:rPr>
      </w:pPr>
    </w:p>
    <w:p w14:paraId="2F3534D1" w14:textId="1445A6C6" w:rsidR="00641BBA" w:rsidRPr="005E63FE" w:rsidRDefault="00641BBA" w:rsidP="00641BBA">
      <w:pPr>
        <w:tabs>
          <w:tab w:val="left" w:pos="980"/>
        </w:tabs>
        <w:spacing w:line="235" w:lineRule="auto"/>
        <w:ind w:right="260"/>
        <w:rPr>
          <w:color w:val="000000"/>
          <w:szCs w:val="22"/>
        </w:rPr>
      </w:pPr>
      <w:r w:rsidRPr="00033E65">
        <w:rPr>
          <w:color w:val="000000"/>
          <w:szCs w:val="22"/>
        </w:rPr>
        <w:t>En caso de que una de las personas usuarias sea indígena, ésta será atendida por la plaza de Defensor Público Agrario o Defensora Pública Agraria de Turrialba, si la contraparte requiere servicio, ésta será atendida por la plaza de Defensor Público Agrario o Defensora Pública Agraria de Cartago; y en caso de que sean más de dos personas usuarias y tengan interés contrapuestos, será atendida por las plazas de Defensora o Defensora Público de San José. La encargada de la representación de la ADI de la zona es la plaza de Guápiles.</w:t>
      </w:r>
    </w:p>
    <w:p w14:paraId="35BCC2EB" w14:textId="20F4BBB5" w:rsidR="005046C5" w:rsidRPr="00033E65" w:rsidRDefault="000D6CD3" w:rsidP="00951D3E">
      <w:pPr>
        <w:pStyle w:val="Ttulo3"/>
      </w:pPr>
      <w:bookmarkStart w:id="136" w:name="_Toc132639515"/>
      <w:r w:rsidRPr="00033E65">
        <w:t xml:space="preserve">3.2.10 </w:t>
      </w:r>
      <w:r w:rsidR="005046C5" w:rsidRPr="00033E65">
        <w:t>Juzgado Agrario de Cartago</w:t>
      </w:r>
      <w:bookmarkEnd w:id="135"/>
      <w:bookmarkEnd w:id="136"/>
    </w:p>
    <w:p w14:paraId="48FAAB58" w14:textId="77777777" w:rsidR="00460DAB" w:rsidRPr="00033E65" w:rsidRDefault="00460DAB" w:rsidP="00460DAB">
      <w:pPr>
        <w:spacing w:line="230" w:lineRule="auto"/>
        <w:ind w:right="261"/>
        <w:rPr>
          <w:color w:val="000000"/>
        </w:rPr>
      </w:pPr>
      <w:bookmarkStart w:id="137" w:name="_Toc37670461"/>
      <w:r w:rsidRPr="00033E65">
        <w:rPr>
          <w:color w:val="000000"/>
          <w:szCs w:val="22"/>
        </w:rPr>
        <w:t>La atención de las personas usuarias cuyos casos se tramitan en el Juzgado Agrario de Cartago la realiza la plaza de Defensor Público Agrario o Defensora Pública Agraria destacada en la oficina regional de la Defensa Pública de Cartago. En caso de que una persona usuaria contraparte requiera de los servicios de la Defensa Pública, aquélla es atendida por recargo por la plaza de Defensor Público Agrario o Defensora Pública Agraria destacada en la oficina regional de la Defensa Pública de San José.</w:t>
      </w:r>
    </w:p>
    <w:p w14:paraId="538C262F" w14:textId="77777777" w:rsidR="00460DAB" w:rsidRPr="00033E65" w:rsidRDefault="00460DAB" w:rsidP="00460DAB">
      <w:pPr>
        <w:spacing w:line="230" w:lineRule="auto"/>
        <w:ind w:right="261"/>
        <w:rPr>
          <w:color w:val="000000"/>
        </w:rPr>
      </w:pPr>
      <w:r w:rsidRPr="00033E65">
        <w:rPr>
          <w:color w:val="000000"/>
          <w:szCs w:val="22"/>
        </w:rPr>
        <w:t>En caso de que sean más de dos personas usuarias (actora, demanda y terceras interesadas) las que intervengan en un proceso agrario tramitado en el Juzgado Agrario de Cartago, se procede de la siguiente forma:</w:t>
      </w:r>
    </w:p>
    <w:p w14:paraId="42A1C366" w14:textId="77777777" w:rsidR="00460DAB" w:rsidRPr="00033E65" w:rsidRDefault="00460DAB">
      <w:pPr>
        <w:pStyle w:val="Prrafodelista"/>
        <w:numPr>
          <w:ilvl w:val="0"/>
          <w:numId w:val="31"/>
        </w:numPr>
        <w:suppressAutoHyphens/>
        <w:spacing w:line="230" w:lineRule="auto"/>
        <w:ind w:left="714" w:right="261" w:hanging="357"/>
        <w:contextualSpacing w:val="0"/>
        <w:rPr>
          <w:color w:val="000000"/>
        </w:rPr>
      </w:pPr>
      <w:r w:rsidRPr="00033E65">
        <w:rPr>
          <w:color w:val="000000"/>
          <w:szCs w:val="22"/>
        </w:rPr>
        <w:t>Una de ellas es atendida por la plaza de Defensor Público Agrario o Defensora Pública Agraria destacada en la oficina de la Defensa Pública de Cartago.</w:t>
      </w:r>
    </w:p>
    <w:p w14:paraId="52D1F03A" w14:textId="77777777" w:rsidR="00460DAB" w:rsidRPr="00033E65" w:rsidRDefault="00460DAB">
      <w:pPr>
        <w:pStyle w:val="Prrafodelista"/>
        <w:numPr>
          <w:ilvl w:val="0"/>
          <w:numId w:val="31"/>
        </w:numPr>
        <w:tabs>
          <w:tab w:val="left" w:pos="980"/>
        </w:tabs>
        <w:suppressAutoHyphens/>
        <w:spacing w:line="235" w:lineRule="auto"/>
        <w:ind w:left="714" w:right="261" w:hanging="357"/>
        <w:contextualSpacing w:val="0"/>
        <w:jc w:val="distribute"/>
        <w:rPr>
          <w:color w:val="000000"/>
        </w:rPr>
      </w:pPr>
      <w:r w:rsidRPr="00033E65">
        <w:rPr>
          <w:color w:val="000000"/>
          <w:szCs w:val="22"/>
        </w:rPr>
        <w:lastRenderedPageBreak/>
        <w:t>Otra es atendida por la plaza de Defensor Público Agrario o Defensora Pública Agraria destacada en la oficina regional de la Defensa Pública de San José.</w:t>
      </w:r>
    </w:p>
    <w:p w14:paraId="1695E65F" w14:textId="0132A162" w:rsidR="00460DAB" w:rsidRPr="005E63FE" w:rsidRDefault="00460DAB" w:rsidP="005E63FE">
      <w:pPr>
        <w:pStyle w:val="Prrafodelista"/>
        <w:numPr>
          <w:ilvl w:val="0"/>
          <w:numId w:val="31"/>
        </w:numPr>
        <w:tabs>
          <w:tab w:val="left" w:pos="980"/>
        </w:tabs>
        <w:suppressAutoHyphens/>
        <w:spacing w:line="235" w:lineRule="auto"/>
        <w:ind w:left="714" w:right="261" w:hanging="357"/>
        <w:contextualSpacing w:val="0"/>
        <w:rPr>
          <w:color w:val="000000"/>
        </w:rPr>
      </w:pPr>
      <w:r w:rsidRPr="00033E65">
        <w:rPr>
          <w:color w:val="000000"/>
          <w:szCs w:val="22"/>
        </w:rPr>
        <w:t>Las otras personas usuarias son atendidas por alguna o algunas de las otras plazas de Defensor Público Agrario o Defensora Pública Agraria destacadas en otras oficinas regionales de la Defensa Pública (Turrialba, Pérez Zeledón) o por la plaza de Coordinación, según lo disponga con criterio técnico el Defensor Público Agrario Coordinador de la Unidad de Defensa Agraria.</w:t>
      </w:r>
    </w:p>
    <w:p w14:paraId="4A6E720A" w14:textId="7E830D04" w:rsidR="005046C5" w:rsidRPr="00033E65" w:rsidRDefault="000D6CD3" w:rsidP="00951D3E">
      <w:pPr>
        <w:pStyle w:val="Ttulo3"/>
      </w:pPr>
      <w:bookmarkStart w:id="138" w:name="_Toc132639516"/>
      <w:r w:rsidRPr="00033E65">
        <w:t xml:space="preserve">3.2.11 </w:t>
      </w:r>
      <w:r w:rsidR="005046C5" w:rsidRPr="00033E65">
        <w:t>Juzgado Agrario del I Circuito Judicial de Alajuela</w:t>
      </w:r>
      <w:bookmarkEnd w:id="137"/>
      <w:bookmarkEnd w:id="138"/>
    </w:p>
    <w:p w14:paraId="0E572A94" w14:textId="77777777" w:rsidR="00EB2CBF" w:rsidRPr="00033E65" w:rsidRDefault="00EB2CBF" w:rsidP="00EB2CBF">
      <w:pPr>
        <w:ind w:right="261"/>
        <w:rPr>
          <w:color w:val="000000"/>
        </w:rPr>
      </w:pPr>
      <w:bookmarkStart w:id="139" w:name="_Toc37670462"/>
      <w:r w:rsidRPr="00033E65">
        <w:rPr>
          <w:color w:val="000000"/>
          <w:szCs w:val="22"/>
        </w:rPr>
        <w:t>La atención de las personas usuarias cuyos casos se tramitan en el Juzgado Agrario de Alajuela la realiza la plaza de Defensor Público Agrario o Defensora Pública Agraria destacada en la oficina regional de la Defensa Pública de Alajuela. En caso de que una persona usuaria contraparte requiera de los servicios de la Defensa Pública, aquélla es atendida por recargo por la plaza de Defensor Público Agrario o Defensora Pública Agraria destacada en la oficina regional de la Defensa Pública de San José.</w:t>
      </w:r>
    </w:p>
    <w:p w14:paraId="410922F1" w14:textId="77777777" w:rsidR="00EB2CBF" w:rsidRPr="00033E65" w:rsidRDefault="00EB2CBF" w:rsidP="00EB2CBF">
      <w:pPr>
        <w:ind w:right="261"/>
        <w:rPr>
          <w:color w:val="000000"/>
        </w:rPr>
      </w:pPr>
      <w:r w:rsidRPr="00033E65">
        <w:rPr>
          <w:color w:val="000000"/>
          <w:szCs w:val="22"/>
        </w:rPr>
        <w:t>En caso de que sean más de dos personas usuarias (actora, demanda y terceras interesadas) las que intervengan en un proceso agrario tramitado en el Juzgado Agrario de Alajuela, se procede de la siguiente forma:</w:t>
      </w:r>
    </w:p>
    <w:p w14:paraId="168E53B7" w14:textId="77777777" w:rsidR="00EB2CBF" w:rsidRPr="00033E65" w:rsidRDefault="00EB2CBF">
      <w:pPr>
        <w:pStyle w:val="Prrafodelista"/>
        <w:numPr>
          <w:ilvl w:val="0"/>
          <w:numId w:val="32"/>
        </w:numPr>
        <w:tabs>
          <w:tab w:val="left" w:pos="980"/>
        </w:tabs>
        <w:suppressAutoHyphens/>
        <w:ind w:left="714" w:right="261" w:hanging="357"/>
        <w:contextualSpacing w:val="0"/>
        <w:rPr>
          <w:color w:val="000000"/>
        </w:rPr>
      </w:pPr>
      <w:r w:rsidRPr="00033E65">
        <w:rPr>
          <w:color w:val="000000"/>
          <w:szCs w:val="22"/>
        </w:rPr>
        <w:t>Una de ellas es atendida por la plaza de Defensor Público Agrario o Defensora Pública Agraria destacada en la oficina de la Defensa Pública de Alajuela;</w:t>
      </w:r>
    </w:p>
    <w:p w14:paraId="6D2E56FD" w14:textId="77777777" w:rsidR="00EB2CBF" w:rsidRPr="00033E65" w:rsidRDefault="00EB2CBF">
      <w:pPr>
        <w:pStyle w:val="Prrafodelista"/>
        <w:numPr>
          <w:ilvl w:val="0"/>
          <w:numId w:val="32"/>
        </w:numPr>
        <w:tabs>
          <w:tab w:val="left" w:pos="980"/>
        </w:tabs>
        <w:suppressAutoHyphens/>
        <w:ind w:left="714" w:right="261" w:hanging="357"/>
        <w:contextualSpacing w:val="0"/>
        <w:rPr>
          <w:color w:val="000000"/>
        </w:rPr>
      </w:pPr>
      <w:r w:rsidRPr="00033E65">
        <w:rPr>
          <w:color w:val="000000"/>
          <w:szCs w:val="22"/>
        </w:rPr>
        <w:t>Otra es atendida por la plaza de Defensor Público Agrario o Defensora Pública Agraria destacada en la oficina regional de la Defensa Pública de San José;</w:t>
      </w:r>
    </w:p>
    <w:p w14:paraId="4B44D36B" w14:textId="7443258C" w:rsidR="00EB2CBF" w:rsidRPr="005E63FE" w:rsidRDefault="00EB2CBF" w:rsidP="005E63FE">
      <w:pPr>
        <w:pStyle w:val="Prrafodelista"/>
        <w:numPr>
          <w:ilvl w:val="0"/>
          <w:numId w:val="32"/>
        </w:numPr>
        <w:tabs>
          <w:tab w:val="left" w:pos="980"/>
        </w:tabs>
        <w:suppressAutoHyphens/>
        <w:ind w:left="714" w:right="261" w:hanging="357"/>
        <w:contextualSpacing w:val="0"/>
        <w:rPr>
          <w:color w:val="000000"/>
        </w:rPr>
      </w:pPr>
      <w:r w:rsidRPr="00033E65">
        <w:rPr>
          <w:color w:val="000000"/>
          <w:szCs w:val="22"/>
        </w:rPr>
        <w:t>Las otras personas usuarias son atendidas por alguna o algunas de las otras plazas de Defensor Público Agrario o Defensora Pública Agraria destacadas en otras oficinas regionales de la Defensa Pública (San Ramón, Puntarenas) o por la plaza de Coordinación, según lo disponga con criterio técnico el Defensor Público Agrario Coordinador de la Unidad de Defensa Agraria.</w:t>
      </w:r>
    </w:p>
    <w:p w14:paraId="2E80B13E" w14:textId="28122B54" w:rsidR="005046C5" w:rsidRPr="00033E65" w:rsidRDefault="000D6CD3" w:rsidP="00951D3E">
      <w:pPr>
        <w:pStyle w:val="Ttulo3"/>
      </w:pPr>
      <w:bookmarkStart w:id="140" w:name="_Toc132639517"/>
      <w:r w:rsidRPr="00033E65">
        <w:t xml:space="preserve">3.2.12 </w:t>
      </w:r>
      <w:r w:rsidR="005046C5" w:rsidRPr="00033E65">
        <w:t>Juzgado Agrario del II Circuito Judicial de San José</w:t>
      </w:r>
      <w:bookmarkEnd w:id="139"/>
      <w:bookmarkEnd w:id="140"/>
      <w:r w:rsidR="005046C5" w:rsidRPr="00033E65">
        <w:t xml:space="preserve"> </w:t>
      </w:r>
    </w:p>
    <w:p w14:paraId="34C78E1C" w14:textId="79BD1890" w:rsidR="00805B9A" w:rsidRPr="00033E65" w:rsidRDefault="00805B9A" w:rsidP="00805B9A">
      <w:pPr>
        <w:spacing w:line="230" w:lineRule="auto"/>
        <w:ind w:right="261"/>
        <w:rPr>
          <w:color w:val="000000"/>
        </w:rPr>
      </w:pPr>
      <w:r w:rsidRPr="00033E65">
        <w:rPr>
          <w:color w:val="000000"/>
          <w:szCs w:val="22"/>
        </w:rPr>
        <w:t xml:space="preserve">La atención de las personas usuarias cuyos casos se tramitan en el Juzgado Agrario del Segundo Circuito Judicial de San José la realiza la plaza de Defensor Público Agrario o Defensora Pública Agraria destacada en la oficina regional de la Defensa Pública del Primer Circuito Judicial de San José. En caso de que una persona usuaria contraparte requiera de los servicios de la Defensa Pública, aquella es atendida por recargo por la plaza de Defensor Público Agrario o Defensora Pública Agraria destacada en la oficina regional de la Defensa Pública de Alajuela. </w:t>
      </w:r>
    </w:p>
    <w:p w14:paraId="66A38A55" w14:textId="77777777" w:rsidR="00805B9A" w:rsidRPr="00033E65" w:rsidRDefault="00805B9A" w:rsidP="00805B9A">
      <w:pPr>
        <w:spacing w:line="230" w:lineRule="auto"/>
        <w:ind w:right="261"/>
        <w:rPr>
          <w:color w:val="000000"/>
        </w:rPr>
      </w:pPr>
      <w:r w:rsidRPr="00033E65">
        <w:rPr>
          <w:color w:val="000000"/>
          <w:szCs w:val="22"/>
        </w:rPr>
        <w:t>En caso de que sean más de dos personas usuarias (actora, demanda y terceras interesadas) las que intervengan en un proceso agrario tramitado en el Juzgado Agrario del Segundo Circuito Judicial de San José, se procede de la siguiente forma:</w:t>
      </w:r>
    </w:p>
    <w:p w14:paraId="2AFEC7A1" w14:textId="77777777" w:rsidR="00805B9A" w:rsidRPr="00033E65" w:rsidRDefault="00805B9A">
      <w:pPr>
        <w:pStyle w:val="Prrafodelista"/>
        <w:numPr>
          <w:ilvl w:val="0"/>
          <w:numId w:val="33"/>
        </w:numPr>
        <w:tabs>
          <w:tab w:val="left" w:pos="980"/>
        </w:tabs>
        <w:suppressAutoHyphens/>
        <w:ind w:right="261"/>
        <w:contextualSpacing w:val="0"/>
        <w:rPr>
          <w:color w:val="000000"/>
        </w:rPr>
      </w:pPr>
      <w:r w:rsidRPr="00033E65">
        <w:rPr>
          <w:color w:val="000000"/>
          <w:szCs w:val="22"/>
        </w:rPr>
        <w:lastRenderedPageBreak/>
        <w:t>Una de ellas es atendida por la plaza de Defensor Público Agrario o Defensora Pública Agraria destacada en la oficina de la Defensa Pública del Primer Circuito Judicial de San José.</w:t>
      </w:r>
    </w:p>
    <w:p w14:paraId="0B3D42C9" w14:textId="77777777" w:rsidR="00805B9A" w:rsidRPr="00033E65" w:rsidRDefault="00805B9A">
      <w:pPr>
        <w:pStyle w:val="Prrafodelista"/>
        <w:numPr>
          <w:ilvl w:val="0"/>
          <w:numId w:val="33"/>
        </w:numPr>
        <w:tabs>
          <w:tab w:val="left" w:pos="980"/>
        </w:tabs>
        <w:suppressAutoHyphens/>
        <w:ind w:right="261"/>
        <w:contextualSpacing w:val="0"/>
        <w:rPr>
          <w:color w:val="000000"/>
        </w:rPr>
      </w:pPr>
      <w:r w:rsidRPr="00033E65">
        <w:rPr>
          <w:color w:val="000000"/>
          <w:szCs w:val="22"/>
        </w:rPr>
        <w:t>Otra es atendida por la plaza de Defensor Público Agrario o Defensora Pública Agraria destacada en la oficina regional de la Defensa Pública de Alajuela.</w:t>
      </w:r>
    </w:p>
    <w:p w14:paraId="4837BD96" w14:textId="77777777" w:rsidR="00805B9A" w:rsidRPr="00033E65" w:rsidRDefault="00805B9A">
      <w:pPr>
        <w:pStyle w:val="Prrafodelista"/>
        <w:numPr>
          <w:ilvl w:val="0"/>
          <w:numId w:val="33"/>
        </w:numPr>
        <w:tabs>
          <w:tab w:val="left" w:pos="980"/>
        </w:tabs>
        <w:suppressAutoHyphens/>
        <w:ind w:right="261"/>
        <w:contextualSpacing w:val="0"/>
        <w:rPr>
          <w:color w:val="000000"/>
        </w:rPr>
      </w:pPr>
      <w:r w:rsidRPr="00033E65">
        <w:rPr>
          <w:color w:val="000000"/>
          <w:szCs w:val="22"/>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14:paraId="2E0945CD" w14:textId="4F045043" w:rsidR="00805B9A" w:rsidRPr="005E63FE" w:rsidRDefault="00805B9A" w:rsidP="005E63FE">
      <w:pPr>
        <w:tabs>
          <w:tab w:val="left" w:pos="980"/>
        </w:tabs>
        <w:spacing w:line="235" w:lineRule="auto"/>
        <w:ind w:right="260"/>
        <w:rPr>
          <w:color w:val="000000"/>
        </w:rPr>
      </w:pPr>
      <w:r w:rsidRPr="00033E65">
        <w:rPr>
          <w:color w:val="000000"/>
          <w:szCs w:val="22"/>
        </w:rPr>
        <w:t>En caso de que una de las personas usuarias sea indígena, ésta será atendida por la plaza de Defensor Público Agrario o Defensora Pública Agraria de San José, si la contraparte requiere servicio, ésta será atendida por la plaza de Defensor Público Agrario o Defensora Pública Agraria de Alajuela; y en caso de que sean más de dos personas usuarias y tengan interés contrapuestos, será atendida por las plazas de Defensora o Defensora Público de San Ramón. La encargada de la representación de las ADI de Quitirrisí y Zapatón es la plaza de Cartago.</w:t>
      </w:r>
    </w:p>
    <w:p w14:paraId="342C9247" w14:textId="7D0349B0" w:rsidR="005046C5" w:rsidRPr="00033E65" w:rsidRDefault="000D6CD3" w:rsidP="00951D3E">
      <w:pPr>
        <w:pStyle w:val="Ttulo3"/>
      </w:pPr>
      <w:bookmarkStart w:id="141" w:name="_Toc37670463"/>
      <w:bookmarkStart w:id="142" w:name="_Toc132639518"/>
      <w:r w:rsidRPr="00033E65">
        <w:t xml:space="preserve">3.2.13 </w:t>
      </w:r>
      <w:r w:rsidR="005046C5" w:rsidRPr="00033E65">
        <w:t>Juzgado Agrario del I Circuito Judicial de la Zona Sur (Pérez Zeledón)</w:t>
      </w:r>
      <w:bookmarkEnd w:id="141"/>
      <w:bookmarkEnd w:id="142"/>
      <w:r w:rsidR="005046C5" w:rsidRPr="00033E65">
        <w:t xml:space="preserve"> </w:t>
      </w:r>
    </w:p>
    <w:p w14:paraId="00D677CA" w14:textId="77777777" w:rsidR="001B569C" w:rsidRPr="00033E65" w:rsidRDefault="001B569C" w:rsidP="001B569C">
      <w:pPr>
        <w:spacing w:line="230" w:lineRule="auto"/>
        <w:ind w:right="261"/>
        <w:rPr>
          <w:color w:val="000000"/>
        </w:rPr>
      </w:pPr>
      <w:bookmarkStart w:id="143" w:name="_Toc37670464"/>
      <w:r w:rsidRPr="00033E65">
        <w:rPr>
          <w:color w:val="000000"/>
          <w:szCs w:val="22"/>
        </w:rPr>
        <w:t>La atención de las personas usuarias cuyos casos se tramitan en el Juzgado Agrario de Pérez Zeledón la realiza la plaza de Defensor Público Agrario o Defensora Pública Agraria destacada en la oficina regional de la Defensa Pública de Pérez Zeledón. En caso de que una persona usuaria contraparte requiera de los servicios de la Defensa Pública, aquella es atendida por recargo por la plaza de Defensor Público Agrario o Defensora Pública Agraria destacada en la oficina regional de la Defensa Pública de Buenos Aires.</w:t>
      </w:r>
    </w:p>
    <w:p w14:paraId="3EBE33DC" w14:textId="77777777" w:rsidR="001B569C" w:rsidRPr="00033E65" w:rsidRDefault="001B569C" w:rsidP="001B569C">
      <w:pPr>
        <w:spacing w:line="230" w:lineRule="auto"/>
        <w:ind w:right="261"/>
        <w:rPr>
          <w:color w:val="000000"/>
        </w:rPr>
      </w:pPr>
      <w:r w:rsidRPr="00033E65">
        <w:rPr>
          <w:color w:val="000000"/>
          <w:szCs w:val="22"/>
        </w:rPr>
        <w:t>En caso de que sean más de dos personas usuarias (actora, demanda y terceras interesadas) las que intervengan en un proceso agrario tramitado en el Juzgado Agrario de Pérez Zeledón, se procede de la siguiente forma:</w:t>
      </w:r>
    </w:p>
    <w:p w14:paraId="21D85099" w14:textId="77777777" w:rsidR="001B569C" w:rsidRPr="00033E65" w:rsidRDefault="001B569C">
      <w:pPr>
        <w:pStyle w:val="Prrafodelista"/>
        <w:numPr>
          <w:ilvl w:val="0"/>
          <w:numId w:val="34"/>
        </w:numPr>
        <w:tabs>
          <w:tab w:val="left" w:pos="980"/>
        </w:tabs>
        <w:suppressAutoHyphens/>
        <w:ind w:left="714" w:right="261" w:hanging="357"/>
        <w:rPr>
          <w:color w:val="000000"/>
        </w:rPr>
      </w:pPr>
      <w:r w:rsidRPr="00033E65">
        <w:rPr>
          <w:color w:val="000000"/>
          <w:szCs w:val="22"/>
        </w:rPr>
        <w:t>Una de ellas es atendida por la plaza de Defensor Público Agrario o Defensora Pública Agraria destacada en la oficina de la Defensa Pública de Pérez Zeledón.</w:t>
      </w:r>
    </w:p>
    <w:p w14:paraId="0298BC14" w14:textId="77777777" w:rsidR="001B569C" w:rsidRPr="00033E65" w:rsidRDefault="001B569C">
      <w:pPr>
        <w:pStyle w:val="Prrafodelista"/>
        <w:numPr>
          <w:ilvl w:val="0"/>
          <w:numId w:val="34"/>
        </w:numPr>
        <w:tabs>
          <w:tab w:val="left" w:pos="980"/>
        </w:tabs>
        <w:suppressAutoHyphens/>
        <w:ind w:left="714" w:right="261" w:hanging="357"/>
        <w:contextualSpacing w:val="0"/>
        <w:rPr>
          <w:color w:val="000000"/>
        </w:rPr>
      </w:pPr>
      <w:r w:rsidRPr="00033E65">
        <w:rPr>
          <w:color w:val="000000"/>
          <w:szCs w:val="22"/>
        </w:rPr>
        <w:t>Otra es atendida por la plaza de Defensor Público Agrario o Defensora Pública Agraria destacada en la oficina regional de la Defensa Pública de Buenos Aires.</w:t>
      </w:r>
    </w:p>
    <w:p w14:paraId="3873EB1C" w14:textId="77777777" w:rsidR="001B569C" w:rsidRPr="00033E65" w:rsidRDefault="001B569C">
      <w:pPr>
        <w:pStyle w:val="Prrafodelista"/>
        <w:numPr>
          <w:ilvl w:val="0"/>
          <w:numId w:val="34"/>
        </w:numPr>
        <w:tabs>
          <w:tab w:val="left" w:pos="980"/>
        </w:tabs>
        <w:suppressAutoHyphens/>
        <w:ind w:left="714" w:right="261" w:hanging="357"/>
        <w:contextualSpacing w:val="0"/>
        <w:rPr>
          <w:color w:val="000000"/>
        </w:rPr>
      </w:pPr>
      <w:r w:rsidRPr="00033E65">
        <w:rPr>
          <w:color w:val="000000"/>
          <w:szCs w:val="22"/>
        </w:rPr>
        <w:t>Las otras personas usuarias son atendidas por alguna o algunas de las otras plazas de Defensor Público Agrario o Defensora Pública Agraria destacadas en otras oficinas regionales de la Defensa Pública (Corredores, Cartago) o por la plaza de Coordinación, según lo disponga con criterio técnico el Defensor Público Agrario Coordinador de la Unidad de Defensa Agraria.</w:t>
      </w:r>
    </w:p>
    <w:p w14:paraId="65DAEB30" w14:textId="73880376" w:rsidR="007C2A58" w:rsidRPr="005E63FE" w:rsidRDefault="001B569C" w:rsidP="001B569C">
      <w:pPr>
        <w:tabs>
          <w:tab w:val="left" w:pos="980"/>
        </w:tabs>
        <w:spacing w:line="235" w:lineRule="auto"/>
        <w:ind w:right="261"/>
        <w:rPr>
          <w:color w:val="000000"/>
          <w:szCs w:val="22"/>
        </w:rPr>
      </w:pPr>
      <w:r w:rsidRPr="00033E65">
        <w:rPr>
          <w:color w:val="000000"/>
          <w:szCs w:val="22"/>
        </w:rPr>
        <w:t xml:space="preserve">En caso de que una de las personas usuarias sea indígena, ésta será atendida por la plaza de Defensor Público Agrario o Defensora Pública Agraria de Buenos Aires, si la contraparte requiere servicio, ésta será atendida por la segunda plaza de Defensor Público Agrario o Defensora Pública Agraria de Corredores; y en caso de que sean más </w:t>
      </w:r>
      <w:r w:rsidRPr="00033E65">
        <w:rPr>
          <w:color w:val="000000"/>
          <w:szCs w:val="22"/>
        </w:rPr>
        <w:lastRenderedPageBreak/>
        <w:t>de dos personas usuarias y tengan interés contrapuestos, será atendida por las plazas de Defensora o Defensora Público de Pérez Zeledón. Las Asociaciones de Desarrollo Integral Indígenas de la zona serán atendidas por la plaza de Cartago.</w:t>
      </w:r>
    </w:p>
    <w:p w14:paraId="7A75B358" w14:textId="482FA5F6" w:rsidR="005046C5" w:rsidRPr="00033E65" w:rsidRDefault="000D6CD3" w:rsidP="00951D3E">
      <w:pPr>
        <w:pStyle w:val="Ttulo3"/>
      </w:pPr>
      <w:bookmarkStart w:id="144" w:name="_Toc132639519"/>
      <w:r w:rsidRPr="00033E65">
        <w:t xml:space="preserve">3.2.14 </w:t>
      </w:r>
      <w:r w:rsidR="005046C5" w:rsidRPr="00033E65">
        <w:t>Juzgado Agrario del II Circuito Judicial de la Zona Sur (Corredores)</w:t>
      </w:r>
      <w:bookmarkEnd w:id="143"/>
      <w:bookmarkEnd w:id="144"/>
    </w:p>
    <w:p w14:paraId="63C7B674" w14:textId="77777777" w:rsidR="00406D81" w:rsidRPr="00033E65" w:rsidRDefault="00406D81" w:rsidP="00406D81">
      <w:pPr>
        <w:ind w:right="261"/>
        <w:rPr>
          <w:color w:val="000000"/>
        </w:rPr>
      </w:pPr>
      <w:bookmarkStart w:id="145" w:name="_Toc37670465"/>
      <w:r w:rsidRPr="00033E65">
        <w:rPr>
          <w:color w:val="000000"/>
          <w:szCs w:val="22"/>
        </w:rPr>
        <w:t>La atención de las personas usuarias cuyos casos se tramitan en el Juzgado Agrario de Corredores, la realiza la plaza de Defensor Público Agrario o Defensora Pública Agraria destacada en la oficina regional de la Defensa Pública de Corredores. En caso de que una persona usuaria contraparte requiera de los servicios de la Defensa Pública, aquélla es atendida por recargo por la plaza de Defensor Público Agrario o Defensora Pública Agraria destacada en la oficina regional de la Defensa Pública de Buenos Aires.</w:t>
      </w:r>
    </w:p>
    <w:p w14:paraId="7FAF788C" w14:textId="77777777" w:rsidR="00406D81" w:rsidRPr="00033E65" w:rsidRDefault="00406D81" w:rsidP="00406D81">
      <w:pPr>
        <w:ind w:right="261"/>
        <w:rPr>
          <w:color w:val="000000"/>
        </w:rPr>
      </w:pPr>
      <w:r w:rsidRPr="00033E65">
        <w:rPr>
          <w:color w:val="000000"/>
          <w:szCs w:val="22"/>
        </w:rPr>
        <w:t>En caso de que sean más de dos personas usuarias (actora, demanda y terceras interesadas) las que intervengan en un proceso agrario tramitado en el Juzgado Agrario de Corredores, se procede de la siguiente forma:</w:t>
      </w:r>
    </w:p>
    <w:p w14:paraId="09B08F18" w14:textId="77777777" w:rsidR="00406D81" w:rsidRPr="00033E65" w:rsidRDefault="00406D81" w:rsidP="00406D81">
      <w:pPr>
        <w:pStyle w:val="Prrafodelista"/>
        <w:ind w:right="261"/>
        <w:rPr>
          <w:color w:val="000000"/>
          <w:szCs w:val="22"/>
        </w:rPr>
      </w:pPr>
    </w:p>
    <w:p w14:paraId="556E457D" w14:textId="77777777" w:rsidR="00406D81" w:rsidRPr="00033E65" w:rsidRDefault="00406D81">
      <w:pPr>
        <w:pStyle w:val="Prrafodelista"/>
        <w:numPr>
          <w:ilvl w:val="0"/>
          <w:numId w:val="35"/>
        </w:numPr>
        <w:tabs>
          <w:tab w:val="left" w:pos="980"/>
        </w:tabs>
        <w:suppressAutoHyphens/>
        <w:ind w:left="714" w:right="261" w:hanging="357"/>
        <w:contextualSpacing w:val="0"/>
        <w:rPr>
          <w:color w:val="000000"/>
        </w:rPr>
      </w:pPr>
      <w:r w:rsidRPr="00033E65">
        <w:rPr>
          <w:color w:val="000000"/>
          <w:szCs w:val="22"/>
        </w:rPr>
        <w:t>Una de ellas es atendida por la plaza de Defensor Público Agrario o Defensora Pública Agraria destacada en la oficina de la Defensa Pública de Corredores.</w:t>
      </w:r>
    </w:p>
    <w:p w14:paraId="026CA7FA" w14:textId="77777777" w:rsidR="00406D81" w:rsidRPr="00033E65" w:rsidRDefault="00406D81">
      <w:pPr>
        <w:pStyle w:val="Prrafodelista"/>
        <w:numPr>
          <w:ilvl w:val="0"/>
          <w:numId w:val="35"/>
        </w:numPr>
        <w:tabs>
          <w:tab w:val="left" w:pos="980"/>
        </w:tabs>
        <w:suppressAutoHyphens/>
        <w:ind w:left="714" w:right="261" w:hanging="357"/>
        <w:contextualSpacing w:val="0"/>
        <w:rPr>
          <w:color w:val="000000"/>
        </w:rPr>
      </w:pPr>
      <w:r w:rsidRPr="00033E65">
        <w:rPr>
          <w:color w:val="000000"/>
          <w:szCs w:val="22"/>
        </w:rPr>
        <w:t>Otra es atendida por la plaza de Defensor Público Agrario o Defensora Pública Agraria destacada en la oficina regional de la Defensa Pública de Buenos Aires.</w:t>
      </w:r>
    </w:p>
    <w:p w14:paraId="1D74D3F3" w14:textId="77777777" w:rsidR="00406D81" w:rsidRPr="00033E65" w:rsidRDefault="00406D81">
      <w:pPr>
        <w:pStyle w:val="Prrafodelista"/>
        <w:numPr>
          <w:ilvl w:val="0"/>
          <w:numId w:val="35"/>
        </w:numPr>
        <w:tabs>
          <w:tab w:val="left" w:pos="980"/>
        </w:tabs>
        <w:suppressAutoHyphens/>
        <w:ind w:left="714" w:right="261" w:hanging="357"/>
        <w:contextualSpacing w:val="0"/>
        <w:rPr>
          <w:color w:val="000000"/>
        </w:rPr>
      </w:pPr>
      <w:r w:rsidRPr="00033E65">
        <w:rPr>
          <w:color w:val="000000"/>
          <w:szCs w:val="22"/>
        </w:rPr>
        <w:t>Las otras personas usuarias son atendidas por alguna o algunas de las otras plazas de Defensor Público Agrario o Defensora Pública Agraria destacadas en otras oficinas regionales de la Defensa Pública (Pérez Zeledón, Cartago, Puntarenas), según lo disponga con criterio técnico el Defensor Público Agrario Coordinador de la Unidad de Defensa Agraria.</w:t>
      </w:r>
    </w:p>
    <w:p w14:paraId="57CF090E" w14:textId="43F9C000" w:rsidR="00406D81" w:rsidRPr="005E63FE" w:rsidRDefault="00406D81" w:rsidP="00406D81">
      <w:pPr>
        <w:tabs>
          <w:tab w:val="left" w:pos="980"/>
        </w:tabs>
        <w:spacing w:line="235" w:lineRule="auto"/>
        <w:ind w:right="261"/>
        <w:rPr>
          <w:color w:val="000000"/>
          <w:szCs w:val="22"/>
        </w:rPr>
      </w:pPr>
      <w:r w:rsidRPr="00033E65">
        <w:rPr>
          <w:color w:val="000000"/>
          <w:szCs w:val="22"/>
        </w:rPr>
        <w:t>En caso de que una de las personas usuarias sea indígena, ésta será atendida por la plaza de Defensor Público Agrario o Defensora Pública Agraria de Buenos Aires, si la contraparte requiere servicio, ésta será atendida por la segunda plaza de Defensor Público Agrario o Defensora Pública Agraria de Corredores; y en caso de que sean más de dos personas usuarias y tengan interés contrapuestos, será atendida por las plazas de Defensora o Defensora Público de Pérez Zeledón. Las Asociaciones de Desarrollo Integral Indígenas de la zona serán atendidas por la plaza de Cartago.</w:t>
      </w:r>
    </w:p>
    <w:p w14:paraId="0CF1B8FA" w14:textId="0C6E9E18" w:rsidR="005046C5" w:rsidRPr="00033E65" w:rsidRDefault="000D6CD3" w:rsidP="00951D3E">
      <w:pPr>
        <w:pStyle w:val="Ttulo3"/>
      </w:pPr>
      <w:bookmarkStart w:id="146" w:name="_Toc132639520"/>
      <w:r w:rsidRPr="00033E65">
        <w:t xml:space="preserve">3.2.15 </w:t>
      </w:r>
      <w:r w:rsidR="00BE1894" w:rsidRPr="00033E65">
        <w:t>Juzgado Civil, Trabajo, Familia, Agrario, Penal Juvenil, Contra la Violencia Doméstica y Protección Cautelar Buenos Aires</w:t>
      </w:r>
      <w:bookmarkEnd w:id="146"/>
      <w:r w:rsidR="00BE1894" w:rsidRPr="00033E65">
        <w:t xml:space="preserve"> </w:t>
      </w:r>
      <w:bookmarkEnd w:id="145"/>
    </w:p>
    <w:p w14:paraId="0804746C" w14:textId="77777777" w:rsidR="00F91CFF" w:rsidRPr="00033E65" w:rsidRDefault="00F91CFF" w:rsidP="00F91CFF">
      <w:pPr>
        <w:spacing w:line="235" w:lineRule="auto"/>
        <w:ind w:right="261"/>
        <w:rPr>
          <w:color w:val="000000"/>
        </w:rPr>
      </w:pPr>
      <w:r w:rsidRPr="00033E65">
        <w:rPr>
          <w:color w:val="000000"/>
          <w:szCs w:val="22"/>
        </w:rPr>
        <w:t xml:space="preserve">La atención de las personas usuarias cuyos casos se tramitan en el Juzgado Agrario de Buenos Aires la realiza la plaza de Defensor Público Agrario-Indígena o Defensora Pública Agraria-Indígena destacada en la oficina regional de la Defensa Pública de Buenos Aires. En caso de que una persona usuaria contraparte requiera de los servicios de la Defensa Pública, aquélla es atendida por recargo por la plaza de Defensor Público Agrario o Defensora Pública Agraria destacada en la oficina regional de la Defensa </w:t>
      </w:r>
      <w:r w:rsidRPr="00033E65">
        <w:rPr>
          <w:color w:val="000000"/>
          <w:szCs w:val="22"/>
        </w:rPr>
        <w:lastRenderedPageBreak/>
        <w:t>Pública de Pérez Zeledón, según lo determine con criterio técnico el Defensor Público Agrario Coordinador de la Unidad de Defensa Agraria.</w:t>
      </w:r>
    </w:p>
    <w:p w14:paraId="2DF31480" w14:textId="77777777" w:rsidR="00F91CFF" w:rsidRPr="00033E65" w:rsidRDefault="00F91CFF" w:rsidP="00F91CFF">
      <w:pPr>
        <w:spacing w:line="235" w:lineRule="auto"/>
        <w:ind w:right="261"/>
        <w:rPr>
          <w:color w:val="000000"/>
        </w:rPr>
      </w:pPr>
      <w:r w:rsidRPr="00033E65">
        <w:rPr>
          <w:color w:val="000000"/>
          <w:szCs w:val="22"/>
        </w:rPr>
        <w:t>En caso de que sean más de dos personas usuarias (actora, demanda y terceras interesadas) las que intervengan en un proceso agrario tramitado en el Juzgado Civil, Trabajo, Familia, Agrario, Penal Juvenil, Contra la Violencia Doméstica y Protección Cautelar Buenos Aires se procede de la siguiente forma:</w:t>
      </w:r>
    </w:p>
    <w:p w14:paraId="61662DFE" w14:textId="77777777" w:rsidR="00F91CFF" w:rsidRPr="00033E65" w:rsidRDefault="00F91CFF">
      <w:pPr>
        <w:pStyle w:val="Prrafodelista"/>
        <w:numPr>
          <w:ilvl w:val="0"/>
          <w:numId w:val="36"/>
        </w:numPr>
        <w:suppressAutoHyphens/>
        <w:spacing w:line="235" w:lineRule="auto"/>
        <w:ind w:left="714" w:right="261" w:hanging="357"/>
        <w:contextualSpacing w:val="0"/>
        <w:rPr>
          <w:color w:val="000000"/>
        </w:rPr>
      </w:pPr>
      <w:r w:rsidRPr="00033E65">
        <w:rPr>
          <w:color w:val="000000"/>
          <w:szCs w:val="22"/>
        </w:rPr>
        <w:t>Una de ellas es atendida por la plaza de Defensor Público Agrario o Defensora Pública Agraria-Indígena destacada en la oficina de la Defensa Pública de Buenos Aires.</w:t>
      </w:r>
    </w:p>
    <w:p w14:paraId="27FF4BA8" w14:textId="77777777" w:rsidR="00F91CFF" w:rsidRPr="00033E65" w:rsidRDefault="00F91CFF">
      <w:pPr>
        <w:pStyle w:val="Prrafodelista"/>
        <w:numPr>
          <w:ilvl w:val="0"/>
          <w:numId w:val="36"/>
        </w:numPr>
        <w:suppressAutoHyphens/>
        <w:spacing w:line="235" w:lineRule="auto"/>
        <w:ind w:left="714" w:right="261" w:hanging="357"/>
        <w:contextualSpacing w:val="0"/>
        <w:rPr>
          <w:color w:val="000000"/>
        </w:rPr>
      </w:pPr>
      <w:r w:rsidRPr="00033E65">
        <w:rPr>
          <w:color w:val="000000"/>
          <w:szCs w:val="22"/>
        </w:rPr>
        <w:t>Otra es atendida por la plaza de Defensor Público Agrario o Defensora Pública Agraria destacada en la oficina regional de la Defensa Pública de Pérez Zeledón.</w:t>
      </w:r>
    </w:p>
    <w:p w14:paraId="08063278" w14:textId="77777777" w:rsidR="00F91CFF" w:rsidRPr="00033E65" w:rsidRDefault="00F91CFF">
      <w:pPr>
        <w:pStyle w:val="Prrafodelista"/>
        <w:numPr>
          <w:ilvl w:val="0"/>
          <w:numId w:val="36"/>
        </w:numPr>
        <w:suppressAutoHyphens/>
        <w:spacing w:line="235" w:lineRule="auto"/>
        <w:ind w:right="261"/>
        <w:contextualSpacing w:val="0"/>
        <w:rPr>
          <w:color w:val="000000"/>
        </w:rPr>
      </w:pPr>
      <w:r w:rsidRPr="00033E65">
        <w:rPr>
          <w:color w:val="000000"/>
          <w:szCs w:val="22"/>
        </w:rPr>
        <w:t>Las otras personas usuarias son atendidas por alguna o algunas de las otras plazas de Defensor Público Agrario o Defensora Pública Agraria destacadas en otras oficinas regionales de la Defensa Pública (Corredores, Pérez Zeledón), según lo disponga con criterio técnico el Defensor Público Agrario Coordinador de la Unidad de Defensa Agraria.</w:t>
      </w:r>
    </w:p>
    <w:p w14:paraId="300CE580" w14:textId="5F479CD6" w:rsidR="000C38DC" w:rsidRPr="005E63FE" w:rsidRDefault="00F91CFF" w:rsidP="005046C5">
      <w:pPr>
        <w:spacing w:line="235" w:lineRule="auto"/>
        <w:ind w:right="261"/>
        <w:rPr>
          <w:color w:val="000000"/>
        </w:rPr>
      </w:pPr>
      <w:r w:rsidRPr="00033E65">
        <w:rPr>
          <w:color w:val="000000"/>
          <w:szCs w:val="22"/>
        </w:rPr>
        <w:t>En caso de que una de las personas usuarias sea indígena, ésta será atendida por la plaza de Defensor Público Agrario o Defensora Pública Agraria de Buenos Aires, si la contraparte requiere servicio, ésta será atendida por la segunda plaza de Defensor Público Agrario o Defensora Pública Agraria de Corredores; y en caso de que sean más de dos personas usuarias y tengan interés contrapuestos, será atendida por las plazas de Defensora o Defensora Público de Pérez Zeledón. Las Asociaciones de Desarrollo Integral Indígenas de la zona serán atendidas por la plaza de Cartago.</w:t>
      </w:r>
    </w:p>
    <w:p w14:paraId="6D7440C3" w14:textId="1767191E" w:rsidR="00541283" w:rsidRPr="00033E65" w:rsidRDefault="000D6CD3" w:rsidP="00951D3E">
      <w:pPr>
        <w:pStyle w:val="Ttulo3"/>
        <w:rPr>
          <w:szCs w:val="22"/>
        </w:rPr>
      </w:pPr>
      <w:bookmarkStart w:id="147" w:name="_Toc132639521"/>
      <w:r w:rsidRPr="00033E65">
        <w:t xml:space="preserve">3.2.16 </w:t>
      </w:r>
      <w:r w:rsidR="00832574" w:rsidRPr="00033E65">
        <w:t>Juzgado Agrario de J</w:t>
      </w:r>
      <w:r w:rsidR="00E50B73" w:rsidRPr="00033E65">
        <w:t>i</w:t>
      </w:r>
      <w:r w:rsidR="002102D6" w:rsidRPr="00033E65">
        <w:t>c</w:t>
      </w:r>
      <w:r w:rsidR="00E50B73" w:rsidRPr="00033E65">
        <w:t>a</w:t>
      </w:r>
      <w:r w:rsidR="002102D6" w:rsidRPr="00033E65">
        <w:t>ral</w:t>
      </w:r>
      <w:bookmarkEnd w:id="147"/>
    </w:p>
    <w:p w14:paraId="6D4030E4" w14:textId="77777777" w:rsidR="00F06CC6" w:rsidRPr="00033E65" w:rsidRDefault="00F06CC6" w:rsidP="00F06CC6">
      <w:pPr>
        <w:ind w:right="261"/>
        <w:rPr>
          <w:color w:val="000000"/>
        </w:rPr>
      </w:pPr>
      <w:r w:rsidRPr="00033E65">
        <w:rPr>
          <w:color w:val="000000"/>
          <w:szCs w:val="22"/>
        </w:rPr>
        <w:t>La atención de las personas usuarias cuyos casos se tramitan en el Juzgado Agrario de Jicaral, la realiza la plaza de Defensor Público Agrario o Defensora Pública Agraria destacada en la oficina regional de la Defensa Pública de Nicoya, que atiende Jicaral. En caso de que una persona usuaria contraparte requiera de los servicios de la Defensa Pública, aquélla es atendida por recargo por la plaza de Defensor Público Agrario o Defensora Pública Agraria destacada en la oficina regional de la Defensa Pública de Nicoya o Santa Cruz.</w:t>
      </w:r>
    </w:p>
    <w:p w14:paraId="52A09B67" w14:textId="77777777" w:rsidR="00F06CC6" w:rsidRPr="00033E65" w:rsidRDefault="00F06CC6" w:rsidP="00F06CC6">
      <w:pPr>
        <w:ind w:right="261"/>
        <w:rPr>
          <w:color w:val="000000"/>
        </w:rPr>
      </w:pPr>
      <w:r w:rsidRPr="00033E65">
        <w:rPr>
          <w:color w:val="000000"/>
          <w:szCs w:val="22"/>
        </w:rPr>
        <w:t>En caso de que sean más de dos personas usuarias (actora, demanda y terceras interesadas) las que intervengan en un proceso agrario tramitado en el Juzgado Agrario de Jicaral, se procede de la siguiente forma:</w:t>
      </w:r>
    </w:p>
    <w:p w14:paraId="7676B2EE" w14:textId="77777777" w:rsidR="00F06CC6" w:rsidRPr="00033E65" w:rsidRDefault="00F06CC6">
      <w:pPr>
        <w:pStyle w:val="Prrafodelista"/>
        <w:numPr>
          <w:ilvl w:val="0"/>
          <w:numId w:val="37"/>
        </w:numPr>
        <w:tabs>
          <w:tab w:val="left" w:pos="980"/>
        </w:tabs>
        <w:suppressAutoHyphens/>
        <w:ind w:left="357" w:right="261"/>
        <w:contextualSpacing w:val="0"/>
        <w:rPr>
          <w:color w:val="000000"/>
        </w:rPr>
      </w:pPr>
      <w:r w:rsidRPr="00033E65">
        <w:rPr>
          <w:color w:val="000000"/>
          <w:szCs w:val="22"/>
        </w:rPr>
        <w:t>Una de ellas es atendida por la plaza de Defensor Público Agrario o Defensora Pública Agraria destacada en la oficina de la Defensa Pública de Nicoya, que atiende Jicaral.</w:t>
      </w:r>
    </w:p>
    <w:p w14:paraId="42BB3F9C" w14:textId="77777777" w:rsidR="00F06CC6" w:rsidRPr="00033E65" w:rsidRDefault="00F06CC6">
      <w:pPr>
        <w:pStyle w:val="Prrafodelista"/>
        <w:numPr>
          <w:ilvl w:val="0"/>
          <w:numId w:val="37"/>
        </w:numPr>
        <w:tabs>
          <w:tab w:val="left" w:pos="980"/>
        </w:tabs>
        <w:suppressAutoHyphens/>
        <w:ind w:left="357" w:right="261" w:hanging="357"/>
        <w:contextualSpacing w:val="0"/>
        <w:rPr>
          <w:color w:val="000000"/>
        </w:rPr>
      </w:pPr>
      <w:r w:rsidRPr="00033E65">
        <w:rPr>
          <w:color w:val="000000"/>
          <w:szCs w:val="22"/>
        </w:rPr>
        <w:t>Otra es atendida por la plaza de Defensor Público Agrario o Defensora Pública Agraria destacada en la oficina regional de la Defensa Pública de Nicoya que atiende Santa Cruz.</w:t>
      </w:r>
    </w:p>
    <w:p w14:paraId="248413EC" w14:textId="77777777" w:rsidR="00F06CC6" w:rsidRPr="00033E65" w:rsidRDefault="00F06CC6">
      <w:pPr>
        <w:pStyle w:val="Prrafodelista"/>
        <w:numPr>
          <w:ilvl w:val="0"/>
          <w:numId w:val="37"/>
        </w:numPr>
        <w:tabs>
          <w:tab w:val="left" w:pos="980"/>
        </w:tabs>
        <w:suppressAutoHyphens/>
        <w:ind w:left="357" w:right="261" w:hanging="357"/>
        <w:contextualSpacing w:val="0"/>
        <w:rPr>
          <w:color w:val="000000"/>
        </w:rPr>
      </w:pPr>
      <w:r w:rsidRPr="00033E65">
        <w:rPr>
          <w:color w:val="000000"/>
          <w:szCs w:val="22"/>
        </w:rPr>
        <w:lastRenderedPageBreak/>
        <w:t>Las otras personas usuarias son atendidas por alguna o algunas de las otras plazas de Defensor Público Agrario o Defensora Pública Agraria destacadas en otras oficinas regionales de la Defensa Pública (Liberia), según lo disponga con criterio técnico el Defensor Público Agrario Coordinador de la Unidad de Defensa Agraria.</w:t>
      </w:r>
    </w:p>
    <w:p w14:paraId="6FDB5582" w14:textId="7DED6A15" w:rsidR="00541283" w:rsidRPr="00033E65" w:rsidRDefault="00541283" w:rsidP="005046C5">
      <w:pPr>
        <w:spacing w:line="235" w:lineRule="auto"/>
        <w:ind w:right="261"/>
        <w:rPr>
          <w:szCs w:val="22"/>
        </w:rPr>
      </w:pPr>
    </w:p>
    <w:p w14:paraId="6E45768F" w14:textId="4939010F" w:rsidR="005046C5" w:rsidRPr="00033E65" w:rsidRDefault="005046C5" w:rsidP="005046C5">
      <w:pPr>
        <w:spacing w:line="235" w:lineRule="auto"/>
        <w:ind w:right="261"/>
        <w:rPr>
          <w:szCs w:val="22"/>
        </w:rPr>
      </w:pPr>
      <w:r w:rsidRPr="00033E65">
        <w:rPr>
          <w:szCs w:val="22"/>
        </w:rPr>
        <w:t xml:space="preserve">Lo anterior descripción se resume en el siguiente cuadro: </w:t>
      </w:r>
    </w:p>
    <w:p w14:paraId="2AEA8A72" w14:textId="77777777" w:rsidR="001B20E7" w:rsidRPr="00033E65" w:rsidRDefault="001B20E7" w:rsidP="005046C5">
      <w:pPr>
        <w:spacing w:line="235" w:lineRule="auto"/>
        <w:ind w:right="261"/>
        <w:rPr>
          <w:szCs w:val="22"/>
        </w:rPr>
      </w:pPr>
    </w:p>
    <w:p w14:paraId="79E235AC" w14:textId="6EA4BBE1" w:rsidR="005046C5" w:rsidRPr="00033E65" w:rsidRDefault="005046C5"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Cuadro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Cuadro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4</w:t>
      </w:r>
      <w:r w:rsidRPr="00033E65">
        <w:rPr>
          <w:rFonts w:eastAsia="Times New Roman" w:cs="Arial"/>
          <w:iCs/>
          <w:spacing w:val="0"/>
          <w:szCs w:val="28"/>
          <w:lang w:val="es-CR" w:eastAsia="es-ES"/>
        </w:rPr>
        <w:fldChar w:fldCharType="end"/>
      </w:r>
    </w:p>
    <w:p w14:paraId="7C3F10F3" w14:textId="607ABA0E" w:rsidR="00F06CC6" w:rsidRPr="00033E65" w:rsidRDefault="005046C5" w:rsidP="00F06CC6">
      <w:pPr>
        <w:pStyle w:val="Ttulo"/>
        <w:spacing w:before="0"/>
        <w:jc w:val="center"/>
        <w:rPr>
          <w:rFonts w:eastAsia="Times New Roman" w:cs="Arial"/>
          <w:iCs/>
          <w:spacing w:val="0"/>
          <w:szCs w:val="28"/>
          <w:lang w:val="es-CR" w:eastAsia="es-ES"/>
        </w:rPr>
      </w:pPr>
      <w:r w:rsidRPr="00033E65">
        <w:rPr>
          <w:rFonts w:eastAsia="Times New Roman" w:cs="Arial"/>
          <w:iCs/>
          <w:spacing w:val="0"/>
          <w:szCs w:val="28"/>
          <w:lang w:val="es-CR" w:eastAsia="es-ES"/>
        </w:rPr>
        <w:t>Atención de las personas usuarias por la Defensa Pública, de los casos tramitados en cada Juzgado Agrario</w:t>
      </w:r>
    </w:p>
    <w:tbl>
      <w:tblPr>
        <w:tblW w:w="11099" w:type="dxa"/>
        <w:tblInd w:w="-1624" w:type="dxa"/>
        <w:tblCellMar>
          <w:left w:w="70" w:type="dxa"/>
          <w:right w:w="70" w:type="dxa"/>
        </w:tblCellMar>
        <w:tblLook w:val="04A0" w:firstRow="1" w:lastRow="0" w:firstColumn="1" w:lastColumn="0" w:noHBand="0" w:noVBand="1"/>
      </w:tblPr>
      <w:tblGrid>
        <w:gridCol w:w="3610"/>
        <w:gridCol w:w="2975"/>
        <w:gridCol w:w="2403"/>
        <w:gridCol w:w="2111"/>
      </w:tblGrid>
      <w:tr w:rsidR="00E9161D" w:rsidRPr="00033E65" w14:paraId="2396A754" w14:textId="77777777" w:rsidTr="00A65879">
        <w:trPr>
          <w:trHeight w:val="19"/>
          <w:tblHeader/>
        </w:trPr>
        <w:tc>
          <w:tcPr>
            <w:tcW w:w="361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77C283AA" w14:textId="3BF93B3D" w:rsidR="005046C5" w:rsidRPr="00033E65" w:rsidRDefault="005046C5" w:rsidP="005046C5">
            <w:pPr>
              <w:spacing w:before="0" w:after="0"/>
              <w:jc w:val="center"/>
              <w:rPr>
                <w:b/>
                <w:bCs/>
                <w:color w:val="FFFFFF" w:themeColor="background1"/>
                <w:sz w:val="18"/>
                <w:szCs w:val="18"/>
                <w:lang w:eastAsia="es-CR"/>
              </w:rPr>
            </w:pPr>
            <w:r w:rsidRPr="00033E65">
              <w:rPr>
                <w:b/>
                <w:bCs/>
                <w:color w:val="FFFFFF" w:themeColor="background1"/>
                <w:sz w:val="18"/>
                <w:szCs w:val="18"/>
                <w:lang w:eastAsia="es-CR"/>
              </w:rPr>
              <w:lastRenderedPageBreak/>
              <w:t>Despacho que tramita la causa</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7C420FE8" w14:textId="77777777" w:rsidR="005046C5" w:rsidRPr="00033E65" w:rsidRDefault="005046C5" w:rsidP="005046C5">
            <w:pPr>
              <w:spacing w:before="0" w:after="0"/>
              <w:jc w:val="center"/>
              <w:rPr>
                <w:b/>
                <w:bCs/>
                <w:color w:val="FFFFFF" w:themeColor="background1"/>
                <w:sz w:val="18"/>
                <w:szCs w:val="18"/>
                <w:lang w:eastAsia="es-CR"/>
              </w:rPr>
            </w:pPr>
            <w:r w:rsidRPr="00033E65">
              <w:rPr>
                <w:b/>
                <w:bCs/>
                <w:color w:val="FFFFFF" w:themeColor="background1"/>
                <w:sz w:val="18"/>
                <w:szCs w:val="18"/>
                <w:lang w:eastAsia="es-CR"/>
              </w:rPr>
              <w:t>Plaza de Defensor que atiende</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D6940EE" w14:textId="77777777" w:rsidR="005046C5" w:rsidRPr="00033E65" w:rsidRDefault="005046C5" w:rsidP="005046C5">
            <w:pPr>
              <w:spacing w:before="0" w:after="0"/>
              <w:jc w:val="center"/>
              <w:rPr>
                <w:b/>
                <w:bCs/>
                <w:color w:val="FFFFFF" w:themeColor="background1"/>
                <w:sz w:val="18"/>
                <w:szCs w:val="18"/>
                <w:lang w:eastAsia="es-CR"/>
              </w:rPr>
            </w:pPr>
            <w:r w:rsidRPr="00033E65">
              <w:rPr>
                <w:b/>
                <w:bCs/>
                <w:color w:val="FFFFFF" w:themeColor="background1"/>
                <w:sz w:val="18"/>
                <w:szCs w:val="18"/>
                <w:lang w:eastAsia="es-CR"/>
              </w:rPr>
              <w:t>Si la contraparte requiere servicio, atiende la defensa de:</w:t>
            </w:r>
          </w:p>
        </w:tc>
        <w:tc>
          <w:tcPr>
            <w:tcW w:w="2111" w:type="dxa"/>
            <w:tcBorders>
              <w:top w:val="double" w:sz="6" w:space="0" w:color="1F497D"/>
              <w:left w:val="nil"/>
              <w:bottom w:val="double" w:sz="6" w:space="0" w:color="1F497D"/>
              <w:right w:val="double" w:sz="6" w:space="0" w:color="1F497D"/>
            </w:tcBorders>
            <w:shd w:val="clear" w:color="000000" w:fill="0673A5"/>
            <w:vAlign w:val="center"/>
            <w:hideMark/>
          </w:tcPr>
          <w:p w14:paraId="19EC9180" w14:textId="77777777" w:rsidR="005046C5" w:rsidRPr="00033E65" w:rsidRDefault="005046C5" w:rsidP="005046C5">
            <w:pPr>
              <w:spacing w:before="0" w:after="0"/>
              <w:jc w:val="center"/>
              <w:rPr>
                <w:b/>
                <w:bCs/>
                <w:color w:val="FFFFFF" w:themeColor="background1"/>
                <w:sz w:val="18"/>
                <w:szCs w:val="18"/>
                <w:lang w:eastAsia="es-CR"/>
              </w:rPr>
            </w:pPr>
            <w:r w:rsidRPr="00033E65">
              <w:rPr>
                <w:b/>
                <w:bCs/>
                <w:color w:val="FFFFFF" w:themeColor="background1"/>
                <w:sz w:val="18"/>
                <w:szCs w:val="18"/>
                <w:lang w:eastAsia="es-CR"/>
              </w:rPr>
              <w:t>En caso de que sean más de dos personas usuarias</w:t>
            </w:r>
          </w:p>
        </w:tc>
      </w:tr>
      <w:tr w:rsidR="00C07CA8" w:rsidRPr="00033E65" w14:paraId="727FBAE9" w14:textId="77777777" w:rsidTr="00A65879">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59E1476" w14:textId="77777777" w:rsidR="005046C5" w:rsidRPr="00033E65" w:rsidRDefault="005046C5" w:rsidP="005046C5">
            <w:pPr>
              <w:spacing w:before="0" w:after="0"/>
              <w:rPr>
                <w:sz w:val="18"/>
                <w:szCs w:val="18"/>
                <w:lang w:eastAsia="es-CR"/>
              </w:rPr>
            </w:pPr>
            <w:r w:rsidRPr="00033E65">
              <w:rPr>
                <w:sz w:val="18"/>
                <w:szCs w:val="18"/>
                <w:lang w:eastAsia="es-CR"/>
              </w:rPr>
              <w:t>Juzgado Agrario del I Circuito Judicial de Guanacaste (Liberia)</w:t>
            </w:r>
          </w:p>
        </w:tc>
        <w:tc>
          <w:tcPr>
            <w:tcW w:w="0" w:type="auto"/>
            <w:tcBorders>
              <w:top w:val="nil"/>
              <w:left w:val="nil"/>
              <w:bottom w:val="double" w:sz="6" w:space="0" w:color="1F497D"/>
              <w:right w:val="double" w:sz="6" w:space="0" w:color="1F497D"/>
            </w:tcBorders>
            <w:shd w:val="clear" w:color="auto" w:fill="auto"/>
            <w:noWrap/>
            <w:vAlign w:val="center"/>
            <w:hideMark/>
          </w:tcPr>
          <w:p w14:paraId="7C83CFA0" w14:textId="77777777" w:rsidR="005046C5" w:rsidRPr="00033E65" w:rsidRDefault="005046C5" w:rsidP="005046C5">
            <w:pPr>
              <w:spacing w:before="0" w:after="0"/>
              <w:jc w:val="center"/>
              <w:rPr>
                <w:sz w:val="18"/>
                <w:szCs w:val="18"/>
                <w:lang w:eastAsia="es-CR"/>
              </w:rPr>
            </w:pPr>
            <w:r w:rsidRPr="00033E65">
              <w:rPr>
                <w:sz w:val="18"/>
                <w:szCs w:val="18"/>
                <w:lang w:eastAsia="es-CR"/>
              </w:rPr>
              <w:t>Liberia</w:t>
            </w:r>
          </w:p>
        </w:tc>
        <w:tc>
          <w:tcPr>
            <w:tcW w:w="0" w:type="auto"/>
            <w:tcBorders>
              <w:top w:val="nil"/>
              <w:left w:val="nil"/>
              <w:bottom w:val="double" w:sz="6" w:space="0" w:color="1F497D"/>
              <w:right w:val="double" w:sz="6" w:space="0" w:color="1F497D"/>
            </w:tcBorders>
            <w:shd w:val="clear" w:color="auto" w:fill="auto"/>
            <w:noWrap/>
            <w:vAlign w:val="center"/>
            <w:hideMark/>
          </w:tcPr>
          <w:p w14:paraId="67C12861" w14:textId="5FAC0C86" w:rsidR="005046C5" w:rsidRPr="00033E65" w:rsidRDefault="005046C5" w:rsidP="005046C5">
            <w:pPr>
              <w:spacing w:before="0" w:after="0"/>
              <w:jc w:val="center"/>
              <w:rPr>
                <w:sz w:val="18"/>
                <w:szCs w:val="18"/>
                <w:lang w:eastAsia="es-CR"/>
              </w:rPr>
            </w:pPr>
            <w:r w:rsidRPr="00033E65">
              <w:rPr>
                <w:sz w:val="18"/>
                <w:szCs w:val="18"/>
                <w:lang w:eastAsia="es-CR"/>
              </w:rPr>
              <w:t>Nicoya</w:t>
            </w:r>
            <w:r w:rsidR="00F90E26" w:rsidRPr="00033E65">
              <w:rPr>
                <w:sz w:val="18"/>
                <w:szCs w:val="18"/>
                <w:lang w:eastAsia="es-CR"/>
              </w:rPr>
              <w:t xml:space="preserve"> </w:t>
            </w:r>
            <w:r w:rsidR="00F06CC6" w:rsidRPr="00033E65">
              <w:rPr>
                <w:sz w:val="18"/>
                <w:szCs w:val="18"/>
                <w:lang w:eastAsia="es-CR"/>
              </w:rPr>
              <w:t>/</w:t>
            </w:r>
            <w:r w:rsidR="00F90E26" w:rsidRPr="00033E65">
              <w:rPr>
                <w:sz w:val="18"/>
                <w:szCs w:val="18"/>
                <w:lang w:eastAsia="es-CR"/>
              </w:rPr>
              <w:t xml:space="preserve"> Santa Cruz</w:t>
            </w:r>
          </w:p>
        </w:tc>
        <w:tc>
          <w:tcPr>
            <w:tcW w:w="2111" w:type="dxa"/>
            <w:tcBorders>
              <w:top w:val="nil"/>
              <w:left w:val="nil"/>
              <w:bottom w:val="double" w:sz="6" w:space="0" w:color="1F497D"/>
              <w:right w:val="double" w:sz="6" w:space="0" w:color="1F497D"/>
            </w:tcBorders>
            <w:shd w:val="clear" w:color="auto" w:fill="auto"/>
            <w:noWrap/>
            <w:vAlign w:val="center"/>
            <w:hideMark/>
          </w:tcPr>
          <w:p w14:paraId="783709CB" w14:textId="62970055" w:rsidR="005046C5" w:rsidRPr="00033E65" w:rsidRDefault="00F90E26" w:rsidP="005046C5">
            <w:pPr>
              <w:spacing w:before="0" w:after="0"/>
              <w:jc w:val="center"/>
              <w:rPr>
                <w:sz w:val="18"/>
                <w:szCs w:val="18"/>
                <w:lang w:eastAsia="es-CR"/>
              </w:rPr>
            </w:pPr>
            <w:r w:rsidRPr="00033E65">
              <w:rPr>
                <w:sz w:val="18"/>
                <w:szCs w:val="18"/>
                <w:lang w:eastAsia="es-CR"/>
              </w:rPr>
              <w:t>Nicoya</w:t>
            </w:r>
            <w:r w:rsidR="002C705B" w:rsidRPr="00033E65">
              <w:rPr>
                <w:sz w:val="18"/>
                <w:szCs w:val="18"/>
                <w:lang w:eastAsia="es-CR"/>
              </w:rPr>
              <w:t xml:space="preserve"> /</w:t>
            </w:r>
            <w:r w:rsidRPr="00033E65">
              <w:rPr>
                <w:sz w:val="18"/>
                <w:szCs w:val="18"/>
                <w:lang w:eastAsia="es-CR"/>
              </w:rPr>
              <w:t xml:space="preserve"> Jicaral, Upala</w:t>
            </w:r>
          </w:p>
        </w:tc>
      </w:tr>
      <w:tr w:rsidR="00C07CA8" w:rsidRPr="00033E65" w14:paraId="3C1C4CBB" w14:textId="77777777" w:rsidTr="00A65879">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29327AC0" w14:textId="77777777" w:rsidR="005046C5" w:rsidRPr="00033E65" w:rsidRDefault="005046C5" w:rsidP="005046C5">
            <w:pPr>
              <w:spacing w:before="0" w:after="0"/>
              <w:rPr>
                <w:sz w:val="18"/>
                <w:szCs w:val="18"/>
                <w:lang w:eastAsia="es-CR"/>
              </w:rPr>
            </w:pPr>
            <w:r w:rsidRPr="00033E65">
              <w:rPr>
                <w:sz w:val="18"/>
                <w:szCs w:val="18"/>
                <w:lang w:eastAsia="es-CR"/>
              </w:rPr>
              <w:t xml:space="preserve">Juzgado Agrario del II Circuito Judicial de Guanacaste (Santa Cruz) </w:t>
            </w:r>
          </w:p>
        </w:tc>
        <w:tc>
          <w:tcPr>
            <w:tcW w:w="0" w:type="auto"/>
            <w:tcBorders>
              <w:top w:val="nil"/>
              <w:left w:val="nil"/>
              <w:bottom w:val="double" w:sz="6" w:space="0" w:color="1F497D"/>
              <w:right w:val="double" w:sz="6" w:space="0" w:color="1F497D"/>
            </w:tcBorders>
            <w:shd w:val="clear" w:color="auto" w:fill="auto"/>
            <w:noWrap/>
            <w:vAlign w:val="center"/>
            <w:hideMark/>
          </w:tcPr>
          <w:p w14:paraId="109BE634" w14:textId="0E62AD28" w:rsidR="005046C5" w:rsidRPr="00033E65" w:rsidRDefault="005046C5" w:rsidP="005046C5">
            <w:pPr>
              <w:spacing w:before="0" w:after="0"/>
              <w:jc w:val="center"/>
              <w:rPr>
                <w:sz w:val="18"/>
                <w:szCs w:val="18"/>
                <w:lang w:eastAsia="es-CR"/>
              </w:rPr>
            </w:pPr>
            <w:r w:rsidRPr="00033E65">
              <w:rPr>
                <w:sz w:val="18"/>
                <w:szCs w:val="18"/>
                <w:lang w:eastAsia="es-CR"/>
              </w:rPr>
              <w:t>Nicoya</w:t>
            </w:r>
            <w:r w:rsidR="00A43683" w:rsidRPr="00033E65">
              <w:rPr>
                <w:sz w:val="18"/>
                <w:szCs w:val="18"/>
                <w:lang w:eastAsia="es-CR"/>
              </w:rPr>
              <w:t xml:space="preserve"> / </w:t>
            </w:r>
            <w:r w:rsidR="00F90E26" w:rsidRPr="00033E65">
              <w:rPr>
                <w:sz w:val="18"/>
                <w:szCs w:val="18"/>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47DB132F" w14:textId="66CB6FD6" w:rsidR="005046C5" w:rsidRPr="00033E65" w:rsidRDefault="00F90E26" w:rsidP="005046C5">
            <w:pPr>
              <w:spacing w:before="0" w:after="0"/>
              <w:jc w:val="center"/>
              <w:rPr>
                <w:sz w:val="18"/>
                <w:szCs w:val="18"/>
                <w:lang w:eastAsia="es-CR"/>
              </w:rPr>
            </w:pPr>
            <w:r w:rsidRPr="00033E65">
              <w:rPr>
                <w:sz w:val="18"/>
                <w:szCs w:val="18"/>
                <w:lang w:eastAsia="es-CR"/>
              </w:rPr>
              <w:t xml:space="preserve">Nicoya </w:t>
            </w:r>
            <w:r w:rsidR="00A43683" w:rsidRPr="00033E65">
              <w:rPr>
                <w:sz w:val="18"/>
                <w:szCs w:val="18"/>
                <w:lang w:eastAsia="es-CR"/>
              </w:rPr>
              <w:t xml:space="preserve">/ </w:t>
            </w:r>
            <w:r w:rsidRPr="00033E65">
              <w:rPr>
                <w:sz w:val="18"/>
                <w:szCs w:val="18"/>
                <w:lang w:eastAsia="es-CR"/>
              </w:rPr>
              <w:t>Jicaral</w:t>
            </w:r>
          </w:p>
        </w:tc>
        <w:tc>
          <w:tcPr>
            <w:tcW w:w="2111" w:type="dxa"/>
            <w:tcBorders>
              <w:top w:val="nil"/>
              <w:left w:val="nil"/>
              <w:bottom w:val="double" w:sz="6" w:space="0" w:color="1F497D"/>
              <w:right w:val="double" w:sz="6" w:space="0" w:color="1F497D"/>
            </w:tcBorders>
            <w:shd w:val="clear" w:color="auto" w:fill="auto"/>
            <w:noWrap/>
            <w:vAlign w:val="center"/>
            <w:hideMark/>
          </w:tcPr>
          <w:p w14:paraId="3A7BD80D" w14:textId="1550EDAD" w:rsidR="005046C5" w:rsidRPr="00033E65" w:rsidRDefault="00F90E26" w:rsidP="005046C5">
            <w:pPr>
              <w:spacing w:before="0" w:after="0"/>
              <w:jc w:val="center"/>
              <w:rPr>
                <w:sz w:val="18"/>
                <w:szCs w:val="18"/>
                <w:lang w:eastAsia="es-CR"/>
              </w:rPr>
            </w:pPr>
            <w:r w:rsidRPr="00033E65">
              <w:rPr>
                <w:sz w:val="18"/>
                <w:szCs w:val="18"/>
                <w:lang w:eastAsia="es-CR"/>
              </w:rPr>
              <w:t>Liberia, Upala</w:t>
            </w:r>
          </w:p>
        </w:tc>
      </w:tr>
      <w:tr w:rsidR="00C07CA8" w:rsidRPr="00033E65" w14:paraId="434BAB1F" w14:textId="77777777" w:rsidTr="00A65879">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24B86BE4" w14:textId="77777777" w:rsidR="005046C5" w:rsidRPr="00033E65" w:rsidRDefault="005046C5" w:rsidP="005046C5">
            <w:pPr>
              <w:spacing w:before="0" w:after="0"/>
              <w:rPr>
                <w:sz w:val="18"/>
                <w:szCs w:val="18"/>
                <w:lang w:eastAsia="es-CR"/>
              </w:rPr>
            </w:pPr>
            <w:r w:rsidRPr="00033E65">
              <w:rPr>
                <w:sz w:val="18"/>
                <w:szCs w:val="18"/>
                <w:lang w:eastAsia="es-CR"/>
              </w:rPr>
              <w:t>Juzgado Agrario de 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520FC805" w14:textId="77777777" w:rsidR="005046C5" w:rsidRPr="00033E65" w:rsidRDefault="005046C5" w:rsidP="005046C5">
            <w:pPr>
              <w:spacing w:before="0" w:after="0"/>
              <w:jc w:val="center"/>
              <w:rPr>
                <w:sz w:val="18"/>
                <w:szCs w:val="18"/>
                <w:lang w:eastAsia="es-CR"/>
              </w:rPr>
            </w:pPr>
            <w:r w:rsidRPr="00033E65">
              <w:rPr>
                <w:sz w:val="18"/>
                <w:szCs w:val="18"/>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2793884" w14:textId="77777777" w:rsidR="005046C5" w:rsidRPr="00033E65" w:rsidRDefault="005046C5" w:rsidP="005046C5">
            <w:pPr>
              <w:spacing w:before="0" w:after="0"/>
              <w:jc w:val="center"/>
              <w:rPr>
                <w:sz w:val="18"/>
                <w:szCs w:val="18"/>
                <w:lang w:eastAsia="es-CR"/>
              </w:rPr>
            </w:pPr>
            <w:r w:rsidRPr="00033E65">
              <w:rPr>
                <w:sz w:val="18"/>
                <w:szCs w:val="18"/>
                <w:lang w:eastAsia="es-CR"/>
              </w:rPr>
              <w:t>San Ramón</w:t>
            </w:r>
          </w:p>
        </w:tc>
        <w:tc>
          <w:tcPr>
            <w:tcW w:w="2111" w:type="dxa"/>
            <w:tcBorders>
              <w:top w:val="nil"/>
              <w:left w:val="nil"/>
              <w:bottom w:val="double" w:sz="6" w:space="0" w:color="1F497D"/>
              <w:right w:val="double" w:sz="6" w:space="0" w:color="1F497D"/>
            </w:tcBorders>
            <w:shd w:val="clear" w:color="auto" w:fill="auto"/>
            <w:noWrap/>
            <w:vAlign w:val="center"/>
            <w:hideMark/>
          </w:tcPr>
          <w:p w14:paraId="3F79EB7B" w14:textId="77777777" w:rsidR="005046C5" w:rsidRPr="00033E65" w:rsidRDefault="005046C5" w:rsidP="005046C5">
            <w:pPr>
              <w:spacing w:before="0" w:after="0"/>
              <w:jc w:val="center"/>
              <w:rPr>
                <w:sz w:val="18"/>
                <w:szCs w:val="18"/>
                <w:lang w:eastAsia="es-CR"/>
              </w:rPr>
            </w:pPr>
            <w:r w:rsidRPr="00033E65">
              <w:rPr>
                <w:sz w:val="18"/>
                <w:szCs w:val="18"/>
                <w:lang w:eastAsia="es-CR"/>
              </w:rPr>
              <w:t>Alajuela, San José</w:t>
            </w:r>
          </w:p>
        </w:tc>
      </w:tr>
      <w:tr w:rsidR="00C07CA8" w:rsidRPr="00033E65" w14:paraId="2FACFF92" w14:textId="77777777" w:rsidTr="00A65879">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48F08B25" w14:textId="77777777" w:rsidR="005046C5" w:rsidRPr="00033E65" w:rsidRDefault="005046C5" w:rsidP="005046C5">
            <w:pPr>
              <w:spacing w:before="0" w:after="0"/>
              <w:rPr>
                <w:sz w:val="18"/>
                <w:szCs w:val="18"/>
                <w:lang w:eastAsia="es-CR"/>
              </w:rPr>
            </w:pPr>
            <w:r w:rsidRPr="00033E65">
              <w:rPr>
                <w:sz w:val="18"/>
                <w:szCs w:val="18"/>
                <w:lang w:eastAsia="es-CR"/>
              </w:rPr>
              <w:t>Juzgado Agrario del Tercer Circuito Judicial de Alajuela (San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4F16DDD6" w14:textId="77777777" w:rsidR="005046C5" w:rsidRPr="00033E65" w:rsidRDefault="005046C5" w:rsidP="005046C5">
            <w:pPr>
              <w:spacing w:before="0" w:after="0"/>
              <w:jc w:val="center"/>
              <w:rPr>
                <w:sz w:val="18"/>
                <w:szCs w:val="18"/>
                <w:lang w:eastAsia="es-CR"/>
              </w:rPr>
            </w:pPr>
            <w:r w:rsidRPr="00033E65">
              <w:rPr>
                <w:sz w:val="18"/>
                <w:szCs w:val="18"/>
                <w:lang w:eastAsia="es-CR"/>
              </w:rPr>
              <w:t>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3B493AF3" w14:textId="77777777" w:rsidR="005046C5" w:rsidRPr="00033E65" w:rsidRDefault="005046C5" w:rsidP="005046C5">
            <w:pPr>
              <w:spacing w:before="0" w:after="0"/>
              <w:jc w:val="center"/>
              <w:rPr>
                <w:sz w:val="18"/>
                <w:szCs w:val="18"/>
                <w:lang w:eastAsia="es-CR"/>
              </w:rPr>
            </w:pPr>
            <w:r w:rsidRPr="00033E65">
              <w:rPr>
                <w:sz w:val="18"/>
                <w:szCs w:val="18"/>
                <w:lang w:eastAsia="es-CR"/>
              </w:rPr>
              <w:t>Puntarenas</w:t>
            </w:r>
          </w:p>
        </w:tc>
        <w:tc>
          <w:tcPr>
            <w:tcW w:w="2111" w:type="dxa"/>
            <w:tcBorders>
              <w:top w:val="nil"/>
              <w:left w:val="nil"/>
              <w:bottom w:val="double" w:sz="6" w:space="0" w:color="1F497D"/>
              <w:right w:val="double" w:sz="6" w:space="0" w:color="1F497D"/>
            </w:tcBorders>
            <w:shd w:val="clear" w:color="auto" w:fill="auto"/>
            <w:noWrap/>
            <w:vAlign w:val="center"/>
            <w:hideMark/>
          </w:tcPr>
          <w:p w14:paraId="03675ED0" w14:textId="77777777" w:rsidR="005046C5" w:rsidRPr="00033E65" w:rsidRDefault="005046C5" w:rsidP="005046C5">
            <w:pPr>
              <w:spacing w:before="0" w:after="0"/>
              <w:jc w:val="center"/>
              <w:rPr>
                <w:sz w:val="18"/>
                <w:szCs w:val="18"/>
                <w:lang w:eastAsia="es-CR"/>
              </w:rPr>
            </w:pPr>
            <w:r w:rsidRPr="00033E65">
              <w:rPr>
                <w:sz w:val="18"/>
                <w:szCs w:val="18"/>
                <w:lang w:eastAsia="es-CR"/>
              </w:rPr>
              <w:t>Alajuela, San José, San Carlos</w:t>
            </w:r>
          </w:p>
        </w:tc>
      </w:tr>
      <w:tr w:rsidR="00C07CA8" w:rsidRPr="00033E65" w14:paraId="348C195D" w14:textId="77777777" w:rsidTr="00A65879">
        <w:trPr>
          <w:trHeight w:val="19"/>
          <w:tblHeader/>
        </w:trPr>
        <w:tc>
          <w:tcPr>
            <w:tcW w:w="3610" w:type="dxa"/>
            <w:vMerge w:val="restart"/>
            <w:tcBorders>
              <w:top w:val="nil"/>
              <w:left w:val="double" w:sz="6" w:space="0" w:color="1F497D"/>
              <w:right w:val="double" w:sz="6" w:space="0" w:color="1F497D"/>
            </w:tcBorders>
            <w:shd w:val="clear" w:color="auto" w:fill="auto"/>
            <w:noWrap/>
            <w:vAlign w:val="center"/>
          </w:tcPr>
          <w:p w14:paraId="3663861D" w14:textId="7495C3DE" w:rsidR="00F803FE" w:rsidRPr="00033E65" w:rsidRDefault="00F803FE" w:rsidP="00F803FE">
            <w:pPr>
              <w:spacing w:before="0" w:after="0"/>
              <w:rPr>
                <w:sz w:val="18"/>
                <w:szCs w:val="18"/>
                <w:lang w:eastAsia="es-CR"/>
              </w:rPr>
            </w:pPr>
            <w:r w:rsidRPr="00033E65">
              <w:rPr>
                <w:sz w:val="18"/>
                <w:szCs w:val="18"/>
                <w:lang w:eastAsia="es-CR"/>
              </w:rPr>
              <w:t>Juzgado Civil, Trabajo, Agrario, Familia, Penal Juvenil, Contra la Violencia Doméstica y Protección Cautelar II Circuito Judicial de Alajuela, sede Upala</w:t>
            </w:r>
          </w:p>
        </w:tc>
        <w:tc>
          <w:tcPr>
            <w:tcW w:w="0" w:type="auto"/>
            <w:tcBorders>
              <w:top w:val="nil"/>
              <w:left w:val="nil"/>
              <w:bottom w:val="double" w:sz="6" w:space="0" w:color="1F497D"/>
              <w:right w:val="double" w:sz="6" w:space="0" w:color="1F497D"/>
            </w:tcBorders>
            <w:shd w:val="clear" w:color="auto" w:fill="auto"/>
            <w:noWrap/>
            <w:vAlign w:val="center"/>
          </w:tcPr>
          <w:p w14:paraId="3CD245BB" w14:textId="77777777" w:rsidR="00F803FE" w:rsidRPr="00033E65" w:rsidRDefault="00F803FE" w:rsidP="00F803FE">
            <w:pPr>
              <w:spacing w:before="0" w:after="0"/>
              <w:jc w:val="center"/>
              <w:rPr>
                <w:sz w:val="18"/>
                <w:szCs w:val="18"/>
                <w:lang w:eastAsia="es-CR"/>
              </w:rPr>
            </w:pPr>
            <w:r w:rsidRPr="00033E65">
              <w:rPr>
                <w:sz w:val="18"/>
                <w:szCs w:val="18"/>
                <w:lang w:eastAsia="es-CR"/>
              </w:rPr>
              <w:t>Upala</w:t>
            </w:r>
          </w:p>
          <w:p w14:paraId="231CCD1F" w14:textId="69C9EDEC" w:rsidR="00F803FE" w:rsidRPr="00033E65" w:rsidRDefault="00F803FE" w:rsidP="00F803FE">
            <w:pPr>
              <w:spacing w:before="0" w:after="0"/>
              <w:jc w:val="center"/>
              <w:rPr>
                <w:sz w:val="18"/>
                <w:szCs w:val="18"/>
                <w:lang w:eastAsia="es-CR"/>
              </w:rPr>
            </w:pPr>
            <w:r w:rsidRPr="00033E65">
              <w:rPr>
                <w:sz w:val="18"/>
                <w:szCs w:val="18"/>
                <w:lang w:eastAsia="es-CR"/>
              </w:rPr>
              <w:t xml:space="preserve"> (Primer Persona Indígena)</w:t>
            </w:r>
          </w:p>
        </w:tc>
        <w:tc>
          <w:tcPr>
            <w:tcW w:w="0" w:type="auto"/>
            <w:tcBorders>
              <w:top w:val="nil"/>
              <w:left w:val="nil"/>
              <w:bottom w:val="double" w:sz="6" w:space="0" w:color="1F497D"/>
              <w:right w:val="double" w:sz="6" w:space="0" w:color="1F497D"/>
            </w:tcBorders>
            <w:shd w:val="clear" w:color="auto" w:fill="auto"/>
            <w:noWrap/>
            <w:vAlign w:val="center"/>
          </w:tcPr>
          <w:p w14:paraId="1F6B0E7E" w14:textId="77777777" w:rsidR="00F803FE" w:rsidRPr="00033E65" w:rsidRDefault="00F803FE" w:rsidP="00F803FE">
            <w:pPr>
              <w:spacing w:before="0" w:after="0"/>
              <w:jc w:val="center"/>
              <w:rPr>
                <w:sz w:val="18"/>
                <w:szCs w:val="18"/>
                <w:lang w:eastAsia="es-CR"/>
              </w:rPr>
            </w:pPr>
            <w:r w:rsidRPr="00033E65">
              <w:rPr>
                <w:sz w:val="18"/>
                <w:szCs w:val="18"/>
                <w:lang w:eastAsia="es-CR"/>
              </w:rPr>
              <w:t>San Carlos</w:t>
            </w:r>
          </w:p>
          <w:p w14:paraId="22F5D5C9" w14:textId="6917B7C3" w:rsidR="00F803FE" w:rsidRPr="00033E65" w:rsidRDefault="00F803FE" w:rsidP="00F803FE">
            <w:pPr>
              <w:spacing w:before="0" w:after="0"/>
              <w:jc w:val="center"/>
              <w:rPr>
                <w:sz w:val="18"/>
                <w:szCs w:val="18"/>
                <w:lang w:eastAsia="es-CR"/>
              </w:rPr>
            </w:pPr>
            <w:r w:rsidRPr="00033E65">
              <w:rPr>
                <w:sz w:val="18"/>
                <w:szCs w:val="18"/>
                <w:lang w:eastAsia="es-CR"/>
              </w:rPr>
              <w:t>(Segunda Persona Indígena)</w:t>
            </w:r>
          </w:p>
        </w:tc>
        <w:tc>
          <w:tcPr>
            <w:tcW w:w="2111" w:type="dxa"/>
            <w:tcBorders>
              <w:top w:val="nil"/>
              <w:left w:val="nil"/>
              <w:bottom w:val="double" w:sz="6" w:space="0" w:color="1F497D"/>
              <w:right w:val="double" w:sz="6" w:space="0" w:color="1F497D"/>
            </w:tcBorders>
            <w:shd w:val="clear" w:color="auto" w:fill="auto"/>
            <w:noWrap/>
            <w:vAlign w:val="center"/>
          </w:tcPr>
          <w:p w14:paraId="4AF9CE29" w14:textId="77777777" w:rsidR="00F803FE" w:rsidRPr="00033E65" w:rsidRDefault="00F803FE" w:rsidP="00F803FE">
            <w:pPr>
              <w:spacing w:before="0" w:after="0"/>
              <w:jc w:val="center"/>
              <w:rPr>
                <w:sz w:val="18"/>
                <w:szCs w:val="18"/>
                <w:lang w:eastAsia="es-CR"/>
              </w:rPr>
            </w:pPr>
            <w:r w:rsidRPr="00033E65">
              <w:rPr>
                <w:sz w:val="18"/>
                <w:szCs w:val="18"/>
                <w:lang w:eastAsia="es-CR"/>
              </w:rPr>
              <w:t>San Ramón (Persona no indígena)</w:t>
            </w:r>
          </w:p>
          <w:p w14:paraId="4C174A59" w14:textId="6C66E225" w:rsidR="00F803FE" w:rsidRPr="00033E65" w:rsidRDefault="00F803FE" w:rsidP="00F803FE">
            <w:pPr>
              <w:spacing w:before="0" w:after="0"/>
              <w:jc w:val="center"/>
              <w:rPr>
                <w:sz w:val="18"/>
                <w:szCs w:val="18"/>
                <w:lang w:eastAsia="es-CR"/>
              </w:rPr>
            </w:pPr>
            <w:r w:rsidRPr="00033E65">
              <w:rPr>
                <w:sz w:val="18"/>
                <w:szCs w:val="18"/>
                <w:lang w:eastAsia="es-CR"/>
              </w:rPr>
              <w:t>Liberia (ADI Malekú)</w:t>
            </w:r>
          </w:p>
        </w:tc>
      </w:tr>
      <w:tr w:rsidR="00AD238F" w:rsidRPr="00033E65" w14:paraId="61DFE317" w14:textId="77777777" w:rsidTr="00A65879">
        <w:trPr>
          <w:trHeight w:val="19"/>
          <w:tblHeader/>
        </w:trPr>
        <w:tc>
          <w:tcPr>
            <w:tcW w:w="3610" w:type="dxa"/>
            <w:vMerge/>
            <w:tcBorders>
              <w:left w:val="double" w:sz="6" w:space="0" w:color="1F497D"/>
              <w:bottom w:val="double" w:sz="6" w:space="0" w:color="1F497D"/>
              <w:right w:val="double" w:sz="6" w:space="0" w:color="1F497D"/>
            </w:tcBorders>
            <w:shd w:val="clear" w:color="auto" w:fill="auto"/>
            <w:noWrap/>
            <w:vAlign w:val="center"/>
            <w:hideMark/>
          </w:tcPr>
          <w:p w14:paraId="1AD54BBF" w14:textId="3EE50FA3" w:rsidR="00F803FE" w:rsidRPr="00033E65" w:rsidRDefault="00F803FE" w:rsidP="00F803FE">
            <w:pPr>
              <w:spacing w:before="0" w:after="0"/>
              <w:rPr>
                <w:sz w:val="18"/>
                <w:szCs w:val="18"/>
                <w:lang w:eastAsia="es-CR"/>
              </w:rPr>
            </w:pPr>
          </w:p>
        </w:tc>
        <w:tc>
          <w:tcPr>
            <w:tcW w:w="0" w:type="auto"/>
            <w:tcBorders>
              <w:top w:val="nil"/>
              <w:left w:val="nil"/>
              <w:bottom w:val="double" w:sz="6" w:space="0" w:color="1F497D"/>
              <w:right w:val="double" w:sz="6" w:space="0" w:color="1F497D"/>
            </w:tcBorders>
            <w:shd w:val="clear" w:color="auto" w:fill="auto"/>
            <w:noWrap/>
            <w:vAlign w:val="center"/>
            <w:hideMark/>
          </w:tcPr>
          <w:p w14:paraId="5D206AFC" w14:textId="77777777" w:rsidR="00F803FE" w:rsidRPr="00033E65" w:rsidRDefault="00F803FE" w:rsidP="00F803FE">
            <w:pPr>
              <w:widowControl w:val="0"/>
              <w:spacing w:before="0" w:after="0"/>
              <w:jc w:val="center"/>
              <w:rPr>
                <w:color w:val="000000"/>
              </w:rPr>
            </w:pPr>
            <w:r w:rsidRPr="00033E65">
              <w:rPr>
                <w:color w:val="000000"/>
                <w:sz w:val="18"/>
                <w:szCs w:val="18"/>
                <w:lang w:eastAsia="es-CR"/>
              </w:rPr>
              <w:t>Upala</w:t>
            </w:r>
          </w:p>
          <w:p w14:paraId="03C7B1B6" w14:textId="3FB53770" w:rsidR="00F803FE" w:rsidRPr="00033E65" w:rsidRDefault="00F803FE" w:rsidP="00F803FE">
            <w:pPr>
              <w:spacing w:before="0" w:after="0"/>
              <w:jc w:val="center"/>
              <w:rPr>
                <w:sz w:val="18"/>
                <w:szCs w:val="18"/>
                <w:lang w:eastAsia="es-CR"/>
              </w:rPr>
            </w:pPr>
            <w:r w:rsidRPr="00033E65">
              <w:rPr>
                <w:color w:val="000000"/>
                <w:sz w:val="18"/>
                <w:szCs w:val="18"/>
                <w:lang w:eastAsia="es-CR"/>
              </w:rPr>
              <w:t xml:space="preserve"> (Primer Persona Indígena)</w:t>
            </w:r>
          </w:p>
        </w:tc>
        <w:tc>
          <w:tcPr>
            <w:tcW w:w="0" w:type="auto"/>
            <w:tcBorders>
              <w:top w:val="nil"/>
              <w:left w:val="nil"/>
              <w:bottom w:val="double" w:sz="6" w:space="0" w:color="1F497D"/>
              <w:right w:val="double" w:sz="6" w:space="0" w:color="1F497D"/>
            </w:tcBorders>
            <w:shd w:val="clear" w:color="auto" w:fill="auto"/>
            <w:noWrap/>
            <w:vAlign w:val="center"/>
            <w:hideMark/>
          </w:tcPr>
          <w:p w14:paraId="335E0F82" w14:textId="77777777" w:rsidR="00F803FE" w:rsidRPr="00033E65" w:rsidRDefault="00F803FE" w:rsidP="00F803FE">
            <w:pPr>
              <w:widowControl w:val="0"/>
              <w:spacing w:before="0" w:after="0"/>
              <w:jc w:val="center"/>
              <w:rPr>
                <w:color w:val="000000"/>
              </w:rPr>
            </w:pPr>
            <w:r w:rsidRPr="00033E65">
              <w:rPr>
                <w:color w:val="000000"/>
                <w:sz w:val="18"/>
                <w:szCs w:val="18"/>
                <w:lang w:eastAsia="es-CR"/>
              </w:rPr>
              <w:t>San Carlos</w:t>
            </w:r>
          </w:p>
          <w:p w14:paraId="1EF945FF" w14:textId="3A85C19F" w:rsidR="00F803FE" w:rsidRPr="00033E65" w:rsidRDefault="00F803FE" w:rsidP="00F803FE">
            <w:pPr>
              <w:spacing w:before="0" w:after="0"/>
              <w:jc w:val="center"/>
              <w:rPr>
                <w:sz w:val="18"/>
                <w:szCs w:val="18"/>
                <w:lang w:eastAsia="es-CR"/>
              </w:rPr>
            </w:pPr>
            <w:r w:rsidRPr="00033E65">
              <w:rPr>
                <w:color w:val="000000"/>
                <w:sz w:val="18"/>
                <w:szCs w:val="18"/>
                <w:lang w:eastAsia="es-CR"/>
              </w:rPr>
              <w:t>(Segunda Persona Indígena)</w:t>
            </w:r>
          </w:p>
        </w:tc>
        <w:tc>
          <w:tcPr>
            <w:tcW w:w="2111" w:type="dxa"/>
            <w:tcBorders>
              <w:top w:val="nil"/>
              <w:left w:val="nil"/>
              <w:bottom w:val="double" w:sz="6" w:space="0" w:color="1F497D"/>
              <w:right w:val="double" w:sz="6" w:space="0" w:color="1F497D"/>
            </w:tcBorders>
            <w:shd w:val="clear" w:color="auto" w:fill="auto"/>
            <w:noWrap/>
            <w:vAlign w:val="center"/>
            <w:hideMark/>
          </w:tcPr>
          <w:p w14:paraId="1B9A9CA1" w14:textId="77777777" w:rsidR="00F803FE" w:rsidRPr="00033E65" w:rsidRDefault="00F803FE" w:rsidP="00F803FE">
            <w:pPr>
              <w:widowControl w:val="0"/>
              <w:spacing w:before="0" w:after="0"/>
              <w:jc w:val="center"/>
              <w:rPr>
                <w:color w:val="000000"/>
              </w:rPr>
            </w:pPr>
            <w:r w:rsidRPr="00033E65">
              <w:rPr>
                <w:color w:val="000000"/>
                <w:sz w:val="18"/>
                <w:szCs w:val="18"/>
                <w:lang w:eastAsia="es-CR"/>
              </w:rPr>
              <w:t>San Ramón (Persona no indígena)</w:t>
            </w:r>
          </w:p>
          <w:p w14:paraId="5BFF07EC" w14:textId="15777A7F" w:rsidR="00F803FE" w:rsidRPr="00033E65" w:rsidRDefault="00F803FE" w:rsidP="00F803FE">
            <w:pPr>
              <w:spacing w:before="0" w:after="0"/>
              <w:jc w:val="center"/>
              <w:rPr>
                <w:sz w:val="18"/>
                <w:szCs w:val="18"/>
                <w:lang w:eastAsia="es-CR"/>
              </w:rPr>
            </w:pPr>
            <w:r w:rsidRPr="00033E65">
              <w:rPr>
                <w:color w:val="000000"/>
                <w:sz w:val="18"/>
                <w:szCs w:val="18"/>
                <w:lang w:eastAsia="es-CR"/>
              </w:rPr>
              <w:t>Alajuela (ADI Malekú)</w:t>
            </w:r>
          </w:p>
        </w:tc>
      </w:tr>
      <w:tr w:rsidR="00C07CA8" w:rsidRPr="00033E65" w14:paraId="1CAE787E" w14:textId="77777777" w:rsidTr="00A65879">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517DAF2" w14:textId="77777777" w:rsidR="005046C5" w:rsidRPr="00033E65" w:rsidRDefault="005046C5" w:rsidP="005046C5">
            <w:pPr>
              <w:spacing w:before="0" w:after="0"/>
              <w:rPr>
                <w:sz w:val="18"/>
                <w:szCs w:val="18"/>
                <w:lang w:eastAsia="es-CR"/>
              </w:rPr>
            </w:pPr>
            <w:r w:rsidRPr="00033E65">
              <w:rPr>
                <w:sz w:val="18"/>
                <w:szCs w:val="18"/>
                <w:lang w:eastAsia="es-CR"/>
              </w:rPr>
              <w:t>Juzgado Agrario del II Circuito Judicial de Alajuela (San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5F375DD7" w14:textId="77777777" w:rsidR="005046C5" w:rsidRPr="00033E65" w:rsidRDefault="005046C5" w:rsidP="005046C5">
            <w:pPr>
              <w:spacing w:before="0" w:after="0"/>
              <w:jc w:val="center"/>
              <w:rPr>
                <w:sz w:val="18"/>
                <w:szCs w:val="18"/>
                <w:lang w:eastAsia="es-CR"/>
              </w:rPr>
            </w:pPr>
            <w:r w:rsidRPr="00033E65">
              <w:rPr>
                <w:sz w:val="18"/>
                <w:szCs w:val="18"/>
                <w:lang w:eastAsia="es-CR"/>
              </w:rPr>
              <w:t>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6A17D878" w14:textId="77777777" w:rsidR="005046C5" w:rsidRPr="00033E65" w:rsidRDefault="005046C5" w:rsidP="005046C5">
            <w:pPr>
              <w:spacing w:before="0" w:after="0"/>
              <w:jc w:val="center"/>
              <w:rPr>
                <w:sz w:val="18"/>
                <w:szCs w:val="18"/>
                <w:lang w:eastAsia="es-CR"/>
              </w:rPr>
            </w:pPr>
            <w:r w:rsidRPr="00033E65">
              <w:rPr>
                <w:sz w:val="18"/>
                <w:szCs w:val="18"/>
                <w:lang w:eastAsia="es-CR"/>
              </w:rPr>
              <w:t>Upala</w:t>
            </w:r>
          </w:p>
        </w:tc>
        <w:tc>
          <w:tcPr>
            <w:tcW w:w="2111" w:type="dxa"/>
            <w:tcBorders>
              <w:top w:val="nil"/>
              <w:left w:val="nil"/>
              <w:bottom w:val="double" w:sz="6" w:space="0" w:color="1F497D"/>
              <w:right w:val="double" w:sz="6" w:space="0" w:color="1F497D"/>
            </w:tcBorders>
            <w:shd w:val="clear" w:color="auto" w:fill="auto"/>
            <w:noWrap/>
            <w:vAlign w:val="center"/>
            <w:hideMark/>
          </w:tcPr>
          <w:p w14:paraId="2FD86BDB" w14:textId="6C60D346" w:rsidR="005046C5" w:rsidRPr="00033E65" w:rsidRDefault="005046C5" w:rsidP="005046C5">
            <w:pPr>
              <w:spacing w:before="0" w:after="0"/>
              <w:jc w:val="center"/>
              <w:rPr>
                <w:sz w:val="18"/>
                <w:szCs w:val="18"/>
                <w:lang w:eastAsia="es-CR"/>
              </w:rPr>
            </w:pPr>
            <w:r w:rsidRPr="00033E65">
              <w:rPr>
                <w:sz w:val="18"/>
                <w:szCs w:val="18"/>
                <w:lang w:eastAsia="es-CR"/>
              </w:rPr>
              <w:t>San Ramón</w:t>
            </w:r>
            <w:r w:rsidR="00A50AFC" w:rsidRPr="00033E65">
              <w:rPr>
                <w:sz w:val="18"/>
                <w:szCs w:val="18"/>
                <w:lang w:eastAsia="es-CR"/>
              </w:rPr>
              <w:t>, Alajuela</w:t>
            </w:r>
          </w:p>
        </w:tc>
      </w:tr>
      <w:tr w:rsidR="00C07CA8" w:rsidRPr="00033E65" w14:paraId="1C3B61B1" w14:textId="77777777" w:rsidTr="00A65879">
        <w:trPr>
          <w:trHeight w:val="19"/>
          <w:tblHeader/>
        </w:trPr>
        <w:tc>
          <w:tcPr>
            <w:tcW w:w="3610" w:type="dxa"/>
            <w:vMerge w:val="restart"/>
            <w:tcBorders>
              <w:top w:val="nil"/>
              <w:left w:val="double" w:sz="6" w:space="0" w:color="1F497D"/>
              <w:right w:val="double" w:sz="6" w:space="0" w:color="1F497D"/>
            </w:tcBorders>
            <w:shd w:val="clear" w:color="auto" w:fill="auto"/>
            <w:noWrap/>
            <w:vAlign w:val="center"/>
          </w:tcPr>
          <w:p w14:paraId="127C9E43" w14:textId="0327354C" w:rsidR="00E6586C" w:rsidRPr="00033E65" w:rsidRDefault="00E6586C" w:rsidP="005046C5">
            <w:pPr>
              <w:spacing w:before="0" w:after="0"/>
              <w:rPr>
                <w:sz w:val="18"/>
                <w:szCs w:val="18"/>
                <w:lang w:eastAsia="es-CR"/>
              </w:rPr>
            </w:pPr>
            <w:r w:rsidRPr="00033E65">
              <w:rPr>
                <w:sz w:val="18"/>
                <w:szCs w:val="18"/>
                <w:lang w:eastAsia="es-CR"/>
              </w:rPr>
              <w:t>Juzgado Agrario del I Circuito Judicial de la Zona Atlántica (Limón)</w:t>
            </w:r>
          </w:p>
        </w:tc>
        <w:tc>
          <w:tcPr>
            <w:tcW w:w="0" w:type="auto"/>
            <w:tcBorders>
              <w:top w:val="nil"/>
              <w:left w:val="nil"/>
              <w:bottom w:val="double" w:sz="6" w:space="0" w:color="1F497D"/>
              <w:right w:val="double" w:sz="6" w:space="0" w:color="1F497D"/>
            </w:tcBorders>
            <w:shd w:val="clear" w:color="auto" w:fill="auto"/>
            <w:noWrap/>
            <w:vAlign w:val="center"/>
          </w:tcPr>
          <w:p w14:paraId="51D0399E" w14:textId="7ABF83C3" w:rsidR="00E6586C" w:rsidRPr="00033E65" w:rsidRDefault="00E6586C" w:rsidP="005046C5">
            <w:pPr>
              <w:spacing w:before="0" w:after="0"/>
              <w:jc w:val="center"/>
              <w:rPr>
                <w:sz w:val="18"/>
                <w:szCs w:val="18"/>
                <w:lang w:eastAsia="es-CR"/>
              </w:rPr>
            </w:pPr>
            <w:r w:rsidRPr="00033E65">
              <w:rPr>
                <w:sz w:val="18"/>
                <w:szCs w:val="18"/>
                <w:lang w:eastAsia="es-CR"/>
              </w:rPr>
              <w:t>Limón</w:t>
            </w:r>
          </w:p>
        </w:tc>
        <w:tc>
          <w:tcPr>
            <w:tcW w:w="0" w:type="auto"/>
            <w:tcBorders>
              <w:top w:val="nil"/>
              <w:left w:val="nil"/>
              <w:bottom w:val="double" w:sz="6" w:space="0" w:color="1F497D"/>
              <w:right w:val="double" w:sz="6" w:space="0" w:color="1F497D"/>
            </w:tcBorders>
            <w:shd w:val="clear" w:color="auto" w:fill="auto"/>
            <w:noWrap/>
            <w:vAlign w:val="center"/>
          </w:tcPr>
          <w:p w14:paraId="3C3F54F7" w14:textId="255BA2DE" w:rsidR="00E6586C" w:rsidRPr="00033E65" w:rsidRDefault="00E6586C" w:rsidP="005046C5">
            <w:pPr>
              <w:spacing w:before="0" w:after="0"/>
              <w:jc w:val="center"/>
              <w:rPr>
                <w:sz w:val="18"/>
                <w:szCs w:val="18"/>
                <w:lang w:eastAsia="es-CR"/>
              </w:rPr>
            </w:pPr>
            <w:r w:rsidRPr="00033E65">
              <w:rPr>
                <w:sz w:val="18"/>
                <w:szCs w:val="18"/>
                <w:lang w:eastAsia="es-CR"/>
              </w:rPr>
              <w:t>Segunda Plaza Limón</w:t>
            </w:r>
          </w:p>
        </w:tc>
        <w:tc>
          <w:tcPr>
            <w:tcW w:w="2111" w:type="dxa"/>
            <w:tcBorders>
              <w:top w:val="nil"/>
              <w:left w:val="nil"/>
              <w:bottom w:val="double" w:sz="6" w:space="0" w:color="1F497D"/>
              <w:right w:val="double" w:sz="6" w:space="0" w:color="1F497D"/>
            </w:tcBorders>
            <w:shd w:val="clear" w:color="auto" w:fill="auto"/>
            <w:noWrap/>
            <w:vAlign w:val="center"/>
          </w:tcPr>
          <w:p w14:paraId="64AB5727" w14:textId="77777777" w:rsidR="00E6586C" w:rsidRPr="00033E65" w:rsidRDefault="00E6586C" w:rsidP="005046C5">
            <w:pPr>
              <w:spacing w:before="0" w:after="0"/>
              <w:jc w:val="center"/>
              <w:rPr>
                <w:sz w:val="18"/>
                <w:szCs w:val="18"/>
                <w:lang w:eastAsia="es-CR"/>
              </w:rPr>
            </w:pPr>
          </w:p>
        </w:tc>
      </w:tr>
      <w:tr w:rsidR="00AD238F" w:rsidRPr="00033E65" w14:paraId="54FD5A93" w14:textId="77777777" w:rsidTr="00A65879">
        <w:trPr>
          <w:trHeight w:val="19"/>
          <w:tblHeader/>
        </w:trPr>
        <w:tc>
          <w:tcPr>
            <w:tcW w:w="3610" w:type="dxa"/>
            <w:vMerge/>
            <w:tcBorders>
              <w:left w:val="double" w:sz="6" w:space="0" w:color="1F497D"/>
              <w:bottom w:val="double" w:sz="6" w:space="0" w:color="1F497D"/>
              <w:right w:val="double" w:sz="6" w:space="0" w:color="1F497D"/>
            </w:tcBorders>
            <w:shd w:val="clear" w:color="auto" w:fill="auto"/>
            <w:noWrap/>
            <w:vAlign w:val="center"/>
            <w:hideMark/>
          </w:tcPr>
          <w:p w14:paraId="6C513BA2" w14:textId="489E7CD1" w:rsidR="00E6586C" w:rsidRPr="00033E65" w:rsidRDefault="00E6586C" w:rsidP="005046C5">
            <w:pPr>
              <w:spacing w:before="0" w:after="0"/>
              <w:rPr>
                <w:sz w:val="18"/>
                <w:szCs w:val="18"/>
                <w:lang w:eastAsia="es-CR"/>
              </w:rPr>
            </w:pPr>
          </w:p>
        </w:tc>
        <w:tc>
          <w:tcPr>
            <w:tcW w:w="0" w:type="auto"/>
            <w:tcBorders>
              <w:top w:val="nil"/>
              <w:left w:val="nil"/>
              <w:bottom w:val="double" w:sz="6" w:space="0" w:color="1F497D"/>
              <w:right w:val="double" w:sz="6" w:space="0" w:color="1F497D"/>
            </w:tcBorders>
            <w:shd w:val="clear" w:color="auto" w:fill="auto"/>
            <w:noWrap/>
            <w:vAlign w:val="center"/>
            <w:hideMark/>
          </w:tcPr>
          <w:p w14:paraId="1F0296DA" w14:textId="77777777" w:rsidR="00E6586C" w:rsidRPr="00033E65" w:rsidRDefault="00E6586C" w:rsidP="005046C5">
            <w:pPr>
              <w:spacing w:before="0" w:after="0"/>
              <w:jc w:val="center"/>
              <w:rPr>
                <w:sz w:val="18"/>
                <w:szCs w:val="18"/>
                <w:lang w:eastAsia="es-CR"/>
              </w:rPr>
            </w:pPr>
            <w:r w:rsidRPr="00033E65">
              <w:rPr>
                <w:sz w:val="18"/>
                <w:szCs w:val="18"/>
                <w:lang w:eastAsia="es-CR"/>
              </w:rPr>
              <w:t xml:space="preserve">Limón, se desplaza a la atención </w:t>
            </w:r>
          </w:p>
          <w:p w14:paraId="0369A918" w14:textId="2A99A369" w:rsidR="00E6586C" w:rsidRPr="00033E65" w:rsidRDefault="00E6586C" w:rsidP="005046C5">
            <w:pPr>
              <w:spacing w:before="0" w:after="0"/>
              <w:jc w:val="center"/>
              <w:rPr>
                <w:sz w:val="18"/>
                <w:szCs w:val="18"/>
                <w:lang w:eastAsia="es-CR"/>
              </w:rPr>
            </w:pPr>
            <w:r w:rsidRPr="00033E65">
              <w:rPr>
                <w:sz w:val="18"/>
                <w:szCs w:val="18"/>
                <w:lang w:eastAsia="es-CR"/>
              </w:rPr>
              <w:t>de Brib</w:t>
            </w:r>
            <w:r w:rsidR="00F7158A" w:rsidRPr="00033E65">
              <w:rPr>
                <w:sz w:val="18"/>
                <w:szCs w:val="18"/>
                <w:lang w:eastAsia="es-CR"/>
              </w:rPr>
              <w:t>r</w:t>
            </w:r>
            <w:r w:rsidRPr="00033E65">
              <w:rPr>
                <w:sz w:val="18"/>
                <w:szCs w:val="18"/>
                <w:lang w:eastAsia="es-CR"/>
              </w:rPr>
              <w:t>í (Primer persona indígena)</w:t>
            </w:r>
          </w:p>
        </w:tc>
        <w:tc>
          <w:tcPr>
            <w:tcW w:w="0" w:type="auto"/>
            <w:tcBorders>
              <w:top w:val="nil"/>
              <w:left w:val="nil"/>
              <w:bottom w:val="double" w:sz="6" w:space="0" w:color="1F497D"/>
              <w:right w:val="double" w:sz="6" w:space="0" w:color="1F497D"/>
            </w:tcBorders>
            <w:shd w:val="clear" w:color="auto" w:fill="auto"/>
            <w:noWrap/>
            <w:vAlign w:val="center"/>
            <w:hideMark/>
          </w:tcPr>
          <w:p w14:paraId="4A66FF9A" w14:textId="77777777" w:rsidR="00E6586C" w:rsidRPr="00033E65" w:rsidRDefault="00E6586C" w:rsidP="005046C5">
            <w:pPr>
              <w:spacing w:before="0" w:after="0"/>
              <w:jc w:val="center"/>
              <w:rPr>
                <w:sz w:val="18"/>
                <w:szCs w:val="18"/>
                <w:lang w:eastAsia="es-CR"/>
              </w:rPr>
            </w:pPr>
            <w:r w:rsidRPr="00033E65">
              <w:rPr>
                <w:sz w:val="18"/>
                <w:szCs w:val="18"/>
                <w:lang w:eastAsia="es-CR"/>
              </w:rPr>
              <w:t>Segunda Plaza Limón</w:t>
            </w:r>
          </w:p>
          <w:p w14:paraId="0788BF49" w14:textId="103E07C8" w:rsidR="00E6586C" w:rsidRPr="00033E65" w:rsidRDefault="00E6586C" w:rsidP="005046C5">
            <w:pPr>
              <w:spacing w:before="0" w:after="0"/>
              <w:jc w:val="center"/>
              <w:rPr>
                <w:sz w:val="18"/>
                <w:szCs w:val="18"/>
                <w:lang w:eastAsia="es-CR"/>
              </w:rPr>
            </w:pPr>
            <w:r w:rsidRPr="00033E65">
              <w:rPr>
                <w:sz w:val="18"/>
                <w:szCs w:val="18"/>
                <w:lang w:eastAsia="es-CR"/>
              </w:rPr>
              <w:t>(Segunda persona indígena)</w:t>
            </w:r>
          </w:p>
        </w:tc>
        <w:tc>
          <w:tcPr>
            <w:tcW w:w="2111" w:type="dxa"/>
            <w:tcBorders>
              <w:top w:val="nil"/>
              <w:left w:val="nil"/>
              <w:bottom w:val="double" w:sz="6" w:space="0" w:color="1F497D"/>
              <w:right w:val="double" w:sz="6" w:space="0" w:color="1F497D"/>
            </w:tcBorders>
            <w:shd w:val="clear" w:color="auto" w:fill="auto"/>
            <w:noWrap/>
            <w:vAlign w:val="center"/>
            <w:hideMark/>
          </w:tcPr>
          <w:p w14:paraId="134E4658" w14:textId="77777777" w:rsidR="00D21809" w:rsidRPr="00033E65" w:rsidRDefault="00D21809" w:rsidP="00D21809">
            <w:pPr>
              <w:widowControl w:val="0"/>
              <w:spacing w:before="0" w:after="0"/>
              <w:jc w:val="center"/>
              <w:rPr>
                <w:color w:val="000000"/>
              </w:rPr>
            </w:pPr>
            <w:r w:rsidRPr="00033E65">
              <w:rPr>
                <w:color w:val="000000"/>
                <w:sz w:val="18"/>
                <w:szCs w:val="18"/>
                <w:lang w:eastAsia="es-CR"/>
              </w:rPr>
              <w:t>Guápiles (ADI)</w:t>
            </w:r>
          </w:p>
          <w:p w14:paraId="241F0486" w14:textId="3CED545E" w:rsidR="00E6586C" w:rsidRPr="00033E65" w:rsidRDefault="00D21809" w:rsidP="00D21809">
            <w:pPr>
              <w:spacing w:before="0" w:after="0"/>
              <w:jc w:val="center"/>
              <w:rPr>
                <w:sz w:val="18"/>
                <w:szCs w:val="18"/>
                <w:lang w:eastAsia="es-CR"/>
              </w:rPr>
            </w:pPr>
            <w:r w:rsidRPr="00033E65">
              <w:rPr>
                <w:color w:val="000000"/>
                <w:sz w:val="18"/>
                <w:szCs w:val="18"/>
                <w:lang w:eastAsia="es-CR"/>
              </w:rPr>
              <w:t>Turrialba</w:t>
            </w:r>
          </w:p>
        </w:tc>
      </w:tr>
      <w:tr w:rsidR="00C07CA8" w:rsidRPr="00033E65" w14:paraId="6158220D" w14:textId="77777777" w:rsidTr="00A65879">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1688A7B3" w14:textId="77777777" w:rsidR="005046C5" w:rsidRPr="00033E65" w:rsidRDefault="005046C5" w:rsidP="005046C5">
            <w:pPr>
              <w:spacing w:before="0" w:after="0"/>
              <w:rPr>
                <w:sz w:val="18"/>
                <w:szCs w:val="18"/>
                <w:lang w:eastAsia="es-CR"/>
              </w:rPr>
            </w:pPr>
            <w:r w:rsidRPr="00033E65">
              <w:rPr>
                <w:sz w:val="18"/>
                <w:szCs w:val="18"/>
                <w:lang w:eastAsia="es-CR"/>
              </w:rPr>
              <w:t>Juzgado Agrario del II Circuito Judicial de la Zona Atlántica (Guápiles)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13963FE4" w14:textId="77777777" w:rsidR="005046C5" w:rsidRPr="00033E65" w:rsidRDefault="005046C5" w:rsidP="005046C5">
            <w:pPr>
              <w:spacing w:before="0" w:after="0"/>
              <w:jc w:val="center"/>
              <w:rPr>
                <w:sz w:val="18"/>
                <w:szCs w:val="18"/>
                <w:lang w:eastAsia="es-CR"/>
              </w:rPr>
            </w:pPr>
            <w:r w:rsidRPr="00033E65">
              <w:rPr>
                <w:sz w:val="18"/>
                <w:szCs w:val="18"/>
                <w:lang w:eastAsia="es-CR"/>
              </w:rPr>
              <w:t>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061DDAB5" w14:textId="77777777" w:rsidR="005046C5" w:rsidRPr="00033E65" w:rsidRDefault="005046C5" w:rsidP="005046C5">
            <w:pPr>
              <w:spacing w:before="0" w:after="0"/>
              <w:jc w:val="center"/>
              <w:rPr>
                <w:sz w:val="18"/>
                <w:szCs w:val="18"/>
                <w:lang w:eastAsia="es-CR"/>
              </w:rPr>
            </w:pPr>
            <w:r w:rsidRPr="00033E65">
              <w:rPr>
                <w:sz w:val="18"/>
                <w:szCs w:val="18"/>
                <w:lang w:eastAsia="es-CR"/>
              </w:rPr>
              <w:t>Turrialba</w:t>
            </w:r>
          </w:p>
        </w:tc>
        <w:tc>
          <w:tcPr>
            <w:tcW w:w="2111" w:type="dxa"/>
            <w:tcBorders>
              <w:top w:val="nil"/>
              <w:left w:val="nil"/>
              <w:bottom w:val="double" w:sz="6" w:space="0" w:color="1F497D"/>
              <w:right w:val="double" w:sz="6" w:space="0" w:color="1F497D"/>
            </w:tcBorders>
            <w:shd w:val="clear" w:color="auto" w:fill="auto"/>
            <w:noWrap/>
            <w:vAlign w:val="center"/>
            <w:hideMark/>
          </w:tcPr>
          <w:p w14:paraId="425C132B" w14:textId="0AF778A5" w:rsidR="005046C5" w:rsidRPr="00033E65" w:rsidRDefault="004B077F" w:rsidP="00066C54">
            <w:pPr>
              <w:spacing w:before="0" w:after="0"/>
              <w:jc w:val="center"/>
              <w:rPr>
                <w:sz w:val="18"/>
                <w:szCs w:val="18"/>
                <w:lang w:eastAsia="es-CR"/>
              </w:rPr>
            </w:pPr>
            <w:r w:rsidRPr="00033E65">
              <w:rPr>
                <w:color w:val="000000"/>
                <w:sz w:val="18"/>
                <w:szCs w:val="18"/>
                <w:lang w:eastAsia="es-CR"/>
              </w:rPr>
              <w:t>Limón, San José</w:t>
            </w:r>
          </w:p>
        </w:tc>
      </w:tr>
      <w:tr w:rsidR="00C07CA8" w:rsidRPr="00033E65" w14:paraId="13CCF7AF" w14:textId="77777777" w:rsidTr="00A65879">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D1F26DD" w14:textId="77777777" w:rsidR="00E94D24" w:rsidRPr="00033E65" w:rsidRDefault="00E94D24" w:rsidP="00E94D24">
            <w:pPr>
              <w:spacing w:before="0" w:after="0"/>
              <w:rPr>
                <w:sz w:val="18"/>
                <w:szCs w:val="18"/>
                <w:lang w:eastAsia="es-CR"/>
              </w:rPr>
            </w:pPr>
            <w:r w:rsidRPr="00033E65">
              <w:rPr>
                <w:sz w:val="18"/>
                <w:szCs w:val="18"/>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F22B377" w14:textId="337968F7" w:rsidR="00E94D24" w:rsidRPr="00033E65" w:rsidRDefault="00E94D24" w:rsidP="00E94D24">
            <w:pPr>
              <w:spacing w:before="0" w:after="0"/>
              <w:jc w:val="center"/>
              <w:rPr>
                <w:sz w:val="18"/>
                <w:szCs w:val="18"/>
                <w:lang w:eastAsia="es-CR"/>
              </w:rPr>
            </w:pPr>
            <w:r w:rsidRPr="00033E65">
              <w:rPr>
                <w:color w:val="000000"/>
                <w:sz w:val="18"/>
                <w:szCs w:val="18"/>
                <w:lang w:eastAsia="es-CR"/>
              </w:rPr>
              <w:t>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14BCB7F" w14:textId="02DBB53F" w:rsidR="00E94D24" w:rsidRPr="00033E65" w:rsidRDefault="00E94D24" w:rsidP="00E94D24">
            <w:pPr>
              <w:spacing w:before="0" w:after="0"/>
              <w:jc w:val="center"/>
              <w:rPr>
                <w:sz w:val="18"/>
                <w:szCs w:val="18"/>
                <w:lang w:eastAsia="es-CR"/>
              </w:rPr>
            </w:pPr>
            <w:r w:rsidRPr="00033E65">
              <w:rPr>
                <w:color w:val="000000"/>
                <w:sz w:val="18"/>
                <w:szCs w:val="18"/>
                <w:lang w:eastAsia="es-CR"/>
              </w:rPr>
              <w:t>Cartago</w:t>
            </w:r>
          </w:p>
        </w:tc>
        <w:tc>
          <w:tcPr>
            <w:tcW w:w="2111" w:type="dxa"/>
            <w:tcBorders>
              <w:top w:val="nil"/>
              <w:left w:val="nil"/>
              <w:bottom w:val="double" w:sz="6" w:space="0" w:color="1F497D"/>
              <w:right w:val="double" w:sz="6" w:space="0" w:color="1F497D"/>
            </w:tcBorders>
            <w:shd w:val="clear" w:color="auto" w:fill="auto"/>
            <w:noWrap/>
            <w:vAlign w:val="center"/>
            <w:hideMark/>
          </w:tcPr>
          <w:p w14:paraId="3A6089CC" w14:textId="77777777" w:rsidR="00E94D24" w:rsidRPr="00033E65" w:rsidRDefault="00E94D24" w:rsidP="00E94D24">
            <w:pPr>
              <w:widowControl w:val="0"/>
              <w:spacing w:before="0" w:after="0"/>
              <w:jc w:val="center"/>
              <w:rPr>
                <w:color w:val="000000"/>
              </w:rPr>
            </w:pPr>
            <w:r w:rsidRPr="00033E65">
              <w:rPr>
                <w:color w:val="000000"/>
                <w:sz w:val="18"/>
                <w:szCs w:val="18"/>
                <w:lang w:eastAsia="es-CR"/>
              </w:rPr>
              <w:t>San José</w:t>
            </w:r>
          </w:p>
          <w:p w14:paraId="03CABD4D" w14:textId="24931993" w:rsidR="00E94D24" w:rsidRPr="00033E65" w:rsidRDefault="00E94D24" w:rsidP="00E94D24">
            <w:pPr>
              <w:spacing w:before="0" w:after="0"/>
              <w:jc w:val="center"/>
              <w:rPr>
                <w:sz w:val="18"/>
                <w:szCs w:val="18"/>
                <w:lang w:eastAsia="es-CR"/>
              </w:rPr>
            </w:pPr>
            <w:r w:rsidRPr="00033E65">
              <w:rPr>
                <w:color w:val="000000"/>
                <w:sz w:val="18"/>
                <w:szCs w:val="18"/>
                <w:lang w:eastAsia="es-CR"/>
              </w:rPr>
              <w:t>Guápiles (ADI)</w:t>
            </w:r>
          </w:p>
        </w:tc>
      </w:tr>
      <w:tr w:rsidR="00C07CA8" w:rsidRPr="00033E65" w14:paraId="0C53DDF4" w14:textId="77777777" w:rsidTr="00A65879">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946BDB4" w14:textId="77777777" w:rsidR="005046C5" w:rsidRPr="00033E65" w:rsidRDefault="005046C5" w:rsidP="005046C5">
            <w:pPr>
              <w:spacing w:before="0" w:after="0"/>
              <w:rPr>
                <w:sz w:val="18"/>
                <w:szCs w:val="18"/>
                <w:lang w:eastAsia="es-CR"/>
              </w:rPr>
            </w:pPr>
            <w:r w:rsidRPr="00033E65">
              <w:rPr>
                <w:sz w:val="18"/>
                <w:szCs w:val="18"/>
                <w:lang w:eastAsia="es-CR"/>
              </w:rPr>
              <w:t>Juzgado Agrario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69E88704" w14:textId="77777777" w:rsidR="005046C5" w:rsidRPr="00033E65" w:rsidRDefault="005046C5" w:rsidP="005046C5">
            <w:pPr>
              <w:spacing w:before="0" w:after="0"/>
              <w:jc w:val="center"/>
              <w:rPr>
                <w:sz w:val="18"/>
                <w:szCs w:val="18"/>
                <w:lang w:eastAsia="es-CR"/>
              </w:rPr>
            </w:pPr>
            <w:r w:rsidRPr="00033E65">
              <w:rPr>
                <w:sz w:val="18"/>
                <w:szCs w:val="18"/>
                <w:lang w:eastAsia="es-CR"/>
              </w:rPr>
              <w:t>Cartago</w:t>
            </w:r>
          </w:p>
        </w:tc>
        <w:tc>
          <w:tcPr>
            <w:tcW w:w="0" w:type="auto"/>
            <w:tcBorders>
              <w:top w:val="nil"/>
              <w:left w:val="nil"/>
              <w:bottom w:val="double" w:sz="6" w:space="0" w:color="1F497D"/>
              <w:right w:val="double" w:sz="6" w:space="0" w:color="1F497D"/>
            </w:tcBorders>
            <w:shd w:val="clear" w:color="auto" w:fill="auto"/>
            <w:noWrap/>
            <w:vAlign w:val="center"/>
            <w:hideMark/>
          </w:tcPr>
          <w:p w14:paraId="1890A27C" w14:textId="0093DCA2" w:rsidR="005046C5" w:rsidRPr="00033E65" w:rsidRDefault="005D0283" w:rsidP="005046C5">
            <w:pPr>
              <w:spacing w:before="0" w:after="0"/>
              <w:jc w:val="center"/>
              <w:rPr>
                <w:sz w:val="18"/>
                <w:szCs w:val="18"/>
                <w:lang w:eastAsia="es-CR"/>
              </w:rPr>
            </w:pPr>
            <w:r w:rsidRPr="00033E65">
              <w:rPr>
                <w:sz w:val="18"/>
                <w:szCs w:val="18"/>
                <w:lang w:eastAsia="es-CR"/>
              </w:rPr>
              <w:t>San José</w:t>
            </w:r>
          </w:p>
        </w:tc>
        <w:tc>
          <w:tcPr>
            <w:tcW w:w="2111" w:type="dxa"/>
            <w:tcBorders>
              <w:top w:val="nil"/>
              <w:left w:val="nil"/>
              <w:bottom w:val="double" w:sz="6" w:space="0" w:color="1F497D"/>
              <w:right w:val="double" w:sz="6" w:space="0" w:color="1F497D"/>
            </w:tcBorders>
            <w:shd w:val="clear" w:color="auto" w:fill="auto"/>
            <w:noWrap/>
            <w:vAlign w:val="center"/>
            <w:hideMark/>
          </w:tcPr>
          <w:p w14:paraId="7FB63673" w14:textId="4CA64078" w:rsidR="005046C5" w:rsidRPr="00033E65" w:rsidRDefault="005D0283" w:rsidP="005046C5">
            <w:pPr>
              <w:spacing w:before="0" w:after="0"/>
              <w:jc w:val="center"/>
            </w:pPr>
            <w:r w:rsidRPr="00033E65">
              <w:rPr>
                <w:sz w:val="18"/>
                <w:szCs w:val="18"/>
                <w:lang w:eastAsia="es-CR"/>
              </w:rPr>
              <w:t>Turrialba, Pérez Zeledón</w:t>
            </w:r>
          </w:p>
        </w:tc>
      </w:tr>
      <w:tr w:rsidR="00C07CA8" w:rsidRPr="00033E65" w14:paraId="3BD6F06B" w14:textId="77777777" w:rsidTr="00A65879">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8769D01" w14:textId="77777777" w:rsidR="005046C5" w:rsidRPr="00033E65" w:rsidRDefault="005046C5" w:rsidP="005046C5">
            <w:pPr>
              <w:spacing w:before="0" w:after="0"/>
              <w:rPr>
                <w:sz w:val="18"/>
                <w:szCs w:val="18"/>
                <w:lang w:eastAsia="es-CR"/>
              </w:rPr>
            </w:pPr>
            <w:r w:rsidRPr="00033E65">
              <w:rPr>
                <w:sz w:val="18"/>
                <w:szCs w:val="18"/>
                <w:lang w:eastAsia="es-CR"/>
              </w:rPr>
              <w:t>Juzgado Agrario del I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4971EE27" w14:textId="77777777" w:rsidR="005046C5" w:rsidRPr="00033E65" w:rsidRDefault="005046C5" w:rsidP="005046C5">
            <w:pPr>
              <w:spacing w:before="0" w:after="0"/>
              <w:jc w:val="center"/>
              <w:rPr>
                <w:sz w:val="18"/>
                <w:szCs w:val="18"/>
                <w:lang w:eastAsia="es-CR"/>
              </w:rPr>
            </w:pPr>
            <w:r w:rsidRPr="00033E65">
              <w:rPr>
                <w:sz w:val="18"/>
                <w:szCs w:val="18"/>
                <w:lang w:eastAsia="es-CR"/>
              </w:rPr>
              <w:t>Alajuela</w:t>
            </w:r>
          </w:p>
        </w:tc>
        <w:tc>
          <w:tcPr>
            <w:tcW w:w="0" w:type="auto"/>
            <w:tcBorders>
              <w:top w:val="nil"/>
              <w:left w:val="nil"/>
              <w:bottom w:val="double" w:sz="6" w:space="0" w:color="1F497D"/>
              <w:right w:val="double" w:sz="6" w:space="0" w:color="1F497D"/>
            </w:tcBorders>
            <w:shd w:val="clear" w:color="auto" w:fill="auto"/>
            <w:noWrap/>
            <w:vAlign w:val="center"/>
            <w:hideMark/>
          </w:tcPr>
          <w:p w14:paraId="32CA3040" w14:textId="77777777" w:rsidR="005046C5" w:rsidRPr="00033E65" w:rsidRDefault="005046C5" w:rsidP="005046C5">
            <w:pPr>
              <w:spacing w:before="0" w:after="0"/>
              <w:jc w:val="center"/>
              <w:rPr>
                <w:sz w:val="18"/>
                <w:szCs w:val="18"/>
                <w:lang w:eastAsia="es-CR"/>
              </w:rPr>
            </w:pPr>
            <w:r w:rsidRPr="00033E65">
              <w:rPr>
                <w:sz w:val="18"/>
                <w:szCs w:val="18"/>
                <w:lang w:eastAsia="es-CR"/>
              </w:rPr>
              <w:t>San José</w:t>
            </w:r>
          </w:p>
        </w:tc>
        <w:tc>
          <w:tcPr>
            <w:tcW w:w="2111" w:type="dxa"/>
            <w:tcBorders>
              <w:top w:val="nil"/>
              <w:left w:val="nil"/>
              <w:bottom w:val="double" w:sz="6" w:space="0" w:color="1F497D"/>
              <w:right w:val="double" w:sz="6" w:space="0" w:color="1F497D"/>
            </w:tcBorders>
            <w:shd w:val="clear" w:color="auto" w:fill="auto"/>
            <w:noWrap/>
            <w:vAlign w:val="center"/>
            <w:hideMark/>
          </w:tcPr>
          <w:p w14:paraId="11A9D82D" w14:textId="1A62BF5B" w:rsidR="005046C5" w:rsidRPr="00033E65" w:rsidRDefault="005046C5" w:rsidP="005046C5">
            <w:pPr>
              <w:spacing w:before="0" w:after="0"/>
              <w:jc w:val="center"/>
              <w:rPr>
                <w:sz w:val="18"/>
                <w:szCs w:val="18"/>
                <w:lang w:eastAsia="es-CR"/>
              </w:rPr>
            </w:pPr>
            <w:r w:rsidRPr="00033E65">
              <w:rPr>
                <w:sz w:val="18"/>
                <w:szCs w:val="18"/>
                <w:lang w:eastAsia="es-CR"/>
              </w:rPr>
              <w:t>San Ramón</w:t>
            </w:r>
            <w:r w:rsidR="00263F58" w:rsidRPr="00033E65">
              <w:rPr>
                <w:sz w:val="18"/>
                <w:szCs w:val="18"/>
                <w:lang w:eastAsia="es-CR"/>
              </w:rPr>
              <w:t>, Puntarenas</w:t>
            </w:r>
          </w:p>
        </w:tc>
      </w:tr>
      <w:tr w:rsidR="00C07CA8" w:rsidRPr="00033E65" w14:paraId="7A9A611C" w14:textId="77777777" w:rsidTr="00A65879">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FD209F2" w14:textId="77777777" w:rsidR="005046C5" w:rsidRPr="00033E65" w:rsidRDefault="005046C5" w:rsidP="005046C5">
            <w:pPr>
              <w:spacing w:before="0" w:after="0"/>
              <w:rPr>
                <w:sz w:val="18"/>
                <w:szCs w:val="18"/>
                <w:lang w:eastAsia="es-CR"/>
              </w:rPr>
            </w:pPr>
            <w:r w:rsidRPr="00033E65">
              <w:rPr>
                <w:sz w:val="18"/>
                <w:szCs w:val="18"/>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77D450EB" w14:textId="77777777" w:rsidR="005046C5" w:rsidRPr="00033E65" w:rsidRDefault="005046C5" w:rsidP="005046C5">
            <w:pPr>
              <w:spacing w:before="0" w:after="0"/>
              <w:jc w:val="center"/>
              <w:rPr>
                <w:sz w:val="18"/>
                <w:szCs w:val="18"/>
                <w:lang w:eastAsia="es-CR"/>
              </w:rPr>
            </w:pPr>
            <w:r w:rsidRPr="00033E65">
              <w:rPr>
                <w:sz w:val="18"/>
                <w:szCs w:val="18"/>
                <w:lang w:eastAsia="es-CR"/>
              </w:rPr>
              <w:t>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27313691" w14:textId="77777777" w:rsidR="005046C5" w:rsidRPr="00033E65" w:rsidRDefault="005046C5" w:rsidP="005046C5">
            <w:pPr>
              <w:spacing w:before="0" w:after="0"/>
              <w:jc w:val="center"/>
              <w:rPr>
                <w:sz w:val="18"/>
                <w:szCs w:val="18"/>
                <w:lang w:eastAsia="es-CR"/>
              </w:rPr>
            </w:pPr>
            <w:r w:rsidRPr="00033E65">
              <w:rPr>
                <w:sz w:val="18"/>
                <w:szCs w:val="18"/>
                <w:lang w:eastAsia="es-CR"/>
              </w:rPr>
              <w:t>Alajuela</w:t>
            </w:r>
          </w:p>
        </w:tc>
        <w:tc>
          <w:tcPr>
            <w:tcW w:w="2111" w:type="dxa"/>
            <w:tcBorders>
              <w:top w:val="nil"/>
              <w:left w:val="nil"/>
              <w:bottom w:val="double" w:sz="6" w:space="0" w:color="1F497D"/>
              <w:right w:val="double" w:sz="6" w:space="0" w:color="1F497D"/>
            </w:tcBorders>
            <w:shd w:val="clear" w:color="auto" w:fill="auto"/>
            <w:noWrap/>
            <w:vAlign w:val="center"/>
            <w:hideMark/>
          </w:tcPr>
          <w:p w14:paraId="2607216F" w14:textId="77777777" w:rsidR="005046C5" w:rsidRPr="00033E65" w:rsidRDefault="005046C5" w:rsidP="005046C5">
            <w:pPr>
              <w:spacing w:before="0" w:after="0"/>
              <w:jc w:val="center"/>
              <w:rPr>
                <w:sz w:val="18"/>
                <w:szCs w:val="18"/>
                <w:lang w:eastAsia="es-CR"/>
              </w:rPr>
            </w:pPr>
            <w:r w:rsidRPr="00033E65">
              <w:rPr>
                <w:sz w:val="18"/>
                <w:szCs w:val="18"/>
                <w:lang w:eastAsia="es-CR"/>
              </w:rPr>
              <w:t>Cartago, San Ramón</w:t>
            </w:r>
          </w:p>
        </w:tc>
      </w:tr>
      <w:tr w:rsidR="00C07CA8" w:rsidRPr="00033E65" w14:paraId="0EF76420" w14:textId="77777777" w:rsidTr="00A65879">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F8C5B72" w14:textId="77777777" w:rsidR="005046C5" w:rsidRPr="00033E65" w:rsidRDefault="005046C5" w:rsidP="005046C5">
            <w:pPr>
              <w:spacing w:before="0" w:after="0"/>
              <w:rPr>
                <w:sz w:val="18"/>
                <w:szCs w:val="18"/>
                <w:lang w:eastAsia="es-CR"/>
              </w:rPr>
            </w:pPr>
            <w:r w:rsidRPr="00033E65">
              <w:rPr>
                <w:sz w:val="18"/>
                <w:szCs w:val="18"/>
                <w:lang w:eastAsia="es-CR"/>
              </w:rPr>
              <w:t>Juzgado Agrario del I Circuito Judicial de la Zona Sur (Pérez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169CEA06" w14:textId="77777777" w:rsidR="005046C5" w:rsidRPr="00033E65" w:rsidRDefault="005046C5" w:rsidP="005046C5">
            <w:pPr>
              <w:spacing w:before="0" w:after="0"/>
              <w:jc w:val="center"/>
              <w:rPr>
                <w:sz w:val="18"/>
                <w:szCs w:val="18"/>
                <w:lang w:eastAsia="es-CR"/>
              </w:rPr>
            </w:pPr>
            <w:r w:rsidRPr="00033E65">
              <w:rPr>
                <w:sz w:val="18"/>
                <w:szCs w:val="18"/>
                <w:lang w:eastAsia="es-CR"/>
              </w:rPr>
              <w:t>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1CCAB835" w14:textId="2E5A8038" w:rsidR="005046C5" w:rsidRPr="00033E65" w:rsidRDefault="00263F58" w:rsidP="005046C5">
            <w:pPr>
              <w:spacing w:before="0" w:after="0"/>
              <w:jc w:val="center"/>
              <w:rPr>
                <w:sz w:val="18"/>
                <w:szCs w:val="18"/>
                <w:lang w:eastAsia="es-CR"/>
              </w:rPr>
            </w:pPr>
            <w:r w:rsidRPr="00033E65">
              <w:rPr>
                <w:sz w:val="18"/>
                <w:szCs w:val="18"/>
                <w:lang w:eastAsia="es-CR"/>
              </w:rPr>
              <w:t>Buenos Aires</w:t>
            </w:r>
          </w:p>
        </w:tc>
        <w:tc>
          <w:tcPr>
            <w:tcW w:w="2111" w:type="dxa"/>
            <w:tcBorders>
              <w:top w:val="nil"/>
              <w:left w:val="nil"/>
              <w:bottom w:val="double" w:sz="6" w:space="0" w:color="1F497D"/>
              <w:right w:val="double" w:sz="6" w:space="0" w:color="1F497D"/>
            </w:tcBorders>
            <w:shd w:val="clear" w:color="auto" w:fill="auto"/>
            <w:noWrap/>
            <w:vAlign w:val="center"/>
            <w:hideMark/>
          </w:tcPr>
          <w:p w14:paraId="28097C6F" w14:textId="23A5FF9E" w:rsidR="005046C5" w:rsidRPr="00033E65" w:rsidRDefault="005046C5" w:rsidP="00263F58">
            <w:pPr>
              <w:spacing w:before="0" w:after="0"/>
              <w:jc w:val="center"/>
              <w:rPr>
                <w:sz w:val="18"/>
                <w:szCs w:val="18"/>
                <w:lang w:eastAsia="es-CR"/>
              </w:rPr>
            </w:pPr>
            <w:r w:rsidRPr="00033E65">
              <w:rPr>
                <w:sz w:val="18"/>
                <w:szCs w:val="18"/>
                <w:lang w:eastAsia="es-CR"/>
              </w:rPr>
              <w:t>Corredores</w:t>
            </w:r>
            <w:r w:rsidR="00263F58" w:rsidRPr="00033E65">
              <w:rPr>
                <w:sz w:val="18"/>
                <w:szCs w:val="18"/>
                <w:lang w:eastAsia="es-CR"/>
              </w:rPr>
              <w:t>, Cartago</w:t>
            </w:r>
          </w:p>
        </w:tc>
      </w:tr>
      <w:tr w:rsidR="00C07CA8" w:rsidRPr="00033E65" w14:paraId="2EEC25E4" w14:textId="77777777" w:rsidTr="00A65879">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43C8E323" w14:textId="77777777" w:rsidR="005046C5" w:rsidRPr="00033E65" w:rsidRDefault="005046C5" w:rsidP="005046C5">
            <w:pPr>
              <w:spacing w:before="0" w:after="0"/>
              <w:rPr>
                <w:sz w:val="18"/>
                <w:szCs w:val="18"/>
                <w:lang w:eastAsia="es-CR"/>
              </w:rPr>
            </w:pPr>
            <w:r w:rsidRPr="00033E65">
              <w:rPr>
                <w:sz w:val="18"/>
                <w:szCs w:val="18"/>
                <w:lang w:eastAsia="es-CR"/>
              </w:rPr>
              <w:t>Juzgado Agrario del II Circuito Judicial de la Zona Sur (Corredores)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CBE8272" w14:textId="77777777" w:rsidR="005046C5" w:rsidRPr="00033E65" w:rsidRDefault="005046C5" w:rsidP="005046C5">
            <w:pPr>
              <w:spacing w:before="0" w:after="0"/>
              <w:jc w:val="center"/>
              <w:rPr>
                <w:sz w:val="18"/>
                <w:szCs w:val="18"/>
                <w:lang w:eastAsia="es-CR"/>
              </w:rPr>
            </w:pPr>
            <w:r w:rsidRPr="00033E65">
              <w:rPr>
                <w:sz w:val="18"/>
                <w:szCs w:val="18"/>
                <w:lang w:eastAsia="es-CR"/>
              </w:rPr>
              <w:t>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39F02E5" w14:textId="73F62B5A" w:rsidR="005046C5" w:rsidRPr="00033E65" w:rsidRDefault="00263F58" w:rsidP="00263F58">
            <w:pPr>
              <w:spacing w:before="0" w:after="0"/>
              <w:jc w:val="center"/>
              <w:rPr>
                <w:sz w:val="18"/>
                <w:szCs w:val="18"/>
                <w:lang w:eastAsia="es-CR"/>
              </w:rPr>
            </w:pPr>
            <w:r w:rsidRPr="00033E65">
              <w:rPr>
                <w:sz w:val="18"/>
                <w:szCs w:val="18"/>
                <w:lang w:eastAsia="es-CR"/>
              </w:rPr>
              <w:t>Buenos Aires</w:t>
            </w:r>
          </w:p>
        </w:tc>
        <w:tc>
          <w:tcPr>
            <w:tcW w:w="2111" w:type="dxa"/>
            <w:tcBorders>
              <w:top w:val="nil"/>
              <w:left w:val="nil"/>
              <w:bottom w:val="double" w:sz="6" w:space="0" w:color="1F497D"/>
              <w:right w:val="double" w:sz="6" w:space="0" w:color="1F497D"/>
            </w:tcBorders>
            <w:shd w:val="clear" w:color="auto" w:fill="auto"/>
            <w:noWrap/>
            <w:vAlign w:val="center"/>
            <w:hideMark/>
          </w:tcPr>
          <w:p w14:paraId="063EB681" w14:textId="1EAF69DD" w:rsidR="005046C5" w:rsidRPr="00033E65" w:rsidRDefault="005046C5" w:rsidP="00263F58">
            <w:pPr>
              <w:spacing w:before="0" w:after="0"/>
              <w:jc w:val="center"/>
              <w:rPr>
                <w:sz w:val="18"/>
                <w:szCs w:val="18"/>
                <w:lang w:eastAsia="es-CR"/>
              </w:rPr>
            </w:pPr>
            <w:r w:rsidRPr="00033E65">
              <w:rPr>
                <w:sz w:val="18"/>
                <w:szCs w:val="18"/>
                <w:lang w:eastAsia="es-CR"/>
              </w:rPr>
              <w:t xml:space="preserve">Pérez Zeledón, Cartago, </w:t>
            </w:r>
            <w:r w:rsidR="00263F58" w:rsidRPr="00033E65">
              <w:rPr>
                <w:sz w:val="18"/>
                <w:szCs w:val="18"/>
                <w:lang w:eastAsia="es-CR"/>
              </w:rPr>
              <w:t>Puntarenas</w:t>
            </w:r>
          </w:p>
        </w:tc>
      </w:tr>
      <w:tr w:rsidR="00C07CA8" w:rsidRPr="00033E65" w14:paraId="701F8C50" w14:textId="77777777" w:rsidTr="00A65879">
        <w:trPr>
          <w:trHeight w:val="19"/>
          <w:tblHeader/>
        </w:trPr>
        <w:tc>
          <w:tcPr>
            <w:tcW w:w="3610" w:type="dxa"/>
            <w:vMerge w:val="restart"/>
            <w:tcBorders>
              <w:top w:val="nil"/>
              <w:left w:val="double" w:sz="6" w:space="0" w:color="1F497D"/>
              <w:right w:val="double" w:sz="6" w:space="0" w:color="1F497D"/>
            </w:tcBorders>
            <w:shd w:val="clear" w:color="auto" w:fill="auto"/>
            <w:noWrap/>
            <w:vAlign w:val="center"/>
          </w:tcPr>
          <w:p w14:paraId="3EF2708B" w14:textId="31863467" w:rsidR="003D2966" w:rsidRPr="00033E65" w:rsidRDefault="003D2966" w:rsidP="005046C5">
            <w:pPr>
              <w:spacing w:before="0" w:after="0"/>
              <w:rPr>
                <w:sz w:val="18"/>
                <w:szCs w:val="18"/>
                <w:lang w:eastAsia="es-CR"/>
              </w:rPr>
            </w:pPr>
            <w:r w:rsidRPr="00033E65">
              <w:rPr>
                <w:sz w:val="18"/>
                <w:szCs w:val="18"/>
                <w:lang w:eastAsia="es-CR"/>
              </w:rPr>
              <w:t>Juzgado Civil, Trabajo, Familia, Agrario, Penal Juvenil, Contra la Violencia Doméstica y Protección Cautelar Buenos Aires Estos</w:t>
            </w:r>
          </w:p>
        </w:tc>
        <w:tc>
          <w:tcPr>
            <w:tcW w:w="0" w:type="auto"/>
            <w:tcBorders>
              <w:top w:val="nil"/>
              <w:left w:val="nil"/>
              <w:bottom w:val="double" w:sz="6" w:space="0" w:color="1F497D"/>
              <w:right w:val="double" w:sz="6" w:space="0" w:color="1F497D"/>
            </w:tcBorders>
            <w:shd w:val="clear" w:color="auto" w:fill="auto"/>
            <w:noWrap/>
            <w:vAlign w:val="center"/>
          </w:tcPr>
          <w:p w14:paraId="75D46D78" w14:textId="0A04B36F" w:rsidR="003D2966" w:rsidRPr="00033E65" w:rsidRDefault="003D2966" w:rsidP="005046C5">
            <w:pPr>
              <w:spacing w:before="0" w:after="0"/>
              <w:jc w:val="center"/>
              <w:rPr>
                <w:sz w:val="18"/>
                <w:szCs w:val="18"/>
                <w:lang w:eastAsia="es-CR"/>
              </w:rPr>
            </w:pPr>
            <w:r w:rsidRPr="00033E65">
              <w:rPr>
                <w:sz w:val="18"/>
                <w:szCs w:val="18"/>
                <w:lang w:eastAsia="es-CR"/>
              </w:rPr>
              <w:t>Buenos Aires</w:t>
            </w:r>
          </w:p>
        </w:tc>
        <w:tc>
          <w:tcPr>
            <w:tcW w:w="0" w:type="auto"/>
            <w:tcBorders>
              <w:top w:val="nil"/>
              <w:left w:val="nil"/>
              <w:bottom w:val="double" w:sz="6" w:space="0" w:color="1F497D"/>
              <w:right w:val="double" w:sz="6" w:space="0" w:color="1F497D"/>
            </w:tcBorders>
            <w:shd w:val="clear" w:color="auto" w:fill="auto"/>
            <w:noWrap/>
            <w:vAlign w:val="center"/>
          </w:tcPr>
          <w:p w14:paraId="717880CA" w14:textId="7E249221" w:rsidR="003D2966" w:rsidRPr="00033E65" w:rsidRDefault="003D2966" w:rsidP="00263F58">
            <w:pPr>
              <w:spacing w:before="0" w:after="0"/>
              <w:jc w:val="center"/>
              <w:rPr>
                <w:sz w:val="18"/>
                <w:szCs w:val="18"/>
                <w:lang w:eastAsia="es-CR"/>
              </w:rPr>
            </w:pPr>
            <w:r w:rsidRPr="00033E65">
              <w:rPr>
                <w:sz w:val="18"/>
                <w:szCs w:val="18"/>
                <w:lang w:eastAsia="es-CR"/>
              </w:rPr>
              <w:t>Pérez Zeledón</w:t>
            </w:r>
          </w:p>
        </w:tc>
        <w:tc>
          <w:tcPr>
            <w:tcW w:w="2111" w:type="dxa"/>
            <w:tcBorders>
              <w:top w:val="nil"/>
              <w:left w:val="nil"/>
              <w:bottom w:val="double" w:sz="6" w:space="0" w:color="1F497D"/>
              <w:right w:val="double" w:sz="6" w:space="0" w:color="1F497D"/>
            </w:tcBorders>
            <w:shd w:val="clear" w:color="auto" w:fill="auto"/>
            <w:noWrap/>
            <w:vAlign w:val="center"/>
          </w:tcPr>
          <w:p w14:paraId="36F1AA50" w14:textId="0B56926D" w:rsidR="003D2966" w:rsidRPr="00033E65" w:rsidRDefault="003D2966" w:rsidP="00263F58">
            <w:pPr>
              <w:spacing w:before="0" w:after="0"/>
              <w:jc w:val="center"/>
              <w:rPr>
                <w:sz w:val="18"/>
                <w:szCs w:val="18"/>
                <w:lang w:eastAsia="es-CR"/>
              </w:rPr>
            </w:pPr>
            <w:r w:rsidRPr="00033E65">
              <w:rPr>
                <w:sz w:val="18"/>
                <w:szCs w:val="18"/>
                <w:lang w:eastAsia="es-CR"/>
              </w:rPr>
              <w:t>Pérez Zeledón (Persona no indígena)</w:t>
            </w:r>
          </w:p>
        </w:tc>
      </w:tr>
      <w:tr w:rsidR="00AD238F" w:rsidRPr="00033E65" w14:paraId="06B99D76" w14:textId="77777777" w:rsidTr="00A65879">
        <w:trPr>
          <w:trHeight w:val="19"/>
          <w:tblHeader/>
        </w:trPr>
        <w:tc>
          <w:tcPr>
            <w:tcW w:w="3610" w:type="dxa"/>
            <w:vMerge/>
            <w:tcBorders>
              <w:left w:val="double" w:sz="6" w:space="0" w:color="1F497D"/>
              <w:bottom w:val="double" w:sz="6" w:space="0" w:color="1F497D"/>
              <w:right w:val="double" w:sz="6" w:space="0" w:color="1F497D"/>
            </w:tcBorders>
            <w:shd w:val="clear" w:color="auto" w:fill="auto"/>
            <w:noWrap/>
            <w:vAlign w:val="center"/>
          </w:tcPr>
          <w:p w14:paraId="210CD8F0" w14:textId="6EF7BFCE" w:rsidR="00012961" w:rsidRPr="00033E65" w:rsidRDefault="00012961" w:rsidP="00012961">
            <w:pPr>
              <w:spacing w:before="0" w:after="0"/>
              <w:rPr>
                <w:sz w:val="18"/>
                <w:szCs w:val="18"/>
                <w:lang w:eastAsia="es-CR"/>
              </w:rPr>
            </w:pPr>
          </w:p>
        </w:tc>
        <w:tc>
          <w:tcPr>
            <w:tcW w:w="0" w:type="auto"/>
            <w:tcBorders>
              <w:top w:val="nil"/>
              <w:left w:val="nil"/>
              <w:bottom w:val="double" w:sz="6" w:space="0" w:color="1F497D"/>
              <w:right w:val="double" w:sz="6" w:space="0" w:color="1F497D"/>
            </w:tcBorders>
            <w:shd w:val="clear" w:color="auto" w:fill="auto"/>
            <w:noWrap/>
            <w:vAlign w:val="center"/>
          </w:tcPr>
          <w:p w14:paraId="43C032EC" w14:textId="77777777" w:rsidR="00012961" w:rsidRPr="00033E65" w:rsidRDefault="00012961" w:rsidP="00012961">
            <w:pPr>
              <w:widowControl w:val="0"/>
              <w:spacing w:before="0" w:after="0"/>
              <w:jc w:val="center"/>
              <w:rPr>
                <w:color w:val="000000"/>
              </w:rPr>
            </w:pPr>
            <w:r w:rsidRPr="00033E65">
              <w:rPr>
                <w:color w:val="000000"/>
                <w:sz w:val="18"/>
                <w:szCs w:val="18"/>
                <w:lang w:eastAsia="es-CR"/>
              </w:rPr>
              <w:t xml:space="preserve">Buenos Aires </w:t>
            </w:r>
          </w:p>
          <w:p w14:paraId="04EB3BFE" w14:textId="3F6E4DF1" w:rsidR="00012961" w:rsidRPr="00033E65" w:rsidRDefault="00012961" w:rsidP="00012961">
            <w:pPr>
              <w:spacing w:before="0" w:after="0"/>
              <w:jc w:val="center"/>
              <w:rPr>
                <w:sz w:val="18"/>
                <w:szCs w:val="18"/>
                <w:lang w:eastAsia="es-CR"/>
              </w:rPr>
            </w:pPr>
            <w:r w:rsidRPr="00033E65">
              <w:rPr>
                <w:color w:val="000000"/>
                <w:sz w:val="18"/>
                <w:szCs w:val="18"/>
                <w:lang w:eastAsia="es-CR"/>
              </w:rPr>
              <w:t>(Primer persona indígena)</w:t>
            </w:r>
          </w:p>
        </w:tc>
        <w:tc>
          <w:tcPr>
            <w:tcW w:w="0" w:type="auto"/>
            <w:tcBorders>
              <w:top w:val="nil"/>
              <w:left w:val="nil"/>
              <w:bottom w:val="double" w:sz="6" w:space="0" w:color="1F497D"/>
              <w:right w:val="double" w:sz="6" w:space="0" w:color="1F497D"/>
            </w:tcBorders>
            <w:shd w:val="clear" w:color="auto" w:fill="auto"/>
            <w:noWrap/>
            <w:vAlign w:val="center"/>
          </w:tcPr>
          <w:p w14:paraId="712550EF" w14:textId="77777777" w:rsidR="00012961" w:rsidRPr="00033E65" w:rsidRDefault="00012961" w:rsidP="00012961">
            <w:pPr>
              <w:widowControl w:val="0"/>
              <w:spacing w:before="0" w:after="0"/>
              <w:jc w:val="center"/>
              <w:rPr>
                <w:color w:val="000000"/>
              </w:rPr>
            </w:pPr>
            <w:r w:rsidRPr="00033E65">
              <w:rPr>
                <w:color w:val="000000"/>
                <w:sz w:val="18"/>
                <w:szCs w:val="18"/>
                <w:lang w:eastAsia="es-CR"/>
              </w:rPr>
              <w:t>Corredores</w:t>
            </w:r>
          </w:p>
          <w:p w14:paraId="4F6939B8" w14:textId="3F9EE659" w:rsidR="00012961" w:rsidRPr="00033E65" w:rsidRDefault="00012961" w:rsidP="00012961">
            <w:pPr>
              <w:spacing w:before="0" w:after="0"/>
              <w:jc w:val="center"/>
              <w:rPr>
                <w:sz w:val="18"/>
                <w:szCs w:val="18"/>
                <w:lang w:eastAsia="es-CR"/>
              </w:rPr>
            </w:pPr>
            <w:r w:rsidRPr="00033E65">
              <w:rPr>
                <w:color w:val="000000"/>
                <w:sz w:val="18"/>
                <w:szCs w:val="18"/>
                <w:lang w:eastAsia="es-CR"/>
              </w:rPr>
              <w:t>(Segunda persona indígena)</w:t>
            </w:r>
          </w:p>
        </w:tc>
        <w:tc>
          <w:tcPr>
            <w:tcW w:w="2111" w:type="dxa"/>
            <w:tcBorders>
              <w:top w:val="nil"/>
              <w:left w:val="nil"/>
              <w:bottom w:val="double" w:sz="6" w:space="0" w:color="1F497D"/>
              <w:right w:val="double" w:sz="6" w:space="0" w:color="1F497D"/>
            </w:tcBorders>
            <w:shd w:val="clear" w:color="auto" w:fill="auto"/>
            <w:noWrap/>
            <w:vAlign w:val="center"/>
          </w:tcPr>
          <w:p w14:paraId="12D81566" w14:textId="327B8459" w:rsidR="00012961" w:rsidRPr="00033E65" w:rsidRDefault="00012961" w:rsidP="00012961">
            <w:pPr>
              <w:spacing w:before="0" w:after="0"/>
              <w:jc w:val="center"/>
              <w:rPr>
                <w:sz w:val="18"/>
                <w:szCs w:val="18"/>
                <w:lang w:eastAsia="es-CR"/>
              </w:rPr>
            </w:pPr>
            <w:r w:rsidRPr="00033E65">
              <w:rPr>
                <w:color w:val="000000"/>
                <w:sz w:val="18"/>
                <w:szCs w:val="18"/>
                <w:lang w:eastAsia="es-CR"/>
              </w:rPr>
              <w:t>Cartago (Asociación de Desarrollo Integral Indígenas)</w:t>
            </w:r>
          </w:p>
        </w:tc>
      </w:tr>
      <w:tr w:rsidR="00C07CA8" w:rsidRPr="00033E65" w14:paraId="2DDFC61C" w14:textId="77777777" w:rsidTr="00A65879">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4766A0E" w14:textId="6BE61C95" w:rsidR="005046C5" w:rsidRPr="00033E65" w:rsidRDefault="00BE1894" w:rsidP="003D2966">
            <w:pPr>
              <w:spacing w:before="0" w:after="0"/>
              <w:rPr>
                <w:sz w:val="18"/>
                <w:szCs w:val="18"/>
                <w:lang w:eastAsia="es-CR"/>
              </w:rPr>
            </w:pPr>
            <w:r w:rsidRPr="00033E65">
              <w:rPr>
                <w:sz w:val="18"/>
                <w:szCs w:val="18"/>
                <w:lang w:eastAsia="es-CR"/>
              </w:rPr>
              <w:t xml:space="preserve">Juzgado </w:t>
            </w:r>
            <w:r w:rsidR="003D2966" w:rsidRPr="00033E65">
              <w:rPr>
                <w:sz w:val="18"/>
                <w:szCs w:val="18"/>
                <w:lang w:eastAsia="es-CR"/>
              </w:rPr>
              <w:t>Agrario de Jicaral</w:t>
            </w:r>
            <w:r w:rsidR="00D05B62" w:rsidRPr="00033E65">
              <w:rPr>
                <w:sz w:val="18"/>
                <w:szCs w:val="18"/>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center"/>
            <w:hideMark/>
          </w:tcPr>
          <w:p w14:paraId="3DCF66D7" w14:textId="338BF611" w:rsidR="005046C5" w:rsidRPr="00033E65" w:rsidRDefault="003D2966" w:rsidP="005046C5">
            <w:pPr>
              <w:spacing w:before="0" w:after="0"/>
              <w:jc w:val="center"/>
              <w:rPr>
                <w:sz w:val="18"/>
                <w:szCs w:val="18"/>
                <w:lang w:eastAsia="es-CR"/>
              </w:rPr>
            </w:pPr>
            <w:r w:rsidRPr="00033E65">
              <w:rPr>
                <w:sz w:val="18"/>
                <w:szCs w:val="18"/>
                <w:lang w:eastAsia="es-CR"/>
              </w:rPr>
              <w:t>Nicoya</w:t>
            </w:r>
            <w:r w:rsidR="00A24223" w:rsidRPr="00033E65">
              <w:rPr>
                <w:sz w:val="18"/>
                <w:szCs w:val="18"/>
                <w:lang w:eastAsia="es-CR"/>
              </w:rPr>
              <w:t xml:space="preserve"> / </w:t>
            </w:r>
            <w:r w:rsidRPr="00033E65">
              <w:rPr>
                <w:sz w:val="18"/>
                <w:szCs w:val="18"/>
                <w:lang w:eastAsia="es-CR"/>
              </w:rPr>
              <w:t>Jicaral</w:t>
            </w:r>
          </w:p>
        </w:tc>
        <w:tc>
          <w:tcPr>
            <w:tcW w:w="0" w:type="auto"/>
            <w:tcBorders>
              <w:top w:val="nil"/>
              <w:left w:val="nil"/>
              <w:bottom w:val="double" w:sz="6" w:space="0" w:color="1F497D"/>
              <w:right w:val="double" w:sz="6" w:space="0" w:color="1F497D"/>
            </w:tcBorders>
            <w:shd w:val="clear" w:color="auto" w:fill="auto"/>
            <w:noWrap/>
            <w:vAlign w:val="center"/>
            <w:hideMark/>
          </w:tcPr>
          <w:p w14:paraId="58A91215" w14:textId="1006A23B" w:rsidR="005046C5" w:rsidRPr="00033E65" w:rsidRDefault="003D2966" w:rsidP="005046C5">
            <w:pPr>
              <w:spacing w:before="0" w:after="0"/>
              <w:jc w:val="center"/>
              <w:rPr>
                <w:sz w:val="18"/>
                <w:szCs w:val="18"/>
                <w:lang w:eastAsia="es-CR"/>
              </w:rPr>
            </w:pPr>
            <w:r w:rsidRPr="00033E65">
              <w:rPr>
                <w:sz w:val="18"/>
                <w:szCs w:val="18"/>
                <w:lang w:eastAsia="es-CR"/>
              </w:rPr>
              <w:t xml:space="preserve">Nicoya </w:t>
            </w:r>
            <w:r w:rsidR="00A24223" w:rsidRPr="00033E65">
              <w:rPr>
                <w:sz w:val="18"/>
                <w:szCs w:val="18"/>
                <w:lang w:eastAsia="es-CR"/>
              </w:rPr>
              <w:t>/</w:t>
            </w:r>
            <w:r w:rsidRPr="00033E65">
              <w:rPr>
                <w:sz w:val="18"/>
                <w:szCs w:val="18"/>
                <w:lang w:eastAsia="es-CR"/>
              </w:rPr>
              <w:t xml:space="preserve"> Santa Cruz </w:t>
            </w:r>
          </w:p>
        </w:tc>
        <w:tc>
          <w:tcPr>
            <w:tcW w:w="2111" w:type="dxa"/>
            <w:tcBorders>
              <w:top w:val="nil"/>
              <w:left w:val="nil"/>
              <w:bottom w:val="double" w:sz="6" w:space="0" w:color="1F497D"/>
              <w:right w:val="double" w:sz="6" w:space="0" w:color="1F497D"/>
            </w:tcBorders>
            <w:shd w:val="clear" w:color="auto" w:fill="auto"/>
            <w:noWrap/>
            <w:vAlign w:val="center"/>
            <w:hideMark/>
          </w:tcPr>
          <w:p w14:paraId="69279082" w14:textId="730FF971" w:rsidR="005046C5" w:rsidRPr="00033E65" w:rsidRDefault="003D2966" w:rsidP="005046C5">
            <w:pPr>
              <w:spacing w:before="0" w:after="0"/>
              <w:jc w:val="center"/>
              <w:rPr>
                <w:sz w:val="18"/>
                <w:szCs w:val="18"/>
                <w:lang w:eastAsia="es-CR"/>
              </w:rPr>
            </w:pPr>
            <w:r w:rsidRPr="00033E65">
              <w:rPr>
                <w:sz w:val="18"/>
                <w:szCs w:val="18"/>
                <w:lang w:eastAsia="es-CR"/>
              </w:rPr>
              <w:t>Liberia</w:t>
            </w:r>
          </w:p>
        </w:tc>
      </w:tr>
    </w:tbl>
    <w:p w14:paraId="7CBFF5D0" w14:textId="41536C18" w:rsidR="005046C5" w:rsidRPr="00033E65" w:rsidRDefault="005046C5" w:rsidP="00BA0652">
      <w:pPr>
        <w:spacing w:line="235" w:lineRule="auto"/>
        <w:ind w:left="-1644" w:right="261"/>
        <w:rPr>
          <w:b/>
          <w:i/>
          <w:sz w:val="16"/>
          <w:szCs w:val="16"/>
        </w:rPr>
      </w:pPr>
      <w:r w:rsidRPr="00033E65">
        <w:rPr>
          <w:b/>
          <w:i/>
          <w:sz w:val="16"/>
          <w:szCs w:val="16"/>
        </w:rPr>
        <w:t xml:space="preserve">Fuente: Información obtenida y verificada por la Administración de la Defensa Pública. </w:t>
      </w:r>
    </w:p>
    <w:p w14:paraId="5BE39D92" w14:textId="77777777" w:rsidR="004204B2" w:rsidRDefault="004204B2" w:rsidP="005046C5">
      <w:pPr>
        <w:spacing w:line="235" w:lineRule="auto"/>
        <w:ind w:right="261"/>
        <w:rPr>
          <w:szCs w:val="22"/>
        </w:rPr>
      </w:pPr>
    </w:p>
    <w:p w14:paraId="5A9228C6" w14:textId="77777777" w:rsidR="004204B2" w:rsidRPr="00033E65" w:rsidRDefault="004204B2" w:rsidP="004204B2">
      <w:pPr>
        <w:ind w:right="261"/>
        <w:rPr>
          <w:szCs w:val="22"/>
        </w:rPr>
      </w:pPr>
      <w:r w:rsidRPr="00033E65">
        <w:rPr>
          <w:szCs w:val="22"/>
        </w:rPr>
        <w:t>Con la creación del nuevo Juzgado Agrario de Puntarenas, sede Jicaral, se contará con Defensa Pública, con recurso ordinario de la Unidad Agraria de Nicoya, que actualmente brinda colaboración para esa zona. Deberá atender los que se traslade según competencia territorial.</w:t>
      </w:r>
    </w:p>
    <w:p w14:paraId="2D92E18B" w14:textId="77777777" w:rsidR="004204B2" w:rsidRDefault="004204B2" w:rsidP="005046C5">
      <w:pPr>
        <w:spacing w:line="235" w:lineRule="auto"/>
        <w:ind w:right="261"/>
        <w:rPr>
          <w:szCs w:val="22"/>
        </w:rPr>
      </w:pPr>
    </w:p>
    <w:p w14:paraId="3060C9D0" w14:textId="291861E4" w:rsidR="004204B2" w:rsidRPr="005E63FE" w:rsidRDefault="00554C4E" w:rsidP="00554C4E">
      <w:pPr>
        <w:pStyle w:val="Ttulo2"/>
        <w:numPr>
          <w:ilvl w:val="0"/>
          <w:numId w:val="0"/>
        </w:numPr>
      </w:pPr>
      <w:bookmarkStart w:id="148" w:name="_Toc132639522"/>
      <w:r>
        <w:t xml:space="preserve">4. </w:t>
      </w:r>
      <w:r w:rsidR="00CA7B64" w:rsidRPr="00C039F0">
        <w:t>Recursos necesarios para el manejo de fondos en la Defensa Pública</w:t>
      </w:r>
      <w:bookmarkEnd w:id="148"/>
    </w:p>
    <w:p w14:paraId="6B461E00" w14:textId="6584BD58" w:rsidR="005046C5" w:rsidRPr="00033E65" w:rsidRDefault="005046C5" w:rsidP="005046C5">
      <w:pPr>
        <w:spacing w:line="235" w:lineRule="auto"/>
        <w:ind w:right="261"/>
        <w:rPr>
          <w:szCs w:val="22"/>
        </w:rPr>
      </w:pPr>
      <w:r w:rsidRPr="00033E65">
        <w:rPr>
          <w:szCs w:val="22"/>
        </w:rPr>
        <w:t>Otro punto es que la Defensa Pública requiere de estudios técnicos en topografía y geodesia; entre otros, como parte de su estrategia de defensa.  En la actualidad, estos estudios los realizan con los peritos oficiales del Poder Judicial; sin embargo, se dan casos en que estos informes técnicos, no se contratan producto del bajo contenido presupuestario en la subpartida asociada a este rubro</w:t>
      </w:r>
      <w:r w:rsidR="00E35525" w:rsidRPr="00033E65">
        <w:rPr>
          <w:szCs w:val="22"/>
        </w:rPr>
        <w:t xml:space="preserve">, lo cual se deriva del criterio técnico emitido por el Coordinador dela Unidad de Defensa Pública Agraria quien adicionalmente indica que muchas veces los peritos no toman esos casos porque los gastos no cubren ni los honorarios, provocando retrasos en la prueba pericial.  </w:t>
      </w:r>
    </w:p>
    <w:p w14:paraId="19183D99" w14:textId="44442DF8" w:rsidR="00B87F24" w:rsidRPr="00033E65" w:rsidRDefault="005046C5" w:rsidP="005046C5">
      <w:pPr>
        <w:spacing w:line="235" w:lineRule="auto"/>
        <w:ind w:right="261"/>
        <w:rPr>
          <w:szCs w:val="22"/>
        </w:rPr>
      </w:pPr>
      <w:r w:rsidRPr="00033E65">
        <w:rPr>
          <w:szCs w:val="22"/>
        </w:rPr>
        <w:t>En virtud de lo anterior,</w:t>
      </w:r>
      <w:r w:rsidR="006E2F0D" w:rsidRPr="00033E65">
        <w:rPr>
          <w:szCs w:val="22"/>
        </w:rPr>
        <w:t xml:space="preserve"> la Dirección de Planificación </w:t>
      </w:r>
      <w:r w:rsidRPr="00033E65">
        <w:rPr>
          <w:szCs w:val="22"/>
        </w:rPr>
        <w:t xml:space="preserve">plantea </w:t>
      </w:r>
      <w:bookmarkStart w:id="149" w:name="_Hlk31187681"/>
      <w:r w:rsidRPr="00033E65">
        <w:rPr>
          <w:szCs w:val="22"/>
        </w:rPr>
        <w:t>costear esos peritajes del Fondo de Apoyo a la Defensa Pública Agraria que establece el artículo 47 del Código Procesal Agrario, para atender en forma oportuna esos estudios</w:t>
      </w:r>
      <w:r w:rsidR="00D00451" w:rsidRPr="00033E65">
        <w:rPr>
          <w:szCs w:val="22"/>
        </w:rPr>
        <w:t>:</w:t>
      </w:r>
    </w:p>
    <w:p w14:paraId="06A4560B" w14:textId="77777777" w:rsidR="00D00451" w:rsidRPr="00033E65" w:rsidRDefault="00D00451" w:rsidP="005046C5">
      <w:pPr>
        <w:spacing w:line="235" w:lineRule="auto"/>
        <w:ind w:right="261"/>
        <w:rPr>
          <w:szCs w:val="22"/>
        </w:rPr>
      </w:pPr>
    </w:p>
    <w:p w14:paraId="6FA72D86" w14:textId="77777777" w:rsidR="00B87F24" w:rsidRPr="00033E65" w:rsidRDefault="00B87F24" w:rsidP="00B87F24">
      <w:pPr>
        <w:ind w:left="851" w:right="900"/>
        <w:rPr>
          <w:i/>
          <w:iCs/>
          <w:lang w:eastAsia="es-CR"/>
        </w:rPr>
      </w:pPr>
      <w:r w:rsidRPr="00033E65">
        <w:rPr>
          <w:i/>
          <w:iCs/>
          <w:lang w:eastAsia="es-CR"/>
        </w:rPr>
        <w:t>“… ARTÍCULO 47- Patrocinio letrado a cargo de la Defensa Pública</w:t>
      </w:r>
    </w:p>
    <w:p w14:paraId="7B8A54ED" w14:textId="77777777" w:rsidR="00B87F24" w:rsidRPr="00033E65" w:rsidRDefault="00B87F24" w:rsidP="00B87F24">
      <w:pPr>
        <w:ind w:left="851" w:right="900"/>
        <w:rPr>
          <w:i/>
          <w:iCs/>
          <w:lang w:eastAsia="es-CR"/>
        </w:rPr>
      </w:pPr>
      <w:r w:rsidRPr="00033E65">
        <w:rPr>
          <w:i/>
          <w:iCs/>
          <w:lang w:eastAsia="es-CR"/>
        </w:rPr>
        <w:t>Las defensoras y los defensores públicos agrarios tendrán las facultades de directores del proceso, en los procesos en que intervengan, salvo que la parte amplíe sus atribuciones a las de un apoderado especial judicial, lo cual deberá indicar expresamente. Tendrán esas mismas facultades de abogados o abogadas directoras para los procedimientos administrativos que puedan incidir en la sede judicial.</w:t>
      </w:r>
    </w:p>
    <w:p w14:paraId="04E913FE" w14:textId="77777777" w:rsidR="00B87F24" w:rsidRPr="00033E65" w:rsidRDefault="00B87F24" w:rsidP="00B87F24">
      <w:pPr>
        <w:ind w:left="851" w:right="900"/>
        <w:rPr>
          <w:i/>
          <w:iCs/>
          <w:lang w:eastAsia="es-CR"/>
        </w:rPr>
      </w:pPr>
      <w:r w:rsidRPr="00033E65">
        <w:rPr>
          <w:i/>
          <w:iCs/>
          <w:lang w:eastAsia="es-CR"/>
        </w:rPr>
        <w:t>Si actúan con facultades de mandatario o mandataria, estarán sometidos a las mismas prohibiciones del párrafo final del artículo 46 de esta ley. No tendrá valor ni efecto alguno lo que se haga en oposición a esas prohibiciones.</w:t>
      </w:r>
    </w:p>
    <w:p w14:paraId="7CB0AF8B" w14:textId="77777777" w:rsidR="00B87F24" w:rsidRPr="00033E65" w:rsidRDefault="00B87F24" w:rsidP="00B87F24">
      <w:pPr>
        <w:ind w:left="851" w:right="900"/>
        <w:rPr>
          <w:i/>
          <w:iCs/>
          <w:lang w:eastAsia="es-CR"/>
        </w:rPr>
      </w:pPr>
      <w:r w:rsidRPr="00033E65">
        <w:rPr>
          <w:i/>
          <w:iCs/>
          <w:lang w:eastAsia="es-CR"/>
        </w:rPr>
        <w:t>Los dineros por costas personales que se generen a favor de la parte patrocinada por la defensa pública agraria se distribuirán de la siguiente manera:</w:t>
      </w:r>
    </w:p>
    <w:p w14:paraId="214B5126" w14:textId="77777777" w:rsidR="00B87F24" w:rsidRPr="00033E65" w:rsidRDefault="00B87F24" w:rsidP="00B87F24">
      <w:pPr>
        <w:ind w:left="851" w:right="900"/>
        <w:rPr>
          <w:i/>
          <w:iCs/>
          <w:lang w:eastAsia="es-CR"/>
        </w:rPr>
      </w:pPr>
      <w:r w:rsidRPr="00033E65">
        <w:rPr>
          <w:i/>
          <w:iCs/>
          <w:lang w:eastAsia="es-CR"/>
        </w:rPr>
        <w:t>a) Un cincuenta por ciento (50%) del total recaudado será asignado al Fondo de Apoyo a la Defensa Pública Agraria, para optimizar el servicio y la cobertura en el territorio nacional.</w:t>
      </w:r>
    </w:p>
    <w:p w14:paraId="6174D6C6" w14:textId="5E1B1D3F" w:rsidR="00B87F24" w:rsidRPr="00033E65" w:rsidRDefault="00B87F24" w:rsidP="00B87F24">
      <w:pPr>
        <w:ind w:left="851" w:right="900"/>
        <w:rPr>
          <w:i/>
          <w:iCs/>
          <w:lang w:eastAsia="es-CR"/>
        </w:rPr>
      </w:pPr>
      <w:r w:rsidRPr="00033E65">
        <w:rPr>
          <w:i/>
          <w:iCs/>
          <w:lang w:eastAsia="es-CR"/>
        </w:rPr>
        <w:t>b) Un cincuenta por ciento (50%) restante será depositado en el Fondo de Apoyo a la Administración de Justicia Agraria para garantizar la eficacia y la eficiencia del servicio público agrario. La administración de esos recursos se regirá conforme a la normativa, ambos fondos serán administrados por el Poder Judicial…”</w:t>
      </w:r>
      <w:r w:rsidR="00D00451" w:rsidRPr="00033E65">
        <w:rPr>
          <w:i/>
          <w:iCs/>
          <w:lang w:eastAsia="es-CR"/>
        </w:rPr>
        <w:t>.</w:t>
      </w:r>
    </w:p>
    <w:p w14:paraId="1A049962" w14:textId="77777777" w:rsidR="00985934" w:rsidRPr="00033E65" w:rsidRDefault="00985934" w:rsidP="00985934">
      <w:pPr>
        <w:spacing w:line="235" w:lineRule="auto"/>
        <w:ind w:right="261"/>
        <w:rPr>
          <w:color w:val="000000"/>
          <w:lang w:eastAsia="es-CR"/>
        </w:rPr>
      </w:pPr>
    </w:p>
    <w:bookmarkEnd w:id="149"/>
    <w:p w14:paraId="2D28BAA6" w14:textId="3FBE491E" w:rsidR="00E656B4" w:rsidRDefault="00F13663" w:rsidP="00A90544">
      <w:pPr>
        <w:ind w:right="49"/>
        <w:rPr>
          <w:szCs w:val="22"/>
          <w:lang w:eastAsia="es-CR"/>
        </w:rPr>
      </w:pPr>
      <w:r>
        <w:rPr>
          <w:color w:val="000000"/>
          <w:lang w:eastAsia="es-CR"/>
        </w:rPr>
        <w:t xml:space="preserve">En relación con este punto </w:t>
      </w:r>
      <w:r w:rsidR="005E63FE">
        <w:rPr>
          <w:color w:val="000000"/>
          <w:lang w:eastAsia="es-CR"/>
        </w:rPr>
        <w:t xml:space="preserve">el </w:t>
      </w:r>
      <w:r w:rsidR="005E63FE" w:rsidRPr="00033E65">
        <w:rPr>
          <w:szCs w:val="22"/>
          <w:lang w:eastAsia="es-CR"/>
        </w:rPr>
        <w:t>del</w:t>
      </w:r>
      <w:r w:rsidR="00B94395" w:rsidRPr="00033E65">
        <w:rPr>
          <w:szCs w:val="22"/>
          <w:lang w:eastAsia="es-CR"/>
        </w:rPr>
        <w:t xml:space="preserve"> Lic. Josué </w:t>
      </w:r>
      <w:r w:rsidR="002412C7" w:rsidRPr="00033E65">
        <w:rPr>
          <w:szCs w:val="22"/>
          <w:lang w:eastAsia="es-CR"/>
        </w:rPr>
        <w:t xml:space="preserve">González Granados mediante correo de fecha </w:t>
      </w:r>
      <w:r w:rsidR="00DD5996" w:rsidRPr="00033E65">
        <w:rPr>
          <w:szCs w:val="22"/>
          <w:lang w:eastAsia="es-CR"/>
        </w:rPr>
        <w:t>23 de febrero 2023, indic</w:t>
      </w:r>
      <w:r>
        <w:rPr>
          <w:szCs w:val="22"/>
          <w:lang w:eastAsia="es-CR"/>
        </w:rPr>
        <w:t>ó</w:t>
      </w:r>
      <w:r w:rsidR="00DD5996" w:rsidRPr="00033E65">
        <w:rPr>
          <w:szCs w:val="22"/>
          <w:lang w:eastAsia="es-CR"/>
        </w:rPr>
        <w:t>:</w:t>
      </w:r>
    </w:p>
    <w:p w14:paraId="5E9FEA64" w14:textId="06B371FD" w:rsidR="00D20766" w:rsidRPr="00033E65" w:rsidRDefault="00DD5996" w:rsidP="00A90544">
      <w:pPr>
        <w:ind w:left="426" w:right="900"/>
        <w:rPr>
          <w:i/>
          <w:iCs/>
          <w:szCs w:val="22"/>
          <w:lang w:eastAsia="es-CR"/>
        </w:rPr>
      </w:pPr>
      <w:r w:rsidRPr="00033E65">
        <w:rPr>
          <w:i/>
          <w:iCs/>
          <w:szCs w:val="22"/>
          <w:lang w:eastAsia="es-CR"/>
        </w:rPr>
        <w:t xml:space="preserve"> “</w:t>
      </w:r>
      <w:r w:rsidR="00D20766" w:rsidRPr="00033E65">
        <w:rPr>
          <w:i/>
          <w:iCs/>
          <w:szCs w:val="22"/>
          <w:lang w:eastAsia="es-CR"/>
        </w:rPr>
        <w:t xml:space="preserve">Con la experiencia de la reforma procesal laboral, se ha encontrado que los recursos que ingresan pueden financiar algunos gastos, sin embargo, la captación es difícil de </w:t>
      </w:r>
      <w:r w:rsidR="00D20766" w:rsidRPr="00033E65">
        <w:rPr>
          <w:i/>
          <w:iCs/>
          <w:szCs w:val="22"/>
          <w:lang w:eastAsia="es-CR"/>
        </w:rPr>
        <w:lastRenderedPageBreak/>
        <w:t xml:space="preserve">estimar y no se debe partir del supuesto de que con fondos por costas personales se financiarán gastos de los que depende la operatividad de las oficinas. </w:t>
      </w:r>
    </w:p>
    <w:p w14:paraId="37EFF7A3" w14:textId="77777777" w:rsidR="00D20766" w:rsidRPr="00033E65" w:rsidRDefault="00D20766" w:rsidP="00A90544">
      <w:pPr>
        <w:ind w:left="426" w:right="900"/>
        <w:rPr>
          <w:i/>
          <w:iCs/>
          <w:szCs w:val="22"/>
          <w:lang w:eastAsia="es-CR"/>
        </w:rPr>
      </w:pPr>
      <w:r w:rsidRPr="00033E65">
        <w:rPr>
          <w:i/>
          <w:iCs/>
          <w:szCs w:val="22"/>
          <w:lang w:eastAsia="es-CR"/>
        </w:rPr>
        <w:t xml:space="preserve">Adicionalmente, es necesario definir de manera previa quién será la oficina a cargo de administrar y custodiar los recursos por costas personales. Lo anterior debido a los problemas de control y distribución de recursos que se han presentado en la materia laboral. Al respecto se puede señalar la debilidad existente en la actualidad sobre asignación de recurso profesional y tecnológico para administrar recursos. Lo anterior consta en estudio de auditoría judicial que está para conocimiento de Corte Plena. </w:t>
      </w:r>
    </w:p>
    <w:p w14:paraId="536583A7" w14:textId="038765EE" w:rsidR="004649B0" w:rsidRPr="005E63FE" w:rsidRDefault="00D20766" w:rsidP="005E63FE">
      <w:pPr>
        <w:ind w:left="426" w:right="900"/>
        <w:rPr>
          <w:i/>
          <w:iCs/>
          <w:szCs w:val="22"/>
          <w:lang w:eastAsia="es-CR"/>
        </w:rPr>
      </w:pPr>
      <w:r w:rsidRPr="00033E65">
        <w:rPr>
          <w:i/>
          <w:iCs/>
          <w:szCs w:val="22"/>
          <w:lang w:eastAsia="es-CR"/>
        </w:rPr>
        <w:t>Se ha generado con el manejo de costas en materia laboral un método de trabajo que no debe replicarse por las debilidades de control y lo oneroso del procedimiento. En la actualidad se está trabajando en las soluciones en conjunto con Planificación y la Presidencia de la Corte.</w:t>
      </w:r>
      <w:r w:rsidR="00DD5996" w:rsidRPr="00033E65">
        <w:rPr>
          <w:i/>
          <w:iCs/>
          <w:szCs w:val="22"/>
          <w:lang w:eastAsia="es-CR"/>
        </w:rPr>
        <w:t>”</w:t>
      </w:r>
      <w:r w:rsidRPr="00033E65">
        <w:rPr>
          <w:i/>
          <w:iCs/>
          <w:szCs w:val="22"/>
          <w:lang w:eastAsia="es-CR"/>
        </w:rPr>
        <w:t xml:space="preserve"> </w:t>
      </w:r>
    </w:p>
    <w:p w14:paraId="50BC306F" w14:textId="7D9CCD92" w:rsidR="00D00451" w:rsidRPr="005E63FE" w:rsidRDefault="004E3415" w:rsidP="005E63FE">
      <w:pPr>
        <w:spacing w:line="235" w:lineRule="auto"/>
        <w:ind w:right="261"/>
        <w:rPr>
          <w:color w:val="000000"/>
        </w:rPr>
      </w:pPr>
      <w:r w:rsidRPr="0043490A">
        <w:rPr>
          <w:color w:val="000000"/>
          <w:szCs w:val="22"/>
        </w:rPr>
        <w:t xml:space="preserve">Adicionalmente, a </w:t>
      </w:r>
      <w:r w:rsidRPr="0043490A">
        <w:rPr>
          <w:color w:val="000000"/>
          <w:szCs w:val="22"/>
          <w:lang w:eastAsia="es-CR"/>
        </w:rPr>
        <w:t xml:space="preserve">la fecha del correo no se contaba con la experiencia en materia laboral. La cual nos viene a generar un insumo importante en cuánto a la dificultad de la captación de los dineros provenientes de las costas personales; por lo que no se debe partir del supuesto de que con dichos fondos se podrá financiar la totalidad de los </w:t>
      </w:r>
      <w:r w:rsidR="005E63FE" w:rsidRPr="0043490A">
        <w:rPr>
          <w:color w:val="000000"/>
          <w:szCs w:val="22"/>
          <w:lang w:eastAsia="es-CR"/>
        </w:rPr>
        <w:t>costos de</w:t>
      </w:r>
      <w:r w:rsidRPr="0043490A">
        <w:rPr>
          <w:color w:val="000000"/>
          <w:szCs w:val="22"/>
          <w:lang w:eastAsia="es-CR"/>
        </w:rPr>
        <w:t xml:space="preserve"> las pruebas periciales de los diferentes procesos que en materia agraria participa la Defensa Pública.</w:t>
      </w:r>
      <w:r w:rsidRPr="00033E65">
        <w:rPr>
          <w:color w:val="000000"/>
          <w:szCs w:val="22"/>
          <w:lang w:eastAsia="es-CR"/>
        </w:rPr>
        <w:t xml:space="preserve"> </w:t>
      </w:r>
    </w:p>
    <w:p w14:paraId="6B910DC8" w14:textId="7C5E008C" w:rsidR="005549D7" w:rsidRPr="005E63FE" w:rsidRDefault="009800C1" w:rsidP="009800C1">
      <w:pPr>
        <w:ind w:right="170"/>
        <w:rPr>
          <w:color w:val="000000"/>
          <w:szCs w:val="22"/>
          <w:lang w:eastAsia="es-CR"/>
        </w:rPr>
      </w:pPr>
      <w:r w:rsidRPr="0043490A">
        <w:rPr>
          <w:color w:val="000000"/>
          <w:szCs w:val="22"/>
          <w:lang w:eastAsia="es-CR"/>
        </w:rPr>
        <w:t>Es necesario definir de manera previa cuál será la oficina encargada de captar, administrar y custodiar los recursos por costas personales. Lo anterior debido a los problemas de control y distribución de recursos que se han presentado en la materia laboral. Al respecto se puede señalar la debilidad existente en la actualidad sobre asignación de recurso profesional y tecnológico para administrar dichos recursos. Lo anterior consta en un estudio de auditoría judicial que está para conocimiento de Corte Plena.</w:t>
      </w:r>
      <w:r w:rsidRPr="00033E65">
        <w:rPr>
          <w:color w:val="000000"/>
          <w:szCs w:val="22"/>
          <w:lang w:eastAsia="es-CR"/>
        </w:rPr>
        <w:t xml:space="preserve"> </w:t>
      </w:r>
    </w:p>
    <w:p w14:paraId="635D9254" w14:textId="669A50AD" w:rsidR="005549D7" w:rsidRPr="00033E65" w:rsidRDefault="005549D7" w:rsidP="005549D7">
      <w:pPr>
        <w:ind w:right="170"/>
        <w:rPr>
          <w:color w:val="000000"/>
        </w:rPr>
      </w:pPr>
      <w:r w:rsidRPr="00033E65">
        <w:rPr>
          <w:color w:val="000000"/>
          <w:szCs w:val="22"/>
          <w:lang w:eastAsia="es-CR"/>
        </w:rPr>
        <w:t xml:space="preserve"> </w:t>
      </w:r>
      <w:r w:rsidRPr="0043490A">
        <w:rPr>
          <w:color w:val="000000"/>
          <w:szCs w:val="22"/>
          <w:lang w:eastAsia="es-CR"/>
        </w:rPr>
        <w:t>Se ha generado con el manejo de costas en materia laboral un método de trabajo que no debe replicarse por las debilidades de control y lo oneroso del procedimiento. En la actualidad se está trabajando en las soluciones en conjunto con Planificación y la Presidencia de la Corte.</w:t>
      </w:r>
      <w:r w:rsidRPr="00033E65">
        <w:rPr>
          <w:color w:val="000000"/>
          <w:szCs w:val="22"/>
          <w:lang w:eastAsia="es-CR"/>
        </w:rPr>
        <w:t xml:space="preserve"> </w:t>
      </w:r>
    </w:p>
    <w:p w14:paraId="0DC9397A" w14:textId="6D22FEC8" w:rsidR="00CC641A" w:rsidRPr="00033E65" w:rsidRDefault="00CC641A" w:rsidP="00CC641A">
      <w:pPr>
        <w:ind w:right="261"/>
        <w:rPr>
          <w:color w:val="000000"/>
          <w:szCs w:val="22"/>
          <w:lang w:eastAsia="es-CR"/>
        </w:rPr>
      </w:pPr>
      <w:r w:rsidRPr="00033E65">
        <w:rPr>
          <w:color w:val="000000"/>
          <w:szCs w:val="22"/>
          <w:lang w:eastAsia="es-CR"/>
        </w:rPr>
        <w:t xml:space="preserve"> También es necesaria la creación y aprobación de los reglamentos correspondientes a la administración de los recursos. </w:t>
      </w:r>
    </w:p>
    <w:p w14:paraId="658CAFB4" w14:textId="3B0C5D92" w:rsidR="00DD7C86" w:rsidRDefault="00E656B4" w:rsidP="00DD7C86">
      <w:pPr>
        <w:ind w:right="261"/>
        <w:rPr>
          <w:i/>
          <w:iCs/>
          <w:szCs w:val="22"/>
          <w:lang w:eastAsia="es-CR"/>
        </w:rPr>
      </w:pPr>
      <w:r w:rsidRPr="003B1C9B">
        <w:rPr>
          <w:szCs w:val="22"/>
        </w:rPr>
        <w:t xml:space="preserve">Asimismo, es relevante destacar que </w:t>
      </w:r>
      <w:r w:rsidR="00DD7C86" w:rsidRPr="00A90544">
        <w:rPr>
          <w:szCs w:val="22"/>
        </w:rPr>
        <w:t xml:space="preserve">en lo que corresponde a la labor </w:t>
      </w:r>
      <w:r w:rsidR="000E56A9" w:rsidRPr="00A90544">
        <w:rPr>
          <w:szCs w:val="22"/>
        </w:rPr>
        <w:t>de manejo</w:t>
      </w:r>
      <w:r w:rsidR="00DD7C86" w:rsidRPr="00A90544">
        <w:rPr>
          <w:szCs w:val="22"/>
        </w:rPr>
        <w:t xml:space="preserve">, registro, control contable, presupuestario y ejecución de los recursos que genere el Código Procesal </w:t>
      </w:r>
      <w:r w:rsidR="005E63FE" w:rsidRPr="00A90544">
        <w:rPr>
          <w:szCs w:val="22"/>
        </w:rPr>
        <w:t>Agrario</w:t>
      </w:r>
      <w:r w:rsidR="005E63FE" w:rsidRPr="003B1C9B">
        <w:rPr>
          <w:szCs w:val="22"/>
        </w:rPr>
        <w:t xml:space="preserve"> </w:t>
      </w:r>
      <w:r w:rsidR="005E63FE" w:rsidRPr="003B1C9B">
        <w:rPr>
          <w:szCs w:val="22"/>
          <w:lang w:eastAsia="es-CR"/>
        </w:rPr>
        <w:t>el</w:t>
      </w:r>
      <w:r w:rsidR="00DD7C86" w:rsidRPr="003B1C9B">
        <w:rPr>
          <w:szCs w:val="22"/>
          <w:lang w:eastAsia="es-CR"/>
        </w:rPr>
        <w:t xml:space="preserve"> del Lic. Josué González Granados mediante correo de fecha 23 de febrero 2023, indicó:</w:t>
      </w:r>
      <w:r w:rsidR="00DD7C86" w:rsidRPr="00033E65">
        <w:rPr>
          <w:i/>
          <w:iCs/>
          <w:szCs w:val="22"/>
          <w:lang w:eastAsia="es-CR"/>
        </w:rPr>
        <w:t xml:space="preserve"> </w:t>
      </w:r>
    </w:p>
    <w:p w14:paraId="613D8C5E" w14:textId="77777777" w:rsidR="00DD7C86" w:rsidRDefault="00DD7C86" w:rsidP="00DD7C86">
      <w:pPr>
        <w:ind w:right="261"/>
        <w:rPr>
          <w:i/>
          <w:iCs/>
          <w:szCs w:val="22"/>
          <w:lang w:eastAsia="es-CR"/>
        </w:rPr>
      </w:pPr>
    </w:p>
    <w:p w14:paraId="113ED548" w14:textId="77777777" w:rsidR="00DD7C86" w:rsidRPr="00033E65" w:rsidRDefault="00DD7C86" w:rsidP="00DD7C86">
      <w:pPr>
        <w:ind w:left="426" w:right="758"/>
        <w:rPr>
          <w:i/>
          <w:iCs/>
          <w:szCs w:val="22"/>
        </w:rPr>
      </w:pPr>
      <w:r w:rsidRPr="00033E65">
        <w:rPr>
          <w:i/>
          <w:iCs/>
          <w:szCs w:val="22"/>
          <w:lang w:eastAsia="es-CR"/>
        </w:rPr>
        <w:t>“</w:t>
      </w:r>
      <w:r w:rsidRPr="00033E65">
        <w:rPr>
          <w:i/>
          <w:iCs/>
          <w:szCs w:val="22"/>
        </w:rPr>
        <w:t>Sobre el párrafo anterior, a la fecha no es posible para la Defensa Pública asumir la administración de estos recursos sin la asignación de recurso profesional y tecnológico. Actualmente existe debilidad para asumir las labores asignadas a la fecha. Esta situación se ha trasladado a las instancias correspondientes y actualmente se está ejecutando un estudio por parte del Departamento de Planificación en la Administración de la Defensa Pública para determinar las necesidades y mejoras necesarias.”</w:t>
      </w:r>
    </w:p>
    <w:p w14:paraId="02701A55" w14:textId="7D870EC3" w:rsidR="00AD248A" w:rsidRDefault="00DD7C86" w:rsidP="005E63FE">
      <w:pPr>
        <w:ind w:right="49"/>
        <w:rPr>
          <w:color w:val="000000"/>
          <w:szCs w:val="22"/>
        </w:rPr>
      </w:pPr>
      <w:r w:rsidRPr="0043490A">
        <w:rPr>
          <w:color w:val="000000"/>
          <w:szCs w:val="22"/>
        </w:rPr>
        <w:lastRenderedPageBreak/>
        <w:t xml:space="preserve">Es importante señalar que a la fecha </w:t>
      </w:r>
      <w:r w:rsidR="00222EEB">
        <w:rPr>
          <w:color w:val="000000"/>
          <w:szCs w:val="22"/>
        </w:rPr>
        <w:t xml:space="preserve">La Dirección </w:t>
      </w:r>
      <w:r w:rsidRPr="0043490A">
        <w:rPr>
          <w:color w:val="000000"/>
          <w:szCs w:val="22"/>
        </w:rPr>
        <w:t xml:space="preserve"> de Planificación está realizando un estudio en la Administración de la Defensa Pública para determinar las necesidades y mejoras que deben realizarse, ya que se ha evidenciado que a la fecha dicha oficina carece del personal necesario para realizar las funciones que le corresponden, </w:t>
      </w:r>
      <w:r w:rsidR="000E56A9">
        <w:rPr>
          <w:color w:val="000000"/>
          <w:szCs w:val="22"/>
        </w:rPr>
        <w:t>como parte de este análisis es que se</w:t>
      </w:r>
      <w:r w:rsidR="005F2C1A">
        <w:rPr>
          <w:color w:val="000000"/>
          <w:szCs w:val="22"/>
        </w:rPr>
        <w:t xml:space="preserve"> evidencia la </w:t>
      </w:r>
      <w:r w:rsidR="00AD248A">
        <w:rPr>
          <w:color w:val="000000"/>
          <w:szCs w:val="22"/>
        </w:rPr>
        <w:t xml:space="preserve">necesidad de fortalecer esta área con un recurso adicional, </w:t>
      </w:r>
      <w:r w:rsidR="005F2C1A">
        <w:rPr>
          <w:color w:val="000000"/>
          <w:szCs w:val="22"/>
        </w:rPr>
        <w:t>considerando que con el nuevo código procesal deberá asumir las labores</w:t>
      </w:r>
      <w:r w:rsidR="003B1C9B">
        <w:rPr>
          <w:color w:val="000000"/>
          <w:szCs w:val="22"/>
        </w:rPr>
        <w:t xml:space="preserve"> señaladas previamente </w:t>
      </w:r>
      <w:r w:rsidR="00F8432D">
        <w:rPr>
          <w:color w:val="000000"/>
          <w:szCs w:val="22"/>
        </w:rPr>
        <w:t xml:space="preserve">ahora en la </w:t>
      </w:r>
      <w:r w:rsidR="003B1C9B">
        <w:rPr>
          <w:color w:val="000000"/>
          <w:szCs w:val="22"/>
        </w:rPr>
        <w:t xml:space="preserve">materia agraria. En virtud de lo anterior se tendría la siguiente necesidad: </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15"/>
        <w:gridCol w:w="1128"/>
        <w:gridCol w:w="1207"/>
        <w:gridCol w:w="1561"/>
        <w:gridCol w:w="1319"/>
        <w:gridCol w:w="2846"/>
      </w:tblGrid>
      <w:tr w:rsidR="00DB18DC" w:rsidRPr="0006786B" w14:paraId="5364B5C7" w14:textId="14649109" w:rsidTr="00DD1E3F">
        <w:trPr>
          <w:trHeight w:val="658"/>
          <w:jc w:val="center"/>
        </w:trPr>
        <w:tc>
          <w:tcPr>
            <w:tcW w:w="1715" w:type="dxa"/>
            <w:shd w:val="clear" w:color="auto" w:fill="F2F2F2" w:themeFill="background1" w:themeFillShade="F2"/>
            <w:vAlign w:val="center"/>
            <w:hideMark/>
          </w:tcPr>
          <w:p w14:paraId="1A2CC81A" w14:textId="77777777" w:rsidR="003B1C9B" w:rsidRPr="00624403" w:rsidRDefault="003B1C9B">
            <w:pPr>
              <w:spacing w:before="0" w:after="0"/>
              <w:jc w:val="center"/>
              <w:rPr>
                <w:rFonts w:cs="Arial"/>
                <w:b/>
                <w:bCs/>
                <w:szCs w:val="22"/>
                <w:lang w:eastAsia="es-CR"/>
              </w:rPr>
            </w:pPr>
            <w:r>
              <w:rPr>
                <w:rFonts w:cs="Arial"/>
                <w:b/>
                <w:bCs/>
                <w:szCs w:val="22"/>
                <w:lang w:eastAsia="es-CR"/>
              </w:rPr>
              <w:t>Puesto</w:t>
            </w:r>
          </w:p>
        </w:tc>
        <w:tc>
          <w:tcPr>
            <w:tcW w:w="1128" w:type="dxa"/>
            <w:shd w:val="clear" w:color="auto" w:fill="F2F2F2" w:themeFill="background1" w:themeFillShade="F2"/>
            <w:vAlign w:val="center"/>
          </w:tcPr>
          <w:p w14:paraId="43054CFC" w14:textId="77777777" w:rsidR="003B1C9B" w:rsidRPr="00624403" w:rsidRDefault="003B1C9B">
            <w:pPr>
              <w:spacing w:before="0" w:after="0"/>
              <w:jc w:val="center"/>
              <w:rPr>
                <w:rFonts w:cs="Arial"/>
                <w:b/>
                <w:bCs/>
                <w:szCs w:val="22"/>
                <w:lang w:eastAsia="es-CR"/>
              </w:rPr>
            </w:pPr>
            <w:r w:rsidRPr="00624403">
              <w:rPr>
                <w:rFonts w:cs="Arial"/>
                <w:b/>
                <w:bCs/>
                <w:szCs w:val="22"/>
                <w:lang w:eastAsia="es-CR"/>
              </w:rPr>
              <w:t>Cantidad</w:t>
            </w:r>
          </w:p>
        </w:tc>
        <w:tc>
          <w:tcPr>
            <w:tcW w:w="1207" w:type="dxa"/>
            <w:shd w:val="clear" w:color="auto" w:fill="F2F2F2" w:themeFill="background1" w:themeFillShade="F2"/>
            <w:vAlign w:val="center"/>
          </w:tcPr>
          <w:p w14:paraId="3D673A96" w14:textId="77777777" w:rsidR="003B1C9B" w:rsidRPr="00624403" w:rsidRDefault="003B1C9B">
            <w:pPr>
              <w:spacing w:before="0" w:after="0"/>
              <w:jc w:val="center"/>
              <w:rPr>
                <w:rFonts w:cs="Arial"/>
                <w:b/>
                <w:bCs/>
                <w:szCs w:val="22"/>
                <w:lang w:eastAsia="es-CR"/>
              </w:rPr>
            </w:pPr>
            <w:r w:rsidRPr="00624403">
              <w:rPr>
                <w:rFonts w:cs="Arial"/>
                <w:b/>
                <w:bCs/>
                <w:szCs w:val="22"/>
                <w:lang w:eastAsia="es-CR"/>
              </w:rPr>
              <w:t>Tiempo</w:t>
            </w:r>
          </w:p>
        </w:tc>
        <w:tc>
          <w:tcPr>
            <w:tcW w:w="1561" w:type="dxa"/>
            <w:shd w:val="clear" w:color="auto" w:fill="F2F2F2" w:themeFill="background1" w:themeFillShade="F2"/>
            <w:vAlign w:val="center"/>
          </w:tcPr>
          <w:p w14:paraId="3C3F5A91" w14:textId="77777777" w:rsidR="003B1C9B" w:rsidRPr="00624403" w:rsidRDefault="003B1C9B">
            <w:pPr>
              <w:spacing w:before="0" w:after="0"/>
              <w:jc w:val="center"/>
              <w:rPr>
                <w:rFonts w:cs="Arial"/>
                <w:b/>
                <w:bCs/>
                <w:szCs w:val="22"/>
                <w:lang w:eastAsia="es-CR"/>
              </w:rPr>
            </w:pPr>
            <w:r>
              <w:rPr>
                <w:rFonts w:cs="Arial"/>
                <w:b/>
                <w:bCs/>
                <w:szCs w:val="22"/>
                <w:lang w:eastAsia="es-CR"/>
              </w:rPr>
              <w:t>Condición de la plaza</w:t>
            </w:r>
          </w:p>
        </w:tc>
        <w:tc>
          <w:tcPr>
            <w:tcW w:w="1319" w:type="dxa"/>
            <w:shd w:val="clear" w:color="auto" w:fill="F2F2F2" w:themeFill="background1" w:themeFillShade="F2"/>
            <w:vAlign w:val="center"/>
            <w:hideMark/>
          </w:tcPr>
          <w:p w14:paraId="658250DA" w14:textId="77777777" w:rsidR="003B1C9B" w:rsidRPr="00624403" w:rsidRDefault="003B1C9B">
            <w:pPr>
              <w:spacing w:before="0" w:after="0"/>
              <w:jc w:val="center"/>
              <w:rPr>
                <w:rFonts w:cs="Arial"/>
                <w:b/>
                <w:bCs/>
                <w:szCs w:val="22"/>
                <w:lang w:eastAsia="es-CR"/>
              </w:rPr>
            </w:pPr>
            <w:r>
              <w:rPr>
                <w:rFonts w:cs="Arial"/>
                <w:b/>
                <w:bCs/>
                <w:szCs w:val="22"/>
                <w:lang w:eastAsia="es-CR"/>
              </w:rPr>
              <w:t>Costo anual</w:t>
            </w:r>
          </w:p>
        </w:tc>
        <w:tc>
          <w:tcPr>
            <w:tcW w:w="2846" w:type="dxa"/>
            <w:shd w:val="clear" w:color="auto" w:fill="F2F2F2" w:themeFill="background1" w:themeFillShade="F2"/>
            <w:vAlign w:val="center"/>
          </w:tcPr>
          <w:p w14:paraId="711CB000" w14:textId="6E07B0FB" w:rsidR="003B1C9B" w:rsidRDefault="003B1C9B" w:rsidP="003B1C9B">
            <w:pPr>
              <w:spacing w:before="0" w:after="0"/>
              <w:jc w:val="center"/>
              <w:rPr>
                <w:rFonts w:cs="Arial"/>
                <w:b/>
                <w:bCs/>
                <w:szCs w:val="22"/>
                <w:lang w:eastAsia="es-CR"/>
              </w:rPr>
            </w:pPr>
            <w:r>
              <w:rPr>
                <w:rFonts w:cs="Arial"/>
                <w:b/>
                <w:bCs/>
                <w:szCs w:val="22"/>
                <w:lang w:eastAsia="es-CR"/>
              </w:rPr>
              <w:t>Observaciones</w:t>
            </w:r>
          </w:p>
        </w:tc>
      </w:tr>
      <w:tr w:rsidR="00DB18DC" w:rsidRPr="0006786B" w14:paraId="3DD5E9B3" w14:textId="5C865A0B" w:rsidTr="00DD1E3F">
        <w:trPr>
          <w:trHeight w:val="658"/>
          <w:jc w:val="center"/>
        </w:trPr>
        <w:tc>
          <w:tcPr>
            <w:tcW w:w="1715" w:type="dxa"/>
            <w:shd w:val="clear" w:color="auto" w:fill="auto"/>
            <w:vAlign w:val="center"/>
            <w:hideMark/>
          </w:tcPr>
          <w:p w14:paraId="599E736D" w14:textId="77777777" w:rsidR="003B1C9B" w:rsidRPr="00624403" w:rsidRDefault="003B1C9B">
            <w:pPr>
              <w:spacing w:before="0" w:after="0"/>
              <w:jc w:val="left"/>
              <w:rPr>
                <w:rFonts w:cs="Arial"/>
                <w:szCs w:val="22"/>
                <w:lang w:eastAsia="es-CR"/>
              </w:rPr>
            </w:pPr>
            <w:r w:rsidRPr="00624403">
              <w:rPr>
                <w:rFonts w:cs="Arial"/>
                <w:szCs w:val="22"/>
                <w:lang w:eastAsia="es-CR"/>
              </w:rPr>
              <w:t xml:space="preserve">PROFESIONAL 1 </w:t>
            </w:r>
          </w:p>
        </w:tc>
        <w:tc>
          <w:tcPr>
            <w:tcW w:w="1128" w:type="dxa"/>
            <w:vAlign w:val="center"/>
          </w:tcPr>
          <w:p w14:paraId="2EBEF829" w14:textId="77777777" w:rsidR="003B1C9B" w:rsidRPr="00624403" w:rsidRDefault="003B1C9B">
            <w:pPr>
              <w:spacing w:before="0" w:after="0"/>
              <w:jc w:val="center"/>
              <w:rPr>
                <w:rFonts w:cs="Arial"/>
                <w:szCs w:val="22"/>
                <w:lang w:eastAsia="es-CR"/>
              </w:rPr>
            </w:pPr>
            <w:r w:rsidRPr="00624403">
              <w:rPr>
                <w:rFonts w:cs="Arial"/>
                <w:szCs w:val="22"/>
                <w:lang w:eastAsia="es-CR"/>
              </w:rPr>
              <w:t>1</w:t>
            </w:r>
          </w:p>
        </w:tc>
        <w:tc>
          <w:tcPr>
            <w:tcW w:w="1207" w:type="dxa"/>
            <w:vAlign w:val="center"/>
          </w:tcPr>
          <w:p w14:paraId="6F431562" w14:textId="77777777" w:rsidR="003B1C9B" w:rsidRPr="00624403" w:rsidRDefault="003B1C9B">
            <w:pPr>
              <w:spacing w:before="0" w:after="0"/>
              <w:jc w:val="center"/>
              <w:rPr>
                <w:rFonts w:cs="Arial"/>
                <w:szCs w:val="22"/>
                <w:lang w:eastAsia="es-CR"/>
              </w:rPr>
            </w:pPr>
            <w:r>
              <w:rPr>
                <w:rFonts w:cs="Arial"/>
                <w:szCs w:val="22"/>
                <w:lang w:eastAsia="es-CR"/>
              </w:rPr>
              <w:t>12 meses</w:t>
            </w:r>
          </w:p>
        </w:tc>
        <w:tc>
          <w:tcPr>
            <w:tcW w:w="1561" w:type="dxa"/>
            <w:vAlign w:val="center"/>
          </w:tcPr>
          <w:p w14:paraId="7B983E4B" w14:textId="77777777" w:rsidR="003B1C9B" w:rsidRPr="00624403" w:rsidRDefault="003B1C9B">
            <w:pPr>
              <w:spacing w:before="0" w:after="0"/>
              <w:jc w:val="center"/>
              <w:rPr>
                <w:rFonts w:cs="Arial"/>
                <w:szCs w:val="22"/>
                <w:lang w:eastAsia="es-CR"/>
              </w:rPr>
            </w:pPr>
            <w:r>
              <w:rPr>
                <w:rFonts w:cs="Arial"/>
                <w:szCs w:val="22"/>
                <w:lang w:eastAsia="es-CR"/>
              </w:rPr>
              <w:t>Extraordinaria</w:t>
            </w:r>
          </w:p>
        </w:tc>
        <w:tc>
          <w:tcPr>
            <w:tcW w:w="1319" w:type="dxa"/>
            <w:shd w:val="clear" w:color="auto" w:fill="auto"/>
            <w:vAlign w:val="center"/>
            <w:hideMark/>
          </w:tcPr>
          <w:p w14:paraId="1A9AC074" w14:textId="77777777" w:rsidR="003B1C9B" w:rsidRPr="00624403" w:rsidRDefault="003B1C9B">
            <w:pPr>
              <w:spacing w:before="0" w:after="0"/>
              <w:jc w:val="right"/>
              <w:rPr>
                <w:rFonts w:cs="Arial"/>
                <w:szCs w:val="22"/>
                <w:lang w:eastAsia="es-CR"/>
              </w:rPr>
            </w:pPr>
            <w:r w:rsidRPr="00624403">
              <w:rPr>
                <w:rFonts w:cs="Arial"/>
                <w:szCs w:val="22"/>
                <w:lang w:eastAsia="es-CR"/>
              </w:rPr>
              <w:t>25</w:t>
            </w:r>
            <w:r>
              <w:rPr>
                <w:rFonts w:cs="Arial"/>
                <w:szCs w:val="22"/>
                <w:lang w:eastAsia="es-CR"/>
              </w:rPr>
              <w:t> </w:t>
            </w:r>
            <w:r w:rsidRPr="00624403">
              <w:rPr>
                <w:rFonts w:cs="Arial"/>
                <w:szCs w:val="22"/>
                <w:lang w:eastAsia="es-CR"/>
              </w:rPr>
              <w:t>913</w:t>
            </w:r>
            <w:r>
              <w:rPr>
                <w:rFonts w:cs="Arial"/>
                <w:szCs w:val="22"/>
                <w:lang w:eastAsia="es-CR"/>
              </w:rPr>
              <w:t xml:space="preserve"> 000</w:t>
            </w:r>
          </w:p>
        </w:tc>
        <w:tc>
          <w:tcPr>
            <w:tcW w:w="2846" w:type="dxa"/>
          </w:tcPr>
          <w:p w14:paraId="29394E89" w14:textId="300B2D4A" w:rsidR="003B1C9B" w:rsidRPr="00624403" w:rsidRDefault="003B1C9B" w:rsidP="00A90544">
            <w:pPr>
              <w:spacing w:before="0" w:after="0"/>
              <w:rPr>
                <w:rFonts w:cs="Arial"/>
                <w:szCs w:val="22"/>
                <w:lang w:eastAsia="es-CR"/>
              </w:rPr>
            </w:pPr>
            <w:r>
              <w:rPr>
                <w:rFonts w:cs="Arial"/>
                <w:szCs w:val="22"/>
                <w:lang w:eastAsia="es-CR"/>
              </w:rPr>
              <w:t xml:space="preserve">Profesional administrativo 1 Contador para manejo de fondos de la Defensa Pública por concepto </w:t>
            </w:r>
            <w:r w:rsidR="00E6479C">
              <w:rPr>
                <w:rFonts w:cs="Arial"/>
                <w:szCs w:val="22"/>
                <w:lang w:eastAsia="es-CR"/>
              </w:rPr>
              <w:t>de costas (</w:t>
            </w:r>
            <w:r w:rsidR="00364FDC">
              <w:rPr>
                <w:szCs w:val="22"/>
              </w:rPr>
              <w:t>A</w:t>
            </w:r>
            <w:r w:rsidR="00CC10E0" w:rsidRPr="00033E65">
              <w:rPr>
                <w:szCs w:val="22"/>
              </w:rPr>
              <w:t>rtículo 47 del Código Procesal Agrario</w:t>
            </w:r>
            <w:r w:rsidR="00364FDC">
              <w:rPr>
                <w:szCs w:val="22"/>
              </w:rPr>
              <w:t>)</w:t>
            </w:r>
          </w:p>
        </w:tc>
      </w:tr>
    </w:tbl>
    <w:p w14:paraId="499AC9F6" w14:textId="5A496388" w:rsidR="00DD7C86" w:rsidRPr="00033E65" w:rsidRDefault="00364FDC" w:rsidP="00DD7C86">
      <w:pPr>
        <w:ind w:right="261"/>
        <w:rPr>
          <w:color w:val="000000"/>
        </w:rPr>
      </w:pPr>
      <w:r w:rsidRPr="00484637">
        <w:rPr>
          <w:color w:val="000000"/>
          <w:szCs w:val="22"/>
        </w:rPr>
        <w:t xml:space="preserve">Las funciones que se </w:t>
      </w:r>
      <w:r w:rsidR="00484637" w:rsidRPr="00484637">
        <w:rPr>
          <w:color w:val="000000"/>
          <w:szCs w:val="22"/>
        </w:rPr>
        <w:t>plantean para la plaza de contador serían las siguientes:</w:t>
      </w:r>
    </w:p>
    <w:p w14:paraId="2D5F0567" w14:textId="3033DB95" w:rsidR="00A501D3" w:rsidRPr="00484637" w:rsidRDefault="00A501D3" w:rsidP="00A90544">
      <w:pPr>
        <w:pStyle w:val="Prrafodelista"/>
        <w:numPr>
          <w:ilvl w:val="0"/>
          <w:numId w:val="68"/>
        </w:numPr>
        <w:spacing w:before="100" w:beforeAutospacing="1" w:after="100" w:afterAutospacing="1"/>
        <w:ind w:left="426"/>
        <w:rPr>
          <w:szCs w:val="22"/>
          <w:lang w:eastAsia="es-CR"/>
        </w:rPr>
      </w:pPr>
      <w:r w:rsidRPr="00484637">
        <w:rPr>
          <w:szCs w:val="22"/>
          <w:lang w:eastAsia="es-CR"/>
        </w:rPr>
        <w:t>Manejo de cuentas corrientes judiciales y del Sistema de Depósitos Judiciales (SDJ)</w:t>
      </w:r>
    </w:p>
    <w:p w14:paraId="315F1876" w14:textId="28321D13" w:rsidR="00A501D3" w:rsidRPr="00484637" w:rsidRDefault="00A501D3" w:rsidP="00A90544">
      <w:pPr>
        <w:pStyle w:val="Prrafodelista"/>
        <w:numPr>
          <w:ilvl w:val="0"/>
          <w:numId w:val="68"/>
        </w:numPr>
        <w:spacing w:before="100" w:beforeAutospacing="1" w:after="100" w:afterAutospacing="1"/>
        <w:ind w:left="426"/>
        <w:rPr>
          <w:szCs w:val="22"/>
          <w:lang w:eastAsia="es-CR"/>
        </w:rPr>
      </w:pPr>
      <w:r w:rsidRPr="00484637">
        <w:rPr>
          <w:szCs w:val="22"/>
          <w:lang w:eastAsia="es-CR"/>
        </w:rPr>
        <w:t>Proceso y revisión para el cálculo y cobro de honorarios. - Depósitos judiciales.</w:t>
      </w:r>
    </w:p>
    <w:p w14:paraId="283A2AC1" w14:textId="762B7A30" w:rsidR="00A501D3" w:rsidRPr="00484637" w:rsidRDefault="00A501D3" w:rsidP="00A90544">
      <w:pPr>
        <w:pStyle w:val="Prrafodelista"/>
        <w:numPr>
          <w:ilvl w:val="0"/>
          <w:numId w:val="68"/>
        </w:numPr>
        <w:spacing w:before="100" w:beforeAutospacing="1" w:after="100" w:afterAutospacing="1"/>
        <w:ind w:left="426"/>
        <w:rPr>
          <w:szCs w:val="22"/>
          <w:lang w:eastAsia="es-CR"/>
        </w:rPr>
      </w:pPr>
      <w:r w:rsidRPr="00484637">
        <w:rPr>
          <w:szCs w:val="22"/>
          <w:lang w:eastAsia="es-CR"/>
        </w:rPr>
        <w:t>Proceso de cobro a funcionarios por sumas fijadas de menos por concepto de honorarios, resoluciones de archivo o traslado de diligencias. - Emisión de órdenes de giro por devolución de dinero.</w:t>
      </w:r>
    </w:p>
    <w:p w14:paraId="5A86F751" w14:textId="77FDF995" w:rsidR="00A501D3" w:rsidRPr="00484637" w:rsidRDefault="00A501D3" w:rsidP="00A90544">
      <w:pPr>
        <w:pStyle w:val="Prrafodelista"/>
        <w:numPr>
          <w:ilvl w:val="0"/>
          <w:numId w:val="68"/>
        </w:numPr>
        <w:spacing w:before="100" w:beforeAutospacing="1" w:after="100" w:afterAutospacing="1"/>
        <w:ind w:left="426"/>
        <w:rPr>
          <w:szCs w:val="22"/>
          <w:lang w:eastAsia="es-CR"/>
        </w:rPr>
      </w:pPr>
      <w:r w:rsidRPr="00484637">
        <w:rPr>
          <w:szCs w:val="22"/>
          <w:lang w:eastAsia="es-CR"/>
        </w:rPr>
        <w:t>Traslado de recursos a caja única para la posterior ejecución vía presupuesto del Poder Judicial.</w:t>
      </w:r>
    </w:p>
    <w:p w14:paraId="06CACA07" w14:textId="30519ED0" w:rsidR="00A501D3" w:rsidRPr="00484637" w:rsidRDefault="00A501D3" w:rsidP="00A90544">
      <w:pPr>
        <w:pStyle w:val="Prrafodelista"/>
        <w:numPr>
          <w:ilvl w:val="0"/>
          <w:numId w:val="68"/>
        </w:numPr>
        <w:spacing w:before="100" w:beforeAutospacing="1" w:after="100" w:afterAutospacing="1"/>
        <w:ind w:left="426"/>
        <w:rPr>
          <w:szCs w:val="22"/>
          <w:lang w:eastAsia="es-CR"/>
        </w:rPr>
      </w:pPr>
      <w:r w:rsidRPr="00484637">
        <w:rPr>
          <w:szCs w:val="22"/>
          <w:lang w:eastAsia="es-CR"/>
        </w:rPr>
        <w:t>Uso del sistema de emisión de cheques y conciliaciones del Departamento Financiero Contable.</w:t>
      </w:r>
    </w:p>
    <w:p w14:paraId="2CB51BBA" w14:textId="63FFC15F" w:rsidR="00A501D3" w:rsidRPr="00484637" w:rsidRDefault="00A501D3" w:rsidP="00A90544">
      <w:pPr>
        <w:pStyle w:val="Prrafodelista"/>
        <w:numPr>
          <w:ilvl w:val="0"/>
          <w:numId w:val="68"/>
        </w:numPr>
        <w:spacing w:before="100" w:beforeAutospacing="1" w:after="100" w:afterAutospacing="1"/>
        <w:ind w:left="426"/>
        <w:rPr>
          <w:szCs w:val="22"/>
          <w:lang w:eastAsia="es-CR"/>
        </w:rPr>
      </w:pPr>
      <w:r w:rsidRPr="00484637">
        <w:rPr>
          <w:szCs w:val="22"/>
          <w:lang w:eastAsia="es-CR"/>
        </w:rPr>
        <w:t>Manejo de libros contables de la cuenta especial.</w:t>
      </w:r>
    </w:p>
    <w:p w14:paraId="3AF5765A" w14:textId="69F2A248" w:rsidR="00A501D3" w:rsidRPr="00484637" w:rsidRDefault="00A501D3" w:rsidP="00A90544">
      <w:pPr>
        <w:pStyle w:val="Prrafodelista"/>
        <w:numPr>
          <w:ilvl w:val="0"/>
          <w:numId w:val="68"/>
        </w:numPr>
        <w:spacing w:before="100" w:beforeAutospacing="1" w:after="100" w:afterAutospacing="1"/>
        <w:ind w:left="426"/>
        <w:rPr>
          <w:szCs w:val="22"/>
          <w:lang w:eastAsia="es-CR"/>
        </w:rPr>
      </w:pPr>
      <w:r w:rsidRPr="00484637">
        <w:rPr>
          <w:szCs w:val="22"/>
          <w:lang w:eastAsia="es-CR"/>
        </w:rPr>
        <w:t>Realizar los arqueos y conciliaciones bancarias.</w:t>
      </w:r>
    </w:p>
    <w:p w14:paraId="75CA34FB" w14:textId="27215756" w:rsidR="00A501D3" w:rsidRPr="00484637" w:rsidRDefault="00A501D3" w:rsidP="00A90544">
      <w:pPr>
        <w:pStyle w:val="Prrafodelista"/>
        <w:numPr>
          <w:ilvl w:val="0"/>
          <w:numId w:val="68"/>
        </w:numPr>
        <w:spacing w:before="100" w:beforeAutospacing="1" w:after="100" w:afterAutospacing="1"/>
        <w:ind w:left="426"/>
        <w:rPr>
          <w:szCs w:val="22"/>
          <w:lang w:eastAsia="es-CR"/>
        </w:rPr>
      </w:pPr>
      <w:r w:rsidRPr="00484637">
        <w:rPr>
          <w:szCs w:val="22"/>
          <w:lang w:eastAsia="es-CR"/>
        </w:rPr>
        <w:t>Confección de informes financieros – contables.</w:t>
      </w:r>
    </w:p>
    <w:p w14:paraId="695F7CAA" w14:textId="1D617F77" w:rsidR="00A501D3" w:rsidRPr="00484637" w:rsidRDefault="00A501D3" w:rsidP="00A90544">
      <w:pPr>
        <w:pStyle w:val="Prrafodelista"/>
        <w:numPr>
          <w:ilvl w:val="0"/>
          <w:numId w:val="68"/>
        </w:numPr>
        <w:spacing w:before="100" w:beforeAutospacing="1" w:after="100" w:afterAutospacing="1"/>
        <w:ind w:left="426"/>
        <w:rPr>
          <w:szCs w:val="22"/>
          <w:lang w:eastAsia="es-CR"/>
        </w:rPr>
      </w:pPr>
      <w:r w:rsidRPr="00484637">
        <w:rPr>
          <w:szCs w:val="22"/>
          <w:lang w:eastAsia="es-CR"/>
        </w:rPr>
        <w:t>Redactar informes, proyectos, normas, procedimientos y otros documentos que surjan como consecuencia de las actividades que realiza, presentando las recomendaciones y observaciones pertinentes.</w:t>
      </w:r>
    </w:p>
    <w:p w14:paraId="0F3E6CCA" w14:textId="2D973F81" w:rsidR="00A501D3" w:rsidRPr="00484637" w:rsidRDefault="00A501D3" w:rsidP="00A90544">
      <w:pPr>
        <w:pStyle w:val="Prrafodelista"/>
        <w:numPr>
          <w:ilvl w:val="0"/>
          <w:numId w:val="68"/>
        </w:numPr>
        <w:spacing w:before="100" w:beforeAutospacing="1" w:after="100" w:afterAutospacing="1"/>
        <w:ind w:left="426"/>
        <w:rPr>
          <w:szCs w:val="22"/>
          <w:lang w:eastAsia="es-CR"/>
        </w:rPr>
      </w:pPr>
      <w:r w:rsidRPr="00484637">
        <w:rPr>
          <w:szCs w:val="22"/>
          <w:lang w:eastAsia="es-CR"/>
        </w:rPr>
        <w:t>Coordinar las actividades con sus superiores, compañeros de trabajo y personal interno y externo de la institución, en los casos que se requiera. - Llevar controles variados sobre las actividades bajo su responsabilidad y velar porque éstos se cumplan de acuerdo con los programas, fechas y plazos establecidos.</w:t>
      </w:r>
    </w:p>
    <w:p w14:paraId="68E02B7E" w14:textId="4E660EB1" w:rsidR="00A501D3" w:rsidRPr="00484637" w:rsidRDefault="00A501D3" w:rsidP="00A90544">
      <w:pPr>
        <w:pStyle w:val="Prrafodelista"/>
        <w:numPr>
          <w:ilvl w:val="0"/>
          <w:numId w:val="68"/>
        </w:numPr>
        <w:spacing w:before="100" w:beforeAutospacing="1" w:after="100" w:afterAutospacing="1"/>
        <w:ind w:left="426"/>
        <w:rPr>
          <w:szCs w:val="22"/>
          <w:lang w:eastAsia="es-CR"/>
        </w:rPr>
      </w:pPr>
      <w:r w:rsidRPr="00484637">
        <w:rPr>
          <w:szCs w:val="22"/>
          <w:lang w:eastAsia="es-CR"/>
        </w:rPr>
        <w:t>Realizar otras labores propias del cargo.</w:t>
      </w:r>
    </w:p>
    <w:p w14:paraId="7AF15DC2" w14:textId="097E0AD0" w:rsidR="00A501D3" w:rsidRPr="00484637" w:rsidRDefault="00A501D3" w:rsidP="00A90544">
      <w:pPr>
        <w:pStyle w:val="Prrafodelista"/>
        <w:numPr>
          <w:ilvl w:val="0"/>
          <w:numId w:val="68"/>
        </w:numPr>
        <w:spacing w:before="100" w:beforeAutospacing="1" w:after="100" w:afterAutospacing="1"/>
        <w:ind w:left="426"/>
        <w:rPr>
          <w:szCs w:val="22"/>
          <w:lang w:eastAsia="es-CR"/>
        </w:rPr>
      </w:pPr>
      <w:r w:rsidRPr="00484637">
        <w:rPr>
          <w:szCs w:val="22"/>
          <w:lang w:eastAsia="es-CR"/>
        </w:rPr>
        <w:t xml:space="preserve">Debiendo para ello contar con conocimientos en contratación administrativa, formulación y ejecución presupuestaria y conocimientos certificados en contabilidad. </w:t>
      </w:r>
    </w:p>
    <w:p w14:paraId="38D69051" w14:textId="3A85DE2C" w:rsidR="00AB3D8B" w:rsidRPr="00033E65" w:rsidRDefault="00A501D3" w:rsidP="005E63FE">
      <w:pPr>
        <w:ind w:right="49"/>
        <w:rPr>
          <w:szCs w:val="22"/>
        </w:rPr>
      </w:pPr>
      <w:r w:rsidRPr="00A90544">
        <w:rPr>
          <w:szCs w:val="22"/>
        </w:rPr>
        <w:lastRenderedPageBreak/>
        <w:t xml:space="preserve">En relación con el escenario que se desea plantear para la atención de costas en materia Agrario, es valioso indicar que, su </w:t>
      </w:r>
      <w:r w:rsidR="00BC4046" w:rsidRPr="00A90544">
        <w:rPr>
          <w:szCs w:val="22"/>
        </w:rPr>
        <w:t>competencia</w:t>
      </w:r>
      <w:r w:rsidRPr="00A90544">
        <w:rPr>
          <w:szCs w:val="22"/>
        </w:rPr>
        <w:t xml:space="preserve"> sea la atención de las costas en dicha materia pero con la observación de que quede abierto en el sentido de realizar esta tarea para otras materias según sea requerido.</w:t>
      </w:r>
    </w:p>
    <w:p w14:paraId="2F8E42B9" w14:textId="7AE40F2B" w:rsidR="005046C5" w:rsidRPr="00033E65" w:rsidRDefault="005046C5" w:rsidP="00177D0A">
      <w:pPr>
        <w:pStyle w:val="Ttulo2"/>
        <w:numPr>
          <w:ilvl w:val="0"/>
          <w:numId w:val="0"/>
        </w:numPr>
        <w:ind w:left="284"/>
      </w:pPr>
      <w:bookmarkStart w:id="150" w:name="_Toc37670466"/>
      <w:bookmarkStart w:id="151" w:name="_Toc132639523"/>
      <w:bookmarkStart w:id="152" w:name="_Toc37670474"/>
      <w:r w:rsidRPr="00033E65">
        <w:t xml:space="preserve">Variaciones en la </w:t>
      </w:r>
      <w:r w:rsidR="008744F8" w:rsidRPr="00033E65">
        <w:t>O</w:t>
      </w:r>
      <w:r w:rsidRPr="00033E65">
        <w:t xml:space="preserve">rganización y </w:t>
      </w:r>
      <w:r w:rsidR="008744F8" w:rsidRPr="00033E65">
        <w:t>F</w:t>
      </w:r>
      <w:r w:rsidRPr="00033E65">
        <w:t>uncionamiento de los Despachos y Oficinas Judiciales</w:t>
      </w:r>
      <w:bookmarkEnd w:id="150"/>
      <w:bookmarkEnd w:id="151"/>
    </w:p>
    <w:p w14:paraId="7FA27657" w14:textId="77777777" w:rsidR="005046C5" w:rsidRPr="00033E65" w:rsidRDefault="005046C5" w:rsidP="005046C5">
      <w:pPr>
        <w:spacing w:line="235" w:lineRule="auto"/>
        <w:ind w:right="261"/>
        <w:rPr>
          <w:szCs w:val="22"/>
        </w:rPr>
      </w:pPr>
      <w:r w:rsidRPr="00033E65">
        <w:rPr>
          <w:szCs w:val="22"/>
        </w:rPr>
        <w:t>Del estudio realizado al Código Procesal Agrario (Ley 9609), se identificaron las siguientes variaciones en lo que respecta a la organización y funcionamiento de los despachos y oficinas judiciales:</w:t>
      </w:r>
    </w:p>
    <w:p w14:paraId="16A2DE38" w14:textId="4DEC7653" w:rsidR="005046C5" w:rsidRPr="00033E65" w:rsidRDefault="00554C4E" w:rsidP="00951D3E">
      <w:pPr>
        <w:pStyle w:val="Ttulo3"/>
      </w:pPr>
      <w:bookmarkStart w:id="153" w:name="_Toc37670467"/>
      <w:bookmarkStart w:id="154" w:name="_Toc132639524"/>
      <w:r>
        <w:t>4.1</w:t>
      </w:r>
      <w:r w:rsidR="000D6CD3" w:rsidRPr="00033E65">
        <w:t xml:space="preserve"> </w:t>
      </w:r>
      <w:r w:rsidR="005046C5" w:rsidRPr="00033E65">
        <w:t>Atribuciones de la Corte Plena sobre la Jurisdicción Agraria</w:t>
      </w:r>
      <w:bookmarkEnd w:id="153"/>
      <w:bookmarkEnd w:id="154"/>
    </w:p>
    <w:p w14:paraId="0133D281" w14:textId="77777777" w:rsidR="005046C5" w:rsidRPr="00033E65" w:rsidRDefault="005046C5" w:rsidP="005046C5">
      <w:pPr>
        <w:rPr>
          <w:szCs w:val="22"/>
        </w:rPr>
      </w:pPr>
      <w:r w:rsidRPr="00033E65">
        <w:rPr>
          <w:szCs w:val="22"/>
        </w:rPr>
        <w:t>Se faculta a la Corte Plena para regular el crecimiento de los Juzgados y del Tribunal Agrario, según los requerimientos de trabajo para ofrecer un servicio público eficiente y de calidad, de acuerdo con el artículo 9:</w:t>
      </w:r>
    </w:p>
    <w:p w14:paraId="3C1F4F44" w14:textId="77777777" w:rsidR="005046C5" w:rsidRPr="00033E65" w:rsidRDefault="005046C5" w:rsidP="005046C5">
      <w:pPr>
        <w:ind w:left="540" w:right="541"/>
        <w:rPr>
          <w:rFonts w:cs="Arial-BoldMT"/>
          <w:b/>
          <w:bCs/>
          <w:i/>
          <w:szCs w:val="22"/>
        </w:rPr>
      </w:pPr>
      <w:r w:rsidRPr="00033E65">
        <w:rPr>
          <w:rFonts w:cs="Arial-BoldMT"/>
          <w:b/>
          <w:bCs/>
          <w:i/>
          <w:szCs w:val="22"/>
        </w:rPr>
        <w:t>“…ARTÍCULO 9.- Órganos jurisdiccionales</w:t>
      </w:r>
    </w:p>
    <w:p w14:paraId="1830CA95" w14:textId="77777777" w:rsidR="005046C5" w:rsidRPr="00033E65" w:rsidRDefault="005046C5" w:rsidP="005046C5">
      <w:pPr>
        <w:ind w:left="567" w:right="541"/>
        <w:rPr>
          <w:rFonts w:cs="ArialMT"/>
          <w:i/>
          <w:szCs w:val="22"/>
        </w:rPr>
      </w:pPr>
      <w:r w:rsidRPr="00033E65">
        <w:rPr>
          <w:rFonts w:cs="ArialMT"/>
          <w:i/>
          <w:szCs w:val="22"/>
        </w:rPr>
        <w:t>Para su organización, funcionamiento y conformación, se aplicará lo dispuesto en este Código y en la Ley N.° 7333, Ley Orgánica del Poder Judicial, de 5 de mayo de 1993, y sus reformas. Con ese fin, el Tribunal Agrario deberá constituirse con las secciones que sean necesarias y tendrá su sede en el Segundo Circuito Judicial de San José, sin perjuicio de que la Corte Plena disponga la creación de otras sedes regionales del Tribunal, conforme a los requerimientos de trabajo para ofrecer un servicio público eficiente y de calidad.</w:t>
      </w:r>
    </w:p>
    <w:p w14:paraId="756AF478" w14:textId="006BA15B" w:rsidR="00D00451" w:rsidRPr="005E63FE" w:rsidRDefault="005046C5" w:rsidP="005E63FE">
      <w:pPr>
        <w:ind w:left="540" w:right="541"/>
        <w:rPr>
          <w:rFonts w:cs="ArialMT"/>
          <w:i/>
          <w:szCs w:val="22"/>
        </w:rPr>
      </w:pPr>
      <w:r w:rsidRPr="00033E65">
        <w:rPr>
          <w:rFonts w:cs="ArialMT"/>
          <w:i/>
          <w:szCs w:val="22"/>
        </w:rPr>
        <w:t>Los juzgados contarán con las personas juzgadoras que sean necesarias. Se faculta a la Corte Plena para que amplíe las sedes de los Juzgados Agrarios conforme a los criterios señalados…”</w:t>
      </w:r>
      <w:r w:rsidR="00D00451" w:rsidRPr="00033E65">
        <w:rPr>
          <w:rFonts w:cs="ArialMT"/>
          <w:i/>
          <w:szCs w:val="22"/>
        </w:rPr>
        <w:t>.</w:t>
      </w:r>
    </w:p>
    <w:p w14:paraId="6751C332" w14:textId="111BDFF2" w:rsidR="005046C5" w:rsidRPr="00033E65" w:rsidRDefault="005046C5" w:rsidP="005046C5">
      <w:pPr>
        <w:ind w:right="-93"/>
        <w:rPr>
          <w:szCs w:val="22"/>
        </w:rPr>
      </w:pPr>
      <w:r w:rsidRPr="00033E65">
        <w:rPr>
          <w:szCs w:val="22"/>
        </w:rPr>
        <w:t>Es dable indicar que las referidas potestades están amparadas en la actual Ley Orgánica del Poder Judicial, por lo que lo consignado en el proyecto del Código Procesal Agrario reafirma lo estipulado en esa normativa.</w:t>
      </w:r>
    </w:p>
    <w:p w14:paraId="46BA53DE" w14:textId="39A85351" w:rsidR="005046C5" w:rsidRPr="00033E65" w:rsidRDefault="00554C4E" w:rsidP="00951D3E">
      <w:pPr>
        <w:pStyle w:val="Ttulo3"/>
      </w:pPr>
      <w:bookmarkStart w:id="155" w:name="_Toc37670468"/>
      <w:bookmarkStart w:id="156" w:name="_Toc132639525"/>
      <w:r>
        <w:t>4.</w:t>
      </w:r>
      <w:r w:rsidR="000D6CD3" w:rsidRPr="00033E65">
        <w:t xml:space="preserve">2 </w:t>
      </w:r>
      <w:r w:rsidR="005046C5" w:rsidRPr="00033E65">
        <w:t>Ampliación de competencias en Recursos de Casación</w:t>
      </w:r>
      <w:bookmarkEnd w:id="155"/>
      <w:bookmarkEnd w:id="156"/>
      <w:r w:rsidR="005046C5" w:rsidRPr="00033E65">
        <w:t xml:space="preserve"> </w:t>
      </w:r>
    </w:p>
    <w:p w14:paraId="75304B67" w14:textId="77777777" w:rsidR="005046C5" w:rsidRPr="00033E65" w:rsidRDefault="005046C5" w:rsidP="005046C5">
      <w:pPr>
        <w:rPr>
          <w:szCs w:val="22"/>
        </w:rPr>
      </w:pPr>
      <w:r w:rsidRPr="00033E65">
        <w:rPr>
          <w:szCs w:val="22"/>
        </w:rPr>
        <w:t xml:space="preserve">El Código Procesal Agrario mantiene la competencia actual de la Sala Primera en la atención de los recursos de casación por razones de fondo, con base en el artículo 210: </w:t>
      </w:r>
    </w:p>
    <w:p w14:paraId="58C9B3DD" w14:textId="77777777" w:rsidR="005046C5" w:rsidRPr="00033E65" w:rsidRDefault="005046C5" w:rsidP="005046C5">
      <w:pPr>
        <w:ind w:left="540" w:right="541"/>
        <w:rPr>
          <w:rFonts w:cs="Arial-BoldMT"/>
          <w:b/>
          <w:bCs/>
          <w:i/>
          <w:szCs w:val="22"/>
        </w:rPr>
      </w:pPr>
      <w:r w:rsidRPr="00033E65">
        <w:rPr>
          <w:rFonts w:cs="Arial-BoldMT"/>
          <w:b/>
          <w:bCs/>
          <w:szCs w:val="22"/>
        </w:rPr>
        <w:t>“</w:t>
      </w:r>
      <w:r w:rsidRPr="00033E65">
        <w:rPr>
          <w:rFonts w:cs="Arial-BoldMT"/>
          <w:b/>
          <w:bCs/>
          <w:i/>
          <w:szCs w:val="22"/>
        </w:rPr>
        <w:t>ARTÍCULO 210.- Casación por razones de fondo</w:t>
      </w:r>
    </w:p>
    <w:p w14:paraId="4D061275" w14:textId="77777777" w:rsidR="005046C5" w:rsidRPr="00033E65" w:rsidRDefault="005046C5" w:rsidP="005046C5">
      <w:pPr>
        <w:ind w:left="540" w:right="541"/>
        <w:rPr>
          <w:rFonts w:cs="ArialMT"/>
          <w:i/>
          <w:szCs w:val="22"/>
        </w:rPr>
      </w:pPr>
      <w:r w:rsidRPr="00033E65">
        <w:rPr>
          <w:rFonts w:cs="ArialMT"/>
          <w:i/>
          <w:szCs w:val="22"/>
        </w:rPr>
        <w:t>Procederá el recurso de casación por razones de fondo, cuando se base en:</w:t>
      </w:r>
    </w:p>
    <w:p w14:paraId="7CFEDEED" w14:textId="77777777" w:rsidR="005046C5" w:rsidRPr="00033E65" w:rsidRDefault="005046C5" w:rsidP="00845510">
      <w:pPr>
        <w:pStyle w:val="Prrafodelista"/>
        <w:numPr>
          <w:ilvl w:val="0"/>
          <w:numId w:val="4"/>
        </w:numPr>
        <w:contextualSpacing w:val="0"/>
        <w:rPr>
          <w:i/>
          <w:szCs w:val="22"/>
        </w:rPr>
      </w:pPr>
      <w:r w:rsidRPr="00033E65">
        <w:rPr>
          <w:i/>
          <w:szCs w:val="22"/>
        </w:rPr>
        <w:t>La violación de los principios y las normas sustantivas aplicables al caso concreto. Esta causal comprende la infracción a las normas sobre la apreciación de la prueba.</w:t>
      </w:r>
    </w:p>
    <w:p w14:paraId="58BB34CA" w14:textId="77777777" w:rsidR="005046C5" w:rsidRPr="00033E65" w:rsidRDefault="005046C5" w:rsidP="00845510">
      <w:pPr>
        <w:pStyle w:val="Prrafodelista"/>
        <w:numPr>
          <w:ilvl w:val="0"/>
          <w:numId w:val="4"/>
        </w:numPr>
        <w:contextualSpacing w:val="0"/>
        <w:rPr>
          <w:i/>
          <w:szCs w:val="22"/>
        </w:rPr>
      </w:pPr>
      <w:r w:rsidRPr="00033E65">
        <w:rPr>
          <w:i/>
          <w:szCs w:val="22"/>
        </w:rPr>
        <w:t>El quebranto de la cosa juzgada material”.</w:t>
      </w:r>
    </w:p>
    <w:p w14:paraId="20E50B9E" w14:textId="77777777" w:rsidR="005046C5" w:rsidRPr="00033E65" w:rsidRDefault="005046C5" w:rsidP="005046C5">
      <w:pPr>
        <w:rPr>
          <w:szCs w:val="22"/>
        </w:rPr>
      </w:pPr>
      <w:r w:rsidRPr="00033E65">
        <w:rPr>
          <w:szCs w:val="22"/>
        </w:rPr>
        <w:lastRenderedPageBreak/>
        <w:t>Sin embargo, esas funciones se amplían al establecer la posibilidad de interponer recursos de casación por razones procesales, es decir por aspectos de forma, para garantizar la tutela judicial efectiva de las personas usuarias, de acuerdo con el artículo 209:</w:t>
      </w:r>
    </w:p>
    <w:p w14:paraId="0DFB64E6" w14:textId="77777777" w:rsidR="005046C5" w:rsidRPr="00033E65" w:rsidRDefault="005046C5" w:rsidP="005046C5">
      <w:pPr>
        <w:ind w:left="540" w:right="541"/>
        <w:rPr>
          <w:rFonts w:cs="Arial-BoldMT"/>
          <w:b/>
          <w:bCs/>
          <w:i/>
          <w:szCs w:val="22"/>
        </w:rPr>
      </w:pPr>
      <w:r w:rsidRPr="00033E65">
        <w:rPr>
          <w:rFonts w:cs="Arial-BoldMT"/>
          <w:b/>
          <w:bCs/>
          <w:i/>
          <w:szCs w:val="22"/>
        </w:rPr>
        <w:t>ARTÍCULO 209.- Casación por razones procesales</w:t>
      </w:r>
    </w:p>
    <w:p w14:paraId="005A7D63" w14:textId="77777777" w:rsidR="005046C5" w:rsidRPr="00033E65" w:rsidRDefault="005046C5" w:rsidP="005046C5">
      <w:pPr>
        <w:ind w:left="540" w:right="541"/>
        <w:rPr>
          <w:rFonts w:cs="Arial-BoldMT"/>
          <w:b/>
          <w:bCs/>
          <w:i/>
          <w:szCs w:val="22"/>
        </w:rPr>
      </w:pPr>
      <w:r w:rsidRPr="00033E65">
        <w:rPr>
          <w:rFonts w:cs="ArialMT"/>
          <w:i/>
          <w:szCs w:val="22"/>
        </w:rPr>
        <w:t>“…El recurso de casación será admisible por motivos de orden procesal, cuando se funde en</w:t>
      </w:r>
      <w:r w:rsidRPr="00033E65">
        <w:rPr>
          <w:rFonts w:cs="Arial-BoldMT"/>
          <w:b/>
          <w:bCs/>
          <w:i/>
          <w:szCs w:val="22"/>
        </w:rPr>
        <w:t>:</w:t>
      </w:r>
    </w:p>
    <w:p w14:paraId="2A88EA6D" w14:textId="77777777" w:rsidR="005046C5" w:rsidRPr="00033E65" w:rsidRDefault="005046C5" w:rsidP="00845510">
      <w:pPr>
        <w:pStyle w:val="Prrafodelista"/>
        <w:numPr>
          <w:ilvl w:val="0"/>
          <w:numId w:val="5"/>
        </w:numPr>
        <w:contextualSpacing w:val="0"/>
        <w:rPr>
          <w:i/>
          <w:szCs w:val="22"/>
        </w:rPr>
      </w:pPr>
      <w:r w:rsidRPr="00033E65">
        <w:rPr>
          <w:i/>
          <w:szCs w:val="22"/>
        </w:rPr>
        <w:t>La infracción o errónea aplicación de las normas procesales esenciales para garantizar el debido proceso, siempre que la actividad defectuosa produzca indefensión y no se haya subsanado conforme a la ley.</w:t>
      </w:r>
    </w:p>
    <w:p w14:paraId="6196188F" w14:textId="77777777" w:rsidR="005046C5" w:rsidRPr="00033E65" w:rsidRDefault="005046C5" w:rsidP="00845510">
      <w:pPr>
        <w:pStyle w:val="Prrafodelista"/>
        <w:numPr>
          <w:ilvl w:val="0"/>
          <w:numId w:val="5"/>
        </w:numPr>
        <w:contextualSpacing w:val="0"/>
        <w:rPr>
          <w:i/>
          <w:szCs w:val="22"/>
        </w:rPr>
      </w:pPr>
      <w:r w:rsidRPr="00033E65">
        <w:rPr>
          <w:rFonts w:cs="Arial-BoldMT"/>
          <w:b/>
          <w:bCs/>
          <w:i/>
          <w:szCs w:val="22"/>
        </w:rPr>
        <w:t>b</w:t>
      </w:r>
      <w:r w:rsidRPr="00033E65">
        <w:rPr>
          <w:i/>
          <w:szCs w:val="22"/>
        </w:rPr>
        <w:t>) La vulneración de la inmediación en la audiencia de juicio o en la deliberación.</w:t>
      </w:r>
    </w:p>
    <w:p w14:paraId="563920AE" w14:textId="77777777" w:rsidR="005046C5" w:rsidRPr="00033E65" w:rsidRDefault="005046C5" w:rsidP="00845510">
      <w:pPr>
        <w:pStyle w:val="Prrafodelista"/>
        <w:numPr>
          <w:ilvl w:val="0"/>
          <w:numId w:val="5"/>
        </w:numPr>
        <w:contextualSpacing w:val="0"/>
        <w:rPr>
          <w:i/>
          <w:szCs w:val="22"/>
        </w:rPr>
      </w:pPr>
      <w:r w:rsidRPr="00033E65">
        <w:rPr>
          <w:i/>
          <w:szCs w:val="22"/>
        </w:rPr>
        <w:t>La falta, insuficiencia o contradicción grave en la fundamentación de la sentencia.</w:t>
      </w:r>
    </w:p>
    <w:p w14:paraId="68A7A147" w14:textId="77777777" w:rsidR="005046C5" w:rsidRPr="00033E65" w:rsidRDefault="005046C5" w:rsidP="00845510">
      <w:pPr>
        <w:pStyle w:val="Prrafodelista"/>
        <w:numPr>
          <w:ilvl w:val="0"/>
          <w:numId w:val="5"/>
        </w:numPr>
        <w:contextualSpacing w:val="0"/>
        <w:rPr>
          <w:i/>
          <w:szCs w:val="22"/>
        </w:rPr>
      </w:pPr>
      <w:r w:rsidRPr="00033E65">
        <w:rPr>
          <w:i/>
          <w:szCs w:val="22"/>
        </w:rPr>
        <w:t>La fundamentación de la sentencia se base en prueba ilegítima o introducida ilegalmente al proceso.</w:t>
      </w:r>
    </w:p>
    <w:p w14:paraId="01E31A7B" w14:textId="77777777" w:rsidR="005046C5" w:rsidRPr="00033E65" w:rsidRDefault="005046C5" w:rsidP="00845510">
      <w:pPr>
        <w:pStyle w:val="Prrafodelista"/>
        <w:numPr>
          <w:ilvl w:val="0"/>
          <w:numId w:val="5"/>
        </w:numPr>
        <w:contextualSpacing w:val="0"/>
        <w:rPr>
          <w:i/>
          <w:szCs w:val="22"/>
        </w:rPr>
      </w:pPr>
      <w:r w:rsidRPr="00033E65">
        <w:rPr>
          <w:i/>
          <w:szCs w:val="22"/>
        </w:rPr>
        <w:t>La incongruencia de la sentencia. No se incurrirá en dicha causal cuando se otorguen derechos de carácter indisponible u otorgados por el legislador, siempre que su existencia se haya debatido y demostrado en el proceso.</w:t>
      </w:r>
    </w:p>
    <w:p w14:paraId="007B9390" w14:textId="77777777" w:rsidR="005046C5" w:rsidRPr="00033E65" w:rsidRDefault="005046C5" w:rsidP="00845510">
      <w:pPr>
        <w:pStyle w:val="Prrafodelista"/>
        <w:numPr>
          <w:ilvl w:val="0"/>
          <w:numId w:val="5"/>
        </w:numPr>
        <w:contextualSpacing w:val="0"/>
        <w:rPr>
          <w:i/>
          <w:szCs w:val="22"/>
        </w:rPr>
      </w:pPr>
      <w:r w:rsidRPr="00033E65">
        <w:rPr>
          <w:i/>
          <w:szCs w:val="22"/>
        </w:rPr>
        <w:t>La inobservancia de las disposiciones previstas en este Código para la deliberación, la integración del tribunal y el plazo de la emisión de la resolución impugnada.</w:t>
      </w:r>
    </w:p>
    <w:p w14:paraId="1FD8BB9B" w14:textId="77777777" w:rsidR="005046C5" w:rsidRPr="00033E65" w:rsidRDefault="005046C5" w:rsidP="005046C5">
      <w:pPr>
        <w:ind w:right="541"/>
        <w:rPr>
          <w:rFonts w:cs="ArialMT"/>
          <w:i/>
          <w:szCs w:val="22"/>
        </w:rPr>
      </w:pPr>
      <w:r w:rsidRPr="00033E65">
        <w:rPr>
          <w:rFonts w:cs="ArialMT"/>
          <w:i/>
          <w:szCs w:val="22"/>
        </w:rPr>
        <w:t>No serán motivos para recurrir, la falta de pronunciamiento sobre las costas o los procesos incidentales sin influencia directa en el fondo del asunto, o cuando no se haya pedido subsanar la omisión por medio de adición.</w:t>
      </w:r>
    </w:p>
    <w:p w14:paraId="58A1EDF0" w14:textId="46BDF489" w:rsidR="005046C5" w:rsidRPr="00033E65" w:rsidRDefault="005046C5" w:rsidP="005046C5">
      <w:pPr>
        <w:rPr>
          <w:rFonts w:cs="ArialMT"/>
          <w:i/>
          <w:szCs w:val="22"/>
        </w:rPr>
      </w:pPr>
      <w:r w:rsidRPr="00033E65">
        <w:rPr>
          <w:rFonts w:cs="ArialMT"/>
          <w:i/>
          <w:szCs w:val="22"/>
        </w:rPr>
        <w:t>La parte a quien haya perjudicado la inobservancia de la ley procesal podrá alegar una causal de casación por razones procesales. Lo anterior si oportunamente se agotaron todos los recursos contra lo resuelto…”</w:t>
      </w:r>
    </w:p>
    <w:p w14:paraId="005B1340" w14:textId="59F87309" w:rsidR="00D909DC" w:rsidRPr="00033E65" w:rsidRDefault="00316791" w:rsidP="008E7683">
      <w:pPr>
        <w:spacing w:after="0"/>
        <w:jc w:val="center"/>
        <w:rPr>
          <w:rFonts w:cs="ArialMT"/>
          <w:b/>
          <w:bCs/>
          <w:iCs/>
          <w:color w:val="244061" w:themeColor="accent1" w:themeShade="80"/>
          <w:szCs w:val="22"/>
        </w:rPr>
      </w:pPr>
      <w:r w:rsidRPr="00033E65">
        <w:rPr>
          <w:rFonts w:cs="ArialMT"/>
          <w:b/>
          <w:bCs/>
          <w:iCs/>
          <w:color w:val="244061" w:themeColor="accent1" w:themeShade="80"/>
          <w:szCs w:val="22"/>
        </w:rPr>
        <w:t>Cuadro 5</w:t>
      </w:r>
    </w:p>
    <w:p w14:paraId="26F17883" w14:textId="18A8F28A" w:rsidR="00316791" w:rsidRPr="00033E65" w:rsidRDefault="00316791" w:rsidP="008E7683">
      <w:pPr>
        <w:spacing w:after="0"/>
        <w:jc w:val="center"/>
        <w:rPr>
          <w:rFonts w:cs="ArialMT"/>
          <w:b/>
          <w:bCs/>
          <w:iCs/>
          <w:color w:val="244061" w:themeColor="accent1" w:themeShade="80"/>
          <w:szCs w:val="22"/>
        </w:rPr>
      </w:pPr>
      <w:r w:rsidRPr="00033E65">
        <w:rPr>
          <w:rFonts w:cs="ArialMT"/>
          <w:b/>
          <w:bCs/>
          <w:iCs/>
          <w:color w:val="244061" w:themeColor="accent1" w:themeShade="80"/>
          <w:szCs w:val="22"/>
        </w:rPr>
        <w:t>Criterio de la Sala Primera sobre efectos del Nuevo Código Procesal Agrario</w:t>
      </w:r>
    </w:p>
    <w:tbl>
      <w:tblPr>
        <w:tblW w:w="10440" w:type="dxa"/>
        <w:jc w:val="center"/>
        <w:tblCellMar>
          <w:left w:w="70" w:type="dxa"/>
          <w:right w:w="70" w:type="dxa"/>
        </w:tblCellMar>
        <w:tblLook w:val="04A0" w:firstRow="1" w:lastRow="0" w:firstColumn="1" w:lastColumn="0" w:noHBand="0" w:noVBand="1"/>
      </w:tblPr>
      <w:tblGrid>
        <w:gridCol w:w="3480"/>
        <w:gridCol w:w="3480"/>
        <w:gridCol w:w="3480"/>
      </w:tblGrid>
      <w:tr w:rsidR="00D909DC" w:rsidRPr="00033E65" w14:paraId="6C88FD5C" w14:textId="77777777" w:rsidTr="00926FC9">
        <w:trPr>
          <w:trHeight w:val="650"/>
          <w:jc w:val="center"/>
        </w:trPr>
        <w:tc>
          <w:tcPr>
            <w:tcW w:w="3480" w:type="dxa"/>
            <w:tcBorders>
              <w:top w:val="single" w:sz="8" w:space="0" w:color="auto"/>
              <w:left w:val="single" w:sz="8" w:space="0" w:color="auto"/>
              <w:bottom w:val="single" w:sz="8" w:space="0" w:color="auto"/>
              <w:right w:val="single" w:sz="12" w:space="0" w:color="D1D1D1"/>
            </w:tcBorders>
            <w:shd w:val="clear" w:color="000000" w:fill="538DD5"/>
            <w:vAlign w:val="center"/>
            <w:hideMark/>
          </w:tcPr>
          <w:p w14:paraId="45ED2258" w14:textId="77777777" w:rsidR="00D909DC" w:rsidRPr="00033E65" w:rsidRDefault="00D909DC" w:rsidP="00D909DC">
            <w:pPr>
              <w:spacing w:before="0" w:after="0"/>
              <w:jc w:val="center"/>
              <w:rPr>
                <w:rFonts w:cs="Arial"/>
                <w:b/>
                <w:bCs/>
                <w:i/>
                <w:iCs/>
                <w:color w:val="FFFFFF"/>
                <w:szCs w:val="22"/>
                <w:lang w:eastAsia="es-CR"/>
              </w:rPr>
            </w:pPr>
            <w:r w:rsidRPr="00033E65">
              <w:rPr>
                <w:rFonts w:cs="Arial"/>
                <w:b/>
                <w:bCs/>
                <w:i/>
                <w:iCs/>
                <w:color w:val="FFFFFF"/>
                <w:szCs w:val="22"/>
                <w:lang w:eastAsia="es-CR"/>
              </w:rPr>
              <w:t>Código Procesal Agrario actual</w:t>
            </w:r>
          </w:p>
        </w:tc>
        <w:tc>
          <w:tcPr>
            <w:tcW w:w="3480" w:type="dxa"/>
            <w:tcBorders>
              <w:top w:val="single" w:sz="8" w:space="0" w:color="auto"/>
              <w:left w:val="nil"/>
              <w:bottom w:val="single" w:sz="8" w:space="0" w:color="auto"/>
              <w:right w:val="single" w:sz="12" w:space="0" w:color="D1D1D1"/>
            </w:tcBorders>
            <w:shd w:val="clear" w:color="000000" w:fill="538DD5"/>
            <w:vAlign w:val="center"/>
            <w:hideMark/>
          </w:tcPr>
          <w:p w14:paraId="354B702C" w14:textId="77777777" w:rsidR="00D909DC" w:rsidRPr="00033E65" w:rsidRDefault="00D909DC" w:rsidP="00D909DC">
            <w:pPr>
              <w:spacing w:before="0" w:after="0"/>
              <w:jc w:val="center"/>
              <w:rPr>
                <w:rFonts w:cs="Arial"/>
                <w:b/>
                <w:bCs/>
                <w:i/>
                <w:iCs/>
                <w:color w:val="FFFFFF"/>
                <w:szCs w:val="22"/>
                <w:lang w:eastAsia="es-CR"/>
              </w:rPr>
            </w:pPr>
            <w:r w:rsidRPr="00033E65">
              <w:rPr>
                <w:rFonts w:cs="Arial"/>
                <w:b/>
                <w:bCs/>
                <w:i/>
                <w:iCs/>
                <w:color w:val="FFFFFF"/>
                <w:szCs w:val="22"/>
                <w:lang w:eastAsia="es-CR"/>
              </w:rPr>
              <w:t>Nuevo Código Procesal Agrario. Ley 9609</w:t>
            </w:r>
          </w:p>
        </w:tc>
        <w:tc>
          <w:tcPr>
            <w:tcW w:w="3480" w:type="dxa"/>
            <w:tcBorders>
              <w:top w:val="single" w:sz="8" w:space="0" w:color="auto"/>
              <w:left w:val="nil"/>
              <w:bottom w:val="single" w:sz="8" w:space="0" w:color="auto"/>
              <w:right w:val="single" w:sz="8" w:space="0" w:color="auto"/>
            </w:tcBorders>
            <w:shd w:val="clear" w:color="000000" w:fill="538DD5"/>
            <w:vAlign w:val="center"/>
            <w:hideMark/>
          </w:tcPr>
          <w:p w14:paraId="2A1B1889" w14:textId="77777777" w:rsidR="00D909DC" w:rsidRPr="00033E65" w:rsidRDefault="00D909DC" w:rsidP="00D909DC">
            <w:pPr>
              <w:spacing w:before="0" w:after="0"/>
              <w:jc w:val="center"/>
              <w:rPr>
                <w:rFonts w:cs="Arial"/>
                <w:b/>
                <w:bCs/>
                <w:i/>
                <w:iCs/>
                <w:color w:val="FFFFFF"/>
                <w:szCs w:val="22"/>
                <w:lang w:eastAsia="es-CR"/>
              </w:rPr>
            </w:pPr>
            <w:r w:rsidRPr="00033E65">
              <w:rPr>
                <w:rFonts w:cs="Arial"/>
                <w:b/>
                <w:bCs/>
                <w:i/>
                <w:iCs/>
                <w:color w:val="FFFFFF"/>
                <w:szCs w:val="22"/>
                <w:lang w:eastAsia="es-CR"/>
              </w:rPr>
              <w:t>Criterio de la Sala Primera</w:t>
            </w:r>
          </w:p>
        </w:tc>
      </w:tr>
      <w:tr w:rsidR="00D909DC" w:rsidRPr="00033E65" w14:paraId="32793AD6" w14:textId="77777777" w:rsidTr="00926FC9">
        <w:trPr>
          <w:trHeight w:val="1560"/>
          <w:jc w:val="center"/>
        </w:trPr>
        <w:tc>
          <w:tcPr>
            <w:tcW w:w="3480" w:type="dxa"/>
            <w:tcBorders>
              <w:top w:val="nil"/>
              <w:left w:val="single" w:sz="8" w:space="0" w:color="auto"/>
              <w:bottom w:val="single" w:sz="8" w:space="0" w:color="auto"/>
              <w:right w:val="nil"/>
            </w:tcBorders>
            <w:shd w:val="clear" w:color="000000" w:fill="FFFFFF"/>
            <w:vAlign w:val="center"/>
            <w:hideMark/>
          </w:tcPr>
          <w:p w14:paraId="5E6C9819"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La casación sólo aplica para ordinarios de mayor cuantía</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0713E3A8"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Abre la casación para revisión de cualquier cuantía</w:t>
            </w:r>
          </w:p>
        </w:tc>
        <w:tc>
          <w:tcPr>
            <w:tcW w:w="3480" w:type="dxa"/>
            <w:tcBorders>
              <w:top w:val="nil"/>
              <w:left w:val="nil"/>
              <w:bottom w:val="single" w:sz="8" w:space="0" w:color="auto"/>
              <w:right w:val="single" w:sz="8" w:space="0" w:color="auto"/>
            </w:tcBorders>
            <w:shd w:val="clear" w:color="000000" w:fill="FFFFFF"/>
            <w:vAlign w:val="center"/>
            <w:hideMark/>
          </w:tcPr>
          <w:p w14:paraId="21115F14" w14:textId="64DDCC34"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El impacto va</w:t>
            </w:r>
            <w:r w:rsidR="00316791" w:rsidRPr="00033E65">
              <w:rPr>
                <w:rFonts w:cs="Arial"/>
                <w:color w:val="000000"/>
                <w:szCs w:val="22"/>
                <w:lang w:eastAsia="es-CR"/>
              </w:rPr>
              <w:t xml:space="preserve"> a</w:t>
            </w:r>
            <w:r w:rsidRPr="00033E65">
              <w:rPr>
                <w:rFonts w:cs="Arial"/>
                <w:color w:val="000000"/>
                <w:szCs w:val="22"/>
                <w:lang w:eastAsia="es-CR"/>
              </w:rPr>
              <w:t xml:space="preserve"> ser leve, dada la naturaleza se mantiene, ya que es extraño que se presenten propiedades menores a ese monto</w:t>
            </w:r>
          </w:p>
        </w:tc>
      </w:tr>
      <w:tr w:rsidR="00D909DC" w:rsidRPr="00033E65" w14:paraId="4364B5C7" w14:textId="77777777" w:rsidTr="00926FC9">
        <w:trPr>
          <w:trHeight w:val="2170"/>
          <w:jc w:val="center"/>
        </w:trPr>
        <w:tc>
          <w:tcPr>
            <w:tcW w:w="3480" w:type="dxa"/>
            <w:tcBorders>
              <w:top w:val="nil"/>
              <w:left w:val="single" w:sz="8" w:space="0" w:color="auto"/>
              <w:bottom w:val="single" w:sz="8" w:space="0" w:color="auto"/>
              <w:right w:val="nil"/>
            </w:tcBorders>
            <w:shd w:val="clear" w:color="000000" w:fill="FFFFFF"/>
            <w:vAlign w:val="center"/>
            <w:hideMark/>
          </w:tcPr>
          <w:p w14:paraId="6FD302E6"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lastRenderedPageBreak/>
              <w:t>No se conoce los procesos de ejecución de sentencia en casación</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0D23259F"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Si van a conocer ejecución de sentencia</w:t>
            </w:r>
          </w:p>
        </w:tc>
        <w:tc>
          <w:tcPr>
            <w:tcW w:w="3480" w:type="dxa"/>
            <w:tcBorders>
              <w:top w:val="nil"/>
              <w:left w:val="nil"/>
              <w:bottom w:val="single" w:sz="8" w:space="0" w:color="auto"/>
              <w:right w:val="single" w:sz="8" w:space="0" w:color="auto"/>
            </w:tcBorders>
            <w:shd w:val="clear" w:color="000000" w:fill="FFFFFF"/>
            <w:vAlign w:val="center"/>
            <w:hideMark/>
          </w:tcPr>
          <w:p w14:paraId="1867062D" w14:textId="2BEFE05A"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Es una cifra muy baja, porque la naturaleza del proceso agrario no es frecuente la aplicación de una sentencia en abstracto, además de que se planteó un proyecto de reforma al Código Procesal para evitar que llegue a la Sala</w:t>
            </w:r>
          </w:p>
        </w:tc>
      </w:tr>
      <w:tr w:rsidR="00D909DC" w:rsidRPr="00033E65" w14:paraId="63BF2E13" w14:textId="77777777" w:rsidTr="00926FC9">
        <w:trPr>
          <w:trHeight w:val="1250"/>
          <w:jc w:val="center"/>
        </w:trPr>
        <w:tc>
          <w:tcPr>
            <w:tcW w:w="3480" w:type="dxa"/>
            <w:tcBorders>
              <w:top w:val="nil"/>
              <w:left w:val="single" w:sz="8" w:space="0" w:color="auto"/>
              <w:bottom w:val="single" w:sz="8" w:space="0" w:color="auto"/>
              <w:right w:val="nil"/>
            </w:tcBorders>
            <w:shd w:val="clear" w:color="000000" w:fill="FFFFFF"/>
            <w:vAlign w:val="center"/>
            <w:hideMark/>
          </w:tcPr>
          <w:p w14:paraId="099E6D6F"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No existe nulidad en las sentencias cuando no se cumple el plazo en el Tribunal Agrario</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1DD90282"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Con la reforma si aplicación la acción de nulidad en el Tribunal Agrario</w:t>
            </w:r>
          </w:p>
        </w:tc>
        <w:tc>
          <w:tcPr>
            <w:tcW w:w="3480" w:type="dxa"/>
            <w:tcBorders>
              <w:top w:val="nil"/>
              <w:left w:val="nil"/>
              <w:bottom w:val="single" w:sz="8" w:space="0" w:color="auto"/>
              <w:right w:val="single" w:sz="8" w:space="0" w:color="auto"/>
            </w:tcBorders>
            <w:shd w:val="clear" w:color="000000" w:fill="FFFFFF"/>
            <w:vAlign w:val="center"/>
            <w:hideMark/>
          </w:tcPr>
          <w:p w14:paraId="2941FE22"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Existe una propuesta para eliminar las acciones de nulidad al igual que en Laboral y Contencioso</w:t>
            </w:r>
          </w:p>
        </w:tc>
      </w:tr>
      <w:tr w:rsidR="00D909DC" w:rsidRPr="00033E65" w14:paraId="36DB52E3" w14:textId="77777777" w:rsidTr="00926FC9">
        <w:trPr>
          <w:trHeight w:val="1560"/>
          <w:jc w:val="center"/>
        </w:trPr>
        <w:tc>
          <w:tcPr>
            <w:tcW w:w="3480" w:type="dxa"/>
            <w:tcBorders>
              <w:top w:val="nil"/>
              <w:left w:val="single" w:sz="8" w:space="0" w:color="auto"/>
              <w:bottom w:val="nil"/>
              <w:right w:val="nil"/>
            </w:tcBorders>
            <w:shd w:val="clear" w:color="000000" w:fill="FFFFFF"/>
            <w:vAlign w:val="center"/>
            <w:hideMark/>
          </w:tcPr>
          <w:p w14:paraId="385772EF"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Se tiene demarcado los procesos de materia civil, cobros y agrarios en los que existe la apelación</w:t>
            </w:r>
          </w:p>
        </w:tc>
        <w:tc>
          <w:tcPr>
            <w:tcW w:w="3480" w:type="dxa"/>
            <w:tcBorders>
              <w:top w:val="nil"/>
              <w:left w:val="single" w:sz="8" w:space="0" w:color="auto"/>
              <w:bottom w:val="nil"/>
              <w:right w:val="single" w:sz="8" w:space="0" w:color="auto"/>
            </w:tcBorders>
            <w:shd w:val="clear" w:color="000000" w:fill="FFFFFF"/>
            <w:vAlign w:val="center"/>
            <w:hideMark/>
          </w:tcPr>
          <w:p w14:paraId="0DE1011C" w14:textId="774EE3BE"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 xml:space="preserve">Se van a generar conflictos de competencia, que los </w:t>
            </w:r>
            <w:r w:rsidR="00230EC8" w:rsidRPr="00033E65">
              <w:rPr>
                <w:rFonts w:cs="Arial"/>
                <w:color w:val="000000"/>
                <w:szCs w:val="22"/>
                <w:lang w:eastAsia="es-CR"/>
              </w:rPr>
              <w:t>va a</w:t>
            </w:r>
            <w:r w:rsidRPr="00033E65">
              <w:rPr>
                <w:rFonts w:cs="Arial"/>
                <w:color w:val="000000"/>
                <w:szCs w:val="22"/>
                <w:lang w:eastAsia="es-CR"/>
              </w:rPr>
              <w:t xml:space="preserve"> conocer directamente la Sala Primera, restando carga de trabajo al Tribunal</w:t>
            </w:r>
          </w:p>
        </w:tc>
        <w:tc>
          <w:tcPr>
            <w:tcW w:w="3480" w:type="dxa"/>
            <w:tcBorders>
              <w:top w:val="nil"/>
              <w:left w:val="nil"/>
              <w:bottom w:val="nil"/>
              <w:right w:val="single" w:sz="8" w:space="0" w:color="auto"/>
            </w:tcBorders>
            <w:shd w:val="clear" w:color="000000" w:fill="FFFFFF"/>
            <w:vAlign w:val="center"/>
            <w:hideMark/>
          </w:tcPr>
          <w:p w14:paraId="0BF45130"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Actualmente es incuantificable en los sistemas, por la carga de datos.</w:t>
            </w:r>
          </w:p>
        </w:tc>
      </w:tr>
      <w:tr w:rsidR="00D909DC" w:rsidRPr="00033E65" w14:paraId="1FC24489" w14:textId="77777777" w:rsidTr="00926FC9">
        <w:trPr>
          <w:trHeight w:val="1870"/>
          <w:jc w:val="center"/>
        </w:trPr>
        <w:tc>
          <w:tcPr>
            <w:tcW w:w="3480" w:type="dxa"/>
            <w:tcBorders>
              <w:top w:val="single" w:sz="8" w:space="0" w:color="auto"/>
              <w:left w:val="single" w:sz="8" w:space="0" w:color="auto"/>
              <w:bottom w:val="single" w:sz="8" w:space="0" w:color="auto"/>
              <w:right w:val="nil"/>
            </w:tcBorders>
            <w:shd w:val="clear" w:color="000000" w:fill="FFFFFF"/>
            <w:vAlign w:val="center"/>
            <w:hideMark/>
          </w:tcPr>
          <w:p w14:paraId="1707AE00"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Inexistencia de un plazo ordenatorio para resolver casos en la Sala Primera</w:t>
            </w:r>
          </w:p>
        </w:tc>
        <w:tc>
          <w:tcPr>
            <w:tcW w:w="34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CAB002E"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Se tendrá un plazo para revisión de casos en materia agraria</w:t>
            </w:r>
          </w:p>
        </w:tc>
        <w:tc>
          <w:tcPr>
            <w:tcW w:w="3480" w:type="dxa"/>
            <w:tcBorders>
              <w:top w:val="single" w:sz="8" w:space="0" w:color="auto"/>
              <w:left w:val="nil"/>
              <w:bottom w:val="single" w:sz="8" w:space="0" w:color="auto"/>
              <w:right w:val="single" w:sz="8" w:space="0" w:color="auto"/>
            </w:tcBorders>
            <w:shd w:val="clear" w:color="000000" w:fill="FFFFFF"/>
            <w:vAlign w:val="center"/>
            <w:hideMark/>
          </w:tcPr>
          <w:p w14:paraId="6732B7CE"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Se tiene la preocupación en el ordenatorio del plazo, entendiéndose que existirá un plazo legal, que no genera nulidad pero si servirá para monitorear a la Sala Primera</w:t>
            </w:r>
          </w:p>
        </w:tc>
      </w:tr>
      <w:tr w:rsidR="00D909DC" w:rsidRPr="00033E65" w14:paraId="082E23B5" w14:textId="77777777" w:rsidTr="00926FC9">
        <w:trPr>
          <w:trHeight w:val="1250"/>
          <w:jc w:val="center"/>
        </w:trPr>
        <w:tc>
          <w:tcPr>
            <w:tcW w:w="3480" w:type="dxa"/>
            <w:tcBorders>
              <w:top w:val="nil"/>
              <w:left w:val="single" w:sz="8" w:space="0" w:color="auto"/>
              <w:bottom w:val="single" w:sz="8" w:space="0" w:color="auto"/>
              <w:right w:val="nil"/>
            </w:tcBorders>
            <w:shd w:val="clear" w:color="000000" w:fill="FFFFFF"/>
            <w:vAlign w:val="center"/>
            <w:hideMark/>
          </w:tcPr>
          <w:p w14:paraId="7ACC086B"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Se tienen requisitos formales para la casación, lo cual implica que pocos procesos lleguen al fondo</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006BEA1C"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Se reduce los requisitos formales para la casación provocando que lleguen más procesos al fondo</w:t>
            </w:r>
          </w:p>
        </w:tc>
        <w:tc>
          <w:tcPr>
            <w:tcW w:w="3480" w:type="dxa"/>
            <w:tcBorders>
              <w:top w:val="nil"/>
              <w:left w:val="nil"/>
              <w:bottom w:val="single" w:sz="8" w:space="0" w:color="auto"/>
              <w:right w:val="single" w:sz="8" w:space="0" w:color="auto"/>
            </w:tcBorders>
            <w:shd w:val="clear" w:color="000000" w:fill="FFFFFF"/>
            <w:vAlign w:val="center"/>
            <w:hideMark/>
          </w:tcPr>
          <w:p w14:paraId="4700E3C0" w14:textId="77777777" w:rsidR="00D909DC" w:rsidRPr="00033E65" w:rsidRDefault="00D909DC" w:rsidP="00D909DC">
            <w:pPr>
              <w:spacing w:before="0" w:after="0"/>
              <w:jc w:val="center"/>
              <w:rPr>
                <w:rFonts w:cs="Arial"/>
                <w:color w:val="000000"/>
                <w:szCs w:val="22"/>
                <w:lang w:eastAsia="es-CR"/>
              </w:rPr>
            </w:pPr>
            <w:r w:rsidRPr="00033E65">
              <w:rPr>
                <w:rFonts w:cs="Arial"/>
                <w:color w:val="000000"/>
                <w:szCs w:val="22"/>
                <w:lang w:eastAsia="es-CR"/>
              </w:rPr>
              <w:t>Crecerá la resolución de asuntos en el fondo</w:t>
            </w:r>
          </w:p>
        </w:tc>
      </w:tr>
    </w:tbl>
    <w:p w14:paraId="49128F8D" w14:textId="2BFC4A36" w:rsidR="008E2D82" w:rsidRPr="00033E65" w:rsidRDefault="008E2D82" w:rsidP="005046C5">
      <w:pPr>
        <w:rPr>
          <w:rFonts w:cs="ArialMT"/>
          <w:szCs w:val="22"/>
        </w:rPr>
      </w:pPr>
      <w:r w:rsidRPr="00033E65">
        <w:rPr>
          <w:rFonts w:cs="ArialMT"/>
          <w:szCs w:val="22"/>
        </w:rPr>
        <w:t>Se solicitó los datos referentes a las duraciones de la Sala Primera, en materia agraria para el 202</w:t>
      </w:r>
      <w:r w:rsidR="00744F96" w:rsidRPr="00033E65">
        <w:rPr>
          <w:rFonts w:cs="ArialMT"/>
          <w:szCs w:val="22"/>
        </w:rPr>
        <w:t>2</w:t>
      </w:r>
      <w:r w:rsidRPr="00033E65">
        <w:rPr>
          <w:rFonts w:cs="ArialMT"/>
          <w:szCs w:val="22"/>
        </w:rPr>
        <w:t>. Se adjunta cuadro de la información:</w:t>
      </w:r>
    </w:p>
    <w:p w14:paraId="08B7D183" w14:textId="77777777" w:rsidR="00282E1C" w:rsidRPr="00033E65" w:rsidRDefault="00282E1C" w:rsidP="005046C5">
      <w:pPr>
        <w:rPr>
          <w:rFonts w:cs="ArialMT"/>
          <w:szCs w:val="22"/>
        </w:rPr>
      </w:pPr>
    </w:p>
    <w:p w14:paraId="3F6B3395" w14:textId="02F7D8C2" w:rsidR="00282E1C" w:rsidRPr="00033E65" w:rsidRDefault="00282E1C" w:rsidP="00EF7F18">
      <w:pPr>
        <w:spacing w:before="0" w:after="0"/>
        <w:jc w:val="center"/>
        <w:rPr>
          <w:rFonts w:cs="ArialMT"/>
          <w:b/>
          <w:bCs/>
          <w:color w:val="244061" w:themeColor="accent1" w:themeShade="80"/>
          <w:szCs w:val="22"/>
        </w:rPr>
      </w:pPr>
      <w:r w:rsidRPr="00033E65">
        <w:rPr>
          <w:rFonts w:cs="ArialMT"/>
          <w:b/>
          <w:bCs/>
          <w:color w:val="244061" w:themeColor="accent1" w:themeShade="80"/>
          <w:szCs w:val="22"/>
        </w:rPr>
        <w:t>Cuadro 6</w:t>
      </w:r>
    </w:p>
    <w:p w14:paraId="18899956" w14:textId="34C73386" w:rsidR="00282E1C" w:rsidRPr="00033E65" w:rsidRDefault="00282E1C" w:rsidP="00EF7F18">
      <w:pPr>
        <w:spacing w:before="0" w:after="0"/>
        <w:jc w:val="center"/>
        <w:rPr>
          <w:rFonts w:cs="ArialMT"/>
          <w:b/>
          <w:bCs/>
          <w:color w:val="244061" w:themeColor="accent1" w:themeShade="80"/>
          <w:szCs w:val="22"/>
        </w:rPr>
      </w:pPr>
      <w:r w:rsidRPr="00033E65">
        <w:rPr>
          <w:rFonts w:cs="ArialMT"/>
          <w:b/>
          <w:bCs/>
          <w:color w:val="244061" w:themeColor="accent1" w:themeShade="80"/>
          <w:szCs w:val="22"/>
        </w:rPr>
        <w:t>Estadística de plazos de espera de la Sala Primera en procesos Agrarios</w:t>
      </w:r>
    </w:p>
    <w:p w14:paraId="59106243" w14:textId="39B48D86" w:rsidR="00282E1C" w:rsidRPr="00033E65" w:rsidRDefault="00282E1C" w:rsidP="00EF7F18">
      <w:pPr>
        <w:spacing w:before="0" w:after="0"/>
        <w:jc w:val="center"/>
        <w:rPr>
          <w:rFonts w:cs="ArialMT"/>
          <w:b/>
          <w:bCs/>
          <w:color w:val="244061" w:themeColor="accent1" w:themeShade="80"/>
          <w:szCs w:val="22"/>
        </w:rPr>
      </w:pPr>
      <w:r w:rsidRPr="00033E65">
        <w:rPr>
          <w:rFonts w:cs="ArialMT"/>
          <w:b/>
          <w:bCs/>
          <w:color w:val="244061" w:themeColor="accent1" w:themeShade="80"/>
          <w:szCs w:val="22"/>
        </w:rPr>
        <w:t>2022</w:t>
      </w:r>
    </w:p>
    <w:tbl>
      <w:tblPr>
        <w:tblW w:w="8120" w:type="dxa"/>
        <w:tblCellMar>
          <w:left w:w="70" w:type="dxa"/>
          <w:right w:w="70" w:type="dxa"/>
        </w:tblCellMar>
        <w:tblLook w:val="04A0" w:firstRow="1" w:lastRow="0" w:firstColumn="1" w:lastColumn="0" w:noHBand="0" w:noVBand="1"/>
      </w:tblPr>
      <w:tblGrid>
        <w:gridCol w:w="3180"/>
        <w:gridCol w:w="2020"/>
        <w:gridCol w:w="2920"/>
      </w:tblGrid>
      <w:tr w:rsidR="00F26ECF" w:rsidRPr="00033E65" w14:paraId="524864E7" w14:textId="77777777" w:rsidTr="00F26ECF">
        <w:trPr>
          <w:trHeight w:val="300"/>
        </w:trPr>
        <w:tc>
          <w:tcPr>
            <w:tcW w:w="81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7368992" w14:textId="77777777" w:rsidR="00F26ECF" w:rsidRPr="00033E65" w:rsidRDefault="00F26ECF" w:rsidP="00F26ECF">
            <w:pPr>
              <w:spacing w:before="0" w:after="0"/>
              <w:jc w:val="left"/>
              <w:rPr>
                <w:rFonts w:cs="Calibri"/>
                <w:b/>
                <w:bCs/>
                <w:i/>
                <w:iCs/>
                <w:color w:val="000000"/>
                <w:szCs w:val="22"/>
                <w:lang w:eastAsia="es-CR"/>
              </w:rPr>
            </w:pPr>
            <w:r w:rsidRPr="00033E65">
              <w:rPr>
                <w:rFonts w:cs="Calibri"/>
                <w:b/>
                <w:bCs/>
                <w:i/>
                <w:iCs/>
                <w:color w:val="000000"/>
                <w:szCs w:val="22"/>
                <w:lang w:eastAsia="es-CR"/>
              </w:rPr>
              <w:t>SALA PRIMERA: DURACIÓN PROMEDIO DE LOS CASOS TERMINADOS</w:t>
            </w:r>
          </w:p>
        </w:tc>
      </w:tr>
      <w:tr w:rsidR="00F26ECF" w:rsidRPr="00033E65" w14:paraId="320428E5" w14:textId="77777777" w:rsidTr="00F26ECF">
        <w:trPr>
          <w:trHeight w:val="300"/>
        </w:trPr>
        <w:tc>
          <w:tcPr>
            <w:tcW w:w="812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E53DAF8" w14:textId="77777777" w:rsidR="00F26ECF" w:rsidRPr="00033E65" w:rsidRDefault="00F26ECF" w:rsidP="00F26ECF">
            <w:pPr>
              <w:spacing w:before="0" w:after="0"/>
              <w:jc w:val="left"/>
              <w:rPr>
                <w:rFonts w:cs="Calibri"/>
                <w:b/>
                <w:bCs/>
                <w:i/>
                <w:iCs/>
                <w:color w:val="000000"/>
                <w:szCs w:val="22"/>
                <w:lang w:eastAsia="es-CR"/>
              </w:rPr>
            </w:pPr>
            <w:r w:rsidRPr="00033E65">
              <w:rPr>
                <w:rFonts w:cs="Calibri"/>
                <w:b/>
                <w:bCs/>
                <w:i/>
                <w:iCs/>
                <w:color w:val="000000"/>
                <w:szCs w:val="22"/>
                <w:lang w:eastAsia="es-CR"/>
              </w:rPr>
              <w:t>SEGÚN: MATERIA AGRARIA</w:t>
            </w:r>
          </w:p>
        </w:tc>
      </w:tr>
      <w:tr w:rsidR="00F26ECF" w:rsidRPr="00033E65" w14:paraId="2B695F8D" w14:textId="77777777" w:rsidTr="00F26ECF">
        <w:trPr>
          <w:trHeight w:val="300"/>
        </w:trPr>
        <w:tc>
          <w:tcPr>
            <w:tcW w:w="812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4A1B9FF" w14:textId="77777777" w:rsidR="00F26ECF" w:rsidRPr="00033E65" w:rsidRDefault="00F26ECF" w:rsidP="00F26ECF">
            <w:pPr>
              <w:spacing w:before="0" w:after="0"/>
              <w:jc w:val="left"/>
              <w:rPr>
                <w:rFonts w:cs="Calibri"/>
                <w:b/>
                <w:bCs/>
                <w:i/>
                <w:iCs/>
                <w:color w:val="000000"/>
                <w:szCs w:val="22"/>
                <w:lang w:eastAsia="es-CR"/>
              </w:rPr>
            </w:pPr>
            <w:r w:rsidRPr="00033E65">
              <w:rPr>
                <w:rFonts w:cs="Calibri"/>
                <w:b/>
                <w:bCs/>
                <w:i/>
                <w:iCs/>
                <w:color w:val="000000"/>
                <w:szCs w:val="22"/>
                <w:lang w:eastAsia="es-CR"/>
              </w:rPr>
              <w:t>POR: DURACIÓN PROMEDIO</w:t>
            </w:r>
          </w:p>
        </w:tc>
      </w:tr>
      <w:tr w:rsidR="00F26ECF" w:rsidRPr="00033E65" w14:paraId="43851D9D" w14:textId="77777777" w:rsidTr="00F26ECF">
        <w:trPr>
          <w:trHeight w:val="300"/>
        </w:trPr>
        <w:tc>
          <w:tcPr>
            <w:tcW w:w="812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4837DFE" w14:textId="77777777" w:rsidR="00F26ECF" w:rsidRPr="00033E65" w:rsidRDefault="00F26ECF" w:rsidP="00F26ECF">
            <w:pPr>
              <w:spacing w:before="0" w:after="0"/>
              <w:jc w:val="left"/>
              <w:rPr>
                <w:rFonts w:cs="Calibri"/>
                <w:b/>
                <w:bCs/>
                <w:i/>
                <w:iCs/>
                <w:color w:val="000000"/>
                <w:szCs w:val="22"/>
                <w:lang w:eastAsia="es-CR"/>
              </w:rPr>
            </w:pPr>
            <w:r w:rsidRPr="00033E65">
              <w:rPr>
                <w:rFonts w:cs="Calibri"/>
                <w:b/>
                <w:bCs/>
                <w:i/>
                <w:iCs/>
                <w:color w:val="000000"/>
                <w:szCs w:val="22"/>
                <w:lang w:eastAsia="es-CR"/>
              </w:rPr>
              <w:t>DURANTE: 2022</w:t>
            </w:r>
          </w:p>
        </w:tc>
      </w:tr>
      <w:tr w:rsidR="00F26ECF" w:rsidRPr="00033E65" w14:paraId="122526EA"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hideMark/>
          </w:tcPr>
          <w:p w14:paraId="64CDED8B" w14:textId="77777777" w:rsidR="00F26ECF" w:rsidRPr="00033E65" w:rsidRDefault="00F26ECF" w:rsidP="00F26ECF">
            <w:pPr>
              <w:spacing w:before="0" w:after="0"/>
              <w:jc w:val="left"/>
              <w:rPr>
                <w:color w:val="000000"/>
                <w:sz w:val="20"/>
                <w:lang w:eastAsia="es-CR"/>
              </w:rPr>
            </w:pPr>
            <w:r w:rsidRPr="00033E65">
              <w:rPr>
                <w:color w:val="000000"/>
                <w:sz w:val="20"/>
                <w:lang w:eastAsia="es-CR"/>
              </w:rPr>
              <w:t> </w:t>
            </w:r>
          </w:p>
        </w:tc>
        <w:tc>
          <w:tcPr>
            <w:tcW w:w="2020" w:type="dxa"/>
            <w:tcBorders>
              <w:top w:val="nil"/>
              <w:left w:val="nil"/>
              <w:bottom w:val="single" w:sz="8" w:space="0" w:color="auto"/>
              <w:right w:val="single" w:sz="8" w:space="0" w:color="auto"/>
            </w:tcBorders>
            <w:shd w:val="clear" w:color="auto" w:fill="auto"/>
            <w:noWrap/>
            <w:hideMark/>
          </w:tcPr>
          <w:p w14:paraId="4B1EE1B6" w14:textId="77777777" w:rsidR="00F26ECF" w:rsidRPr="00033E65" w:rsidRDefault="00F26ECF" w:rsidP="00F26ECF">
            <w:pPr>
              <w:spacing w:before="0" w:after="0"/>
              <w:jc w:val="center"/>
              <w:rPr>
                <w:color w:val="000000"/>
                <w:sz w:val="20"/>
                <w:lang w:eastAsia="es-CR"/>
              </w:rPr>
            </w:pPr>
            <w:r w:rsidRPr="00033E65">
              <w:rPr>
                <w:color w:val="000000"/>
                <w:sz w:val="20"/>
                <w:lang w:eastAsia="es-CR"/>
              </w:rPr>
              <w:t> </w:t>
            </w:r>
          </w:p>
        </w:tc>
        <w:tc>
          <w:tcPr>
            <w:tcW w:w="2920" w:type="dxa"/>
            <w:tcBorders>
              <w:top w:val="nil"/>
              <w:left w:val="nil"/>
              <w:bottom w:val="single" w:sz="8" w:space="0" w:color="auto"/>
              <w:right w:val="single" w:sz="8" w:space="0" w:color="auto"/>
            </w:tcBorders>
            <w:shd w:val="clear" w:color="auto" w:fill="auto"/>
            <w:noWrap/>
            <w:hideMark/>
          </w:tcPr>
          <w:p w14:paraId="7AC5D263" w14:textId="77777777" w:rsidR="00F26ECF" w:rsidRPr="00033E65" w:rsidRDefault="00F26ECF" w:rsidP="00F26ECF">
            <w:pPr>
              <w:spacing w:before="0" w:after="0"/>
              <w:jc w:val="left"/>
              <w:rPr>
                <w:color w:val="000000"/>
                <w:sz w:val="20"/>
                <w:lang w:eastAsia="es-CR"/>
              </w:rPr>
            </w:pPr>
            <w:r w:rsidRPr="00033E65">
              <w:rPr>
                <w:color w:val="000000"/>
                <w:sz w:val="20"/>
                <w:lang w:eastAsia="es-CR"/>
              </w:rPr>
              <w:t> </w:t>
            </w:r>
          </w:p>
        </w:tc>
      </w:tr>
      <w:tr w:rsidR="00F26ECF" w:rsidRPr="00033E65" w14:paraId="5B4CE637" w14:textId="77777777" w:rsidTr="00F26ECF">
        <w:trPr>
          <w:trHeight w:val="300"/>
        </w:trPr>
        <w:tc>
          <w:tcPr>
            <w:tcW w:w="3180" w:type="dxa"/>
            <w:vMerge w:val="restart"/>
            <w:tcBorders>
              <w:top w:val="nil"/>
              <w:left w:val="single" w:sz="8" w:space="0" w:color="auto"/>
              <w:bottom w:val="single" w:sz="8" w:space="0" w:color="000000"/>
              <w:right w:val="single" w:sz="8" w:space="0" w:color="auto"/>
            </w:tcBorders>
            <w:shd w:val="clear" w:color="auto" w:fill="auto"/>
            <w:vAlign w:val="center"/>
            <w:hideMark/>
          </w:tcPr>
          <w:p w14:paraId="365297BB" w14:textId="77777777" w:rsidR="00F26ECF" w:rsidRPr="00033E65" w:rsidRDefault="00F26ECF" w:rsidP="00F26ECF">
            <w:pPr>
              <w:spacing w:before="0" w:after="0"/>
              <w:jc w:val="left"/>
              <w:rPr>
                <w:rFonts w:cs="Calibri"/>
                <w:b/>
                <w:bCs/>
                <w:i/>
                <w:iCs/>
                <w:color w:val="000000"/>
                <w:szCs w:val="22"/>
                <w:lang w:eastAsia="es-CR"/>
              </w:rPr>
            </w:pPr>
            <w:r w:rsidRPr="00033E65">
              <w:rPr>
                <w:rFonts w:cs="Calibri"/>
                <w:b/>
                <w:bCs/>
                <w:i/>
                <w:iCs/>
                <w:color w:val="000000"/>
                <w:szCs w:val="22"/>
                <w:lang w:eastAsia="es-CR"/>
              </w:rPr>
              <w:t>MATERIA</w:t>
            </w:r>
          </w:p>
        </w:tc>
        <w:tc>
          <w:tcPr>
            <w:tcW w:w="2020" w:type="dxa"/>
            <w:vMerge w:val="restart"/>
            <w:tcBorders>
              <w:top w:val="nil"/>
              <w:left w:val="single" w:sz="8" w:space="0" w:color="auto"/>
              <w:bottom w:val="single" w:sz="8" w:space="0" w:color="000000"/>
              <w:right w:val="single" w:sz="8" w:space="0" w:color="auto"/>
            </w:tcBorders>
            <w:shd w:val="clear" w:color="auto" w:fill="auto"/>
            <w:vAlign w:val="center"/>
            <w:hideMark/>
          </w:tcPr>
          <w:p w14:paraId="1993A7AB" w14:textId="77777777" w:rsidR="00F26ECF" w:rsidRPr="00033E65" w:rsidRDefault="00F26ECF" w:rsidP="00F26ECF">
            <w:pPr>
              <w:spacing w:before="0" w:after="0"/>
              <w:jc w:val="center"/>
              <w:rPr>
                <w:rFonts w:cs="Calibri"/>
                <w:b/>
                <w:bCs/>
                <w:i/>
                <w:iCs/>
                <w:color w:val="000000"/>
                <w:szCs w:val="22"/>
                <w:lang w:eastAsia="es-CR"/>
              </w:rPr>
            </w:pPr>
            <w:r w:rsidRPr="00033E65">
              <w:rPr>
                <w:rFonts w:cs="Calibri"/>
                <w:b/>
                <w:bCs/>
                <w:i/>
                <w:iCs/>
                <w:color w:val="000000"/>
                <w:szCs w:val="22"/>
                <w:lang w:eastAsia="es-CR"/>
              </w:rPr>
              <w:t>TOTAL</w:t>
            </w:r>
          </w:p>
        </w:tc>
        <w:tc>
          <w:tcPr>
            <w:tcW w:w="2920" w:type="dxa"/>
            <w:tcBorders>
              <w:top w:val="nil"/>
              <w:left w:val="nil"/>
              <w:bottom w:val="single" w:sz="8" w:space="0" w:color="auto"/>
              <w:right w:val="single" w:sz="8" w:space="0" w:color="auto"/>
            </w:tcBorders>
            <w:shd w:val="clear" w:color="auto" w:fill="auto"/>
            <w:vAlign w:val="center"/>
            <w:hideMark/>
          </w:tcPr>
          <w:p w14:paraId="50941094" w14:textId="77777777" w:rsidR="00F26ECF" w:rsidRPr="00033E65" w:rsidRDefault="00F26ECF" w:rsidP="00F26ECF">
            <w:pPr>
              <w:spacing w:before="0" w:after="0"/>
              <w:jc w:val="left"/>
              <w:rPr>
                <w:rFonts w:cs="Calibri"/>
                <w:b/>
                <w:bCs/>
                <w:i/>
                <w:iCs/>
                <w:color w:val="000000"/>
                <w:szCs w:val="22"/>
                <w:lang w:eastAsia="es-CR"/>
              </w:rPr>
            </w:pPr>
            <w:r w:rsidRPr="00033E65">
              <w:rPr>
                <w:rFonts w:cs="Calibri"/>
                <w:b/>
                <w:bCs/>
                <w:i/>
                <w:iCs/>
                <w:color w:val="000000"/>
                <w:szCs w:val="22"/>
                <w:lang w:eastAsia="es-CR"/>
              </w:rPr>
              <w:t>DURACIÓN PROMEDIO</w:t>
            </w:r>
          </w:p>
        </w:tc>
      </w:tr>
      <w:tr w:rsidR="00F26ECF" w:rsidRPr="00033E65" w14:paraId="6A33BE31" w14:textId="77777777" w:rsidTr="00F26ECF">
        <w:trPr>
          <w:trHeight w:val="340"/>
        </w:trPr>
        <w:tc>
          <w:tcPr>
            <w:tcW w:w="3180" w:type="dxa"/>
            <w:vMerge/>
            <w:tcBorders>
              <w:top w:val="nil"/>
              <w:left w:val="single" w:sz="8" w:space="0" w:color="auto"/>
              <w:bottom w:val="single" w:sz="8" w:space="0" w:color="000000"/>
              <w:right w:val="single" w:sz="8" w:space="0" w:color="auto"/>
            </w:tcBorders>
            <w:vAlign w:val="center"/>
            <w:hideMark/>
          </w:tcPr>
          <w:p w14:paraId="3028ADC3" w14:textId="77777777" w:rsidR="00F26ECF" w:rsidRPr="00033E65" w:rsidRDefault="00F26ECF" w:rsidP="00F26ECF">
            <w:pPr>
              <w:spacing w:before="0" w:after="0"/>
              <w:jc w:val="left"/>
              <w:rPr>
                <w:rFonts w:cs="Calibri"/>
                <w:b/>
                <w:bCs/>
                <w:i/>
                <w:iCs/>
                <w:color w:val="000000"/>
                <w:szCs w:val="22"/>
                <w:lang w:eastAsia="es-CR"/>
              </w:rPr>
            </w:pPr>
          </w:p>
        </w:tc>
        <w:tc>
          <w:tcPr>
            <w:tcW w:w="2020" w:type="dxa"/>
            <w:vMerge/>
            <w:tcBorders>
              <w:top w:val="nil"/>
              <w:left w:val="single" w:sz="8" w:space="0" w:color="auto"/>
              <w:bottom w:val="single" w:sz="8" w:space="0" w:color="000000"/>
              <w:right w:val="single" w:sz="8" w:space="0" w:color="auto"/>
            </w:tcBorders>
            <w:vAlign w:val="center"/>
            <w:hideMark/>
          </w:tcPr>
          <w:p w14:paraId="239EED41" w14:textId="77777777" w:rsidR="00F26ECF" w:rsidRPr="00033E65" w:rsidRDefault="00F26ECF" w:rsidP="00F26ECF">
            <w:pPr>
              <w:spacing w:before="0" w:after="0"/>
              <w:jc w:val="left"/>
              <w:rPr>
                <w:rFonts w:cs="Calibri"/>
                <w:b/>
                <w:bCs/>
                <w:i/>
                <w:iCs/>
                <w:color w:val="000000"/>
                <w:szCs w:val="22"/>
                <w:lang w:eastAsia="es-CR"/>
              </w:rPr>
            </w:pPr>
          </w:p>
        </w:tc>
        <w:tc>
          <w:tcPr>
            <w:tcW w:w="2920" w:type="dxa"/>
            <w:tcBorders>
              <w:top w:val="nil"/>
              <w:left w:val="nil"/>
              <w:bottom w:val="single" w:sz="8" w:space="0" w:color="auto"/>
              <w:right w:val="single" w:sz="8" w:space="0" w:color="auto"/>
            </w:tcBorders>
            <w:shd w:val="clear" w:color="auto" w:fill="auto"/>
            <w:noWrap/>
            <w:vAlign w:val="center"/>
            <w:hideMark/>
          </w:tcPr>
          <w:p w14:paraId="2300A12B" w14:textId="77777777" w:rsidR="00F26ECF" w:rsidRPr="00033E65" w:rsidRDefault="00F26ECF" w:rsidP="00F26ECF">
            <w:pPr>
              <w:spacing w:before="0" w:after="0"/>
              <w:jc w:val="left"/>
              <w:rPr>
                <w:rFonts w:cs="Calibri"/>
                <w:b/>
                <w:bCs/>
                <w:i/>
                <w:iCs/>
                <w:color w:val="000000"/>
                <w:szCs w:val="22"/>
                <w:lang w:eastAsia="es-CR"/>
              </w:rPr>
            </w:pPr>
            <w:r w:rsidRPr="00033E65">
              <w:rPr>
                <w:rFonts w:cs="Calibri"/>
                <w:b/>
                <w:bCs/>
                <w:i/>
                <w:iCs/>
                <w:color w:val="000000"/>
                <w:szCs w:val="22"/>
                <w:lang w:eastAsia="es-CR"/>
              </w:rPr>
              <w:t>Total</w:t>
            </w:r>
            <w:r w:rsidRPr="00033E65">
              <w:rPr>
                <w:rFonts w:cs="Calibri"/>
                <w:b/>
                <w:bCs/>
                <w:i/>
                <w:iCs/>
                <w:color w:val="000000"/>
                <w:szCs w:val="22"/>
                <w:vertAlign w:val="superscript"/>
                <w:lang w:eastAsia="es-CR"/>
              </w:rPr>
              <w:t xml:space="preserve"> (1)</w:t>
            </w:r>
          </w:p>
        </w:tc>
      </w:tr>
      <w:tr w:rsidR="00F26ECF" w:rsidRPr="00033E65" w14:paraId="77EF2F7A"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5E145A41"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 </w:t>
            </w:r>
          </w:p>
        </w:tc>
        <w:tc>
          <w:tcPr>
            <w:tcW w:w="2020" w:type="dxa"/>
            <w:tcBorders>
              <w:top w:val="nil"/>
              <w:left w:val="nil"/>
              <w:bottom w:val="single" w:sz="8" w:space="0" w:color="auto"/>
              <w:right w:val="single" w:sz="8" w:space="0" w:color="auto"/>
            </w:tcBorders>
            <w:shd w:val="clear" w:color="auto" w:fill="auto"/>
            <w:noWrap/>
            <w:vAlign w:val="center"/>
            <w:hideMark/>
          </w:tcPr>
          <w:p w14:paraId="4DD76480" w14:textId="77777777" w:rsidR="00F26ECF" w:rsidRPr="00033E65" w:rsidRDefault="00F26ECF" w:rsidP="00F26ECF">
            <w:pPr>
              <w:spacing w:before="0" w:after="0"/>
              <w:jc w:val="center"/>
              <w:rPr>
                <w:rFonts w:cs="Calibri"/>
                <w:b/>
                <w:bCs/>
                <w:i/>
                <w:iCs/>
                <w:color w:val="000000"/>
                <w:szCs w:val="22"/>
                <w:lang w:eastAsia="es-CR"/>
              </w:rPr>
            </w:pPr>
            <w:r w:rsidRPr="00033E65">
              <w:rPr>
                <w:rFonts w:cs="Calibri"/>
                <w:b/>
                <w:bCs/>
                <w:i/>
                <w:iCs/>
                <w:color w:val="000000"/>
                <w:szCs w:val="22"/>
                <w:lang w:eastAsia="es-CR"/>
              </w:rPr>
              <w:t> </w:t>
            </w:r>
          </w:p>
        </w:tc>
        <w:tc>
          <w:tcPr>
            <w:tcW w:w="2920" w:type="dxa"/>
            <w:tcBorders>
              <w:top w:val="nil"/>
              <w:left w:val="nil"/>
              <w:bottom w:val="single" w:sz="8" w:space="0" w:color="auto"/>
              <w:right w:val="single" w:sz="8" w:space="0" w:color="auto"/>
            </w:tcBorders>
            <w:shd w:val="clear" w:color="auto" w:fill="auto"/>
            <w:noWrap/>
            <w:vAlign w:val="center"/>
            <w:hideMark/>
          </w:tcPr>
          <w:p w14:paraId="5B376A20"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 </w:t>
            </w:r>
          </w:p>
        </w:tc>
      </w:tr>
      <w:tr w:rsidR="00F26ECF" w:rsidRPr="00033E65" w14:paraId="4954D639"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2DFD6411" w14:textId="77777777" w:rsidR="00F26ECF" w:rsidRPr="00033E65" w:rsidRDefault="00F26ECF" w:rsidP="00F26ECF">
            <w:pPr>
              <w:spacing w:before="0" w:after="0"/>
              <w:jc w:val="left"/>
              <w:rPr>
                <w:rFonts w:cs="Calibri"/>
                <w:b/>
                <w:bCs/>
                <w:i/>
                <w:iCs/>
                <w:color w:val="000000"/>
                <w:szCs w:val="22"/>
                <w:lang w:eastAsia="es-CR"/>
              </w:rPr>
            </w:pPr>
            <w:r w:rsidRPr="00033E65">
              <w:rPr>
                <w:rFonts w:cs="Calibri"/>
                <w:b/>
                <w:bCs/>
                <w:i/>
                <w:iCs/>
                <w:color w:val="000000"/>
                <w:szCs w:val="22"/>
                <w:lang w:eastAsia="es-CR"/>
              </w:rPr>
              <w:t>Total</w:t>
            </w:r>
          </w:p>
        </w:tc>
        <w:tc>
          <w:tcPr>
            <w:tcW w:w="2020" w:type="dxa"/>
            <w:tcBorders>
              <w:top w:val="nil"/>
              <w:left w:val="nil"/>
              <w:bottom w:val="single" w:sz="8" w:space="0" w:color="auto"/>
              <w:right w:val="single" w:sz="8" w:space="0" w:color="auto"/>
            </w:tcBorders>
            <w:shd w:val="clear" w:color="auto" w:fill="auto"/>
            <w:noWrap/>
            <w:vAlign w:val="center"/>
            <w:hideMark/>
          </w:tcPr>
          <w:p w14:paraId="6CF4A6AE" w14:textId="77777777" w:rsidR="00F26ECF" w:rsidRPr="00033E65" w:rsidRDefault="00F26ECF" w:rsidP="00F26ECF">
            <w:pPr>
              <w:spacing w:before="0" w:after="0"/>
              <w:jc w:val="center"/>
              <w:rPr>
                <w:rFonts w:cs="Calibri"/>
                <w:b/>
                <w:bCs/>
                <w:i/>
                <w:iCs/>
                <w:color w:val="000000"/>
                <w:szCs w:val="22"/>
                <w:lang w:eastAsia="es-CR"/>
              </w:rPr>
            </w:pPr>
            <w:r w:rsidRPr="00033E65">
              <w:rPr>
                <w:rFonts w:cs="Calibri"/>
                <w:b/>
                <w:bCs/>
                <w:i/>
                <w:iCs/>
                <w:color w:val="000000"/>
                <w:szCs w:val="22"/>
                <w:lang w:eastAsia="es-CR"/>
              </w:rPr>
              <w:t>121</w:t>
            </w:r>
          </w:p>
        </w:tc>
        <w:tc>
          <w:tcPr>
            <w:tcW w:w="2920" w:type="dxa"/>
            <w:tcBorders>
              <w:top w:val="nil"/>
              <w:left w:val="nil"/>
              <w:bottom w:val="single" w:sz="8" w:space="0" w:color="auto"/>
              <w:right w:val="single" w:sz="8" w:space="0" w:color="auto"/>
            </w:tcBorders>
            <w:shd w:val="clear" w:color="auto" w:fill="auto"/>
            <w:noWrap/>
            <w:vAlign w:val="center"/>
            <w:hideMark/>
          </w:tcPr>
          <w:p w14:paraId="00AB5E7F" w14:textId="77777777" w:rsidR="00F26ECF" w:rsidRPr="00033E65" w:rsidRDefault="00F26ECF" w:rsidP="00F26ECF">
            <w:pPr>
              <w:spacing w:before="0" w:after="0"/>
              <w:jc w:val="left"/>
              <w:rPr>
                <w:rFonts w:cs="Calibri"/>
                <w:b/>
                <w:bCs/>
                <w:i/>
                <w:iCs/>
                <w:color w:val="000000"/>
                <w:szCs w:val="22"/>
                <w:lang w:eastAsia="es-CR"/>
              </w:rPr>
            </w:pPr>
            <w:r w:rsidRPr="00033E65">
              <w:rPr>
                <w:rFonts w:cs="Calibri"/>
                <w:b/>
                <w:bCs/>
                <w:i/>
                <w:iCs/>
                <w:color w:val="000000"/>
                <w:szCs w:val="22"/>
                <w:lang w:eastAsia="es-CR"/>
              </w:rPr>
              <w:t>19 Meses 2 Semanas</w:t>
            </w:r>
          </w:p>
        </w:tc>
      </w:tr>
      <w:tr w:rsidR="00F26ECF" w:rsidRPr="00033E65" w14:paraId="581C1422"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hideMark/>
          </w:tcPr>
          <w:p w14:paraId="56AB295D" w14:textId="77777777" w:rsidR="00F26ECF" w:rsidRPr="00033E65" w:rsidRDefault="00F26ECF" w:rsidP="00F26ECF">
            <w:pPr>
              <w:spacing w:before="0" w:after="0"/>
              <w:jc w:val="left"/>
              <w:rPr>
                <w:color w:val="000000"/>
                <w:sz w:val="20"/>
                <w:lang w:eastAsia="es-CR"/>
              </w:rPr>
            </w:pPr>
            <w:r w:rsidRPr="00033E65">
              <w:rPr>
                <w:color w:val="000000"/>
                <w:sz w:val="20"/>
                <w:lang w:eastAsia="es-CR"/>
              </w:rPr>
              <w:t> </w:t>
            </w:r>
          </w:p>
        </w:tc>
        <w:tc>
          <w:tcPr>
            <w:tcW w:w="2020" w:type="dxa"/>
            <w:tcBorders>
              <w:top w:val="nil"/>
              <w:left w:val="nil"/>
              <w:bottom w:val="single" w:sz="8" w:space="0" w:color="auto"/>
              <w:right w:val="single" w:sz="8" w:space="0" w:color="auto"/>
            </w:tcBorders>
            <w:shd w:val="clear" w:color="auto" w:fill="auto"/>
            <w:noWrap/>
            <w:vAlign w:val="center"/>
            <w:hideMark/>
          </w:tcPr>
          <w:p w14:paraId="7F5EC639" w14:textId="77777777" w:rsidR="00F26ECF" w:rsidRPr="00033E65" w:rsidRDefault="00F26ECF" w:rsidP="00F26ECF">
            <w:pPr>
              <w:spacing w:before="0" w:after="0"/>
              <w:jc w:val="center"/>
              <w:rPr>
                <w:rFonts w:cs="Calibri"/>
                <w:i/>
                <w:iCs/>
                <w:color w:val="000000"/>
                <w:szCs w:val="22"/>
                <w:lang w:eastAsia="es-CR"/>
              </w:rPr>
            </w:pPr>
            <w:r w:rsidRPr="00033E65">
              <w:rPr>
                <w:rFonts w:cs="Calibri"/>
                <w:i/>
                <w:iCs/>
                <w:color w:val="000000"/>
                <w:szCs w:val="22"/>
                <w:lang w:eastAsia="es-CR"/>
              </w:rPr>
              <w:t> </w:t>
            </w:r>
          </w:p>
        </w:tc>
        <w:tc>
          <w:tcPr>
            <w:tcW w:w="2920" w:type="dxa"/>
            <w:tcBorders>
              <w:top w:val="nil"/>
              <w:left w:val="nil"/>
              <w:bottom w:val="single" w:sz="8" w:space="0" w:color="auto"/>
              <w:right w:val="single" w:sz="8" w:space="0" w:color="auto"/>
            </w:tcBorders>
            <w:shd w:val="clear" w:color="auto" w:fill="auto"/>
            <w:noWrap/>
            <w:hideMark/>
          </w:tcPr>
          <w:p w14:paraId="71E7790E" w14:textId="77777777" w:rsidR="00F26ECF" w:rsidRPr="00033E65" w:rsidRDefault="00F26ECF" w:rsidP="00F26ECF">
            <w:pPr>
              <w:spacing w:before="0" w:after="0"/>
              <w:jc w:val="left"/>
              <w:rPr>
                <w:color w:val="000000"/>
                <w:sz w:val="20"/>
                <w:lang w:eastAsia="es-CR"/>
              </w:rPr>
            </w:pPr>
            <w:r w:rsidRPr="00033E65">
              <w:rPr>
                <w:color w:val="000000"/>
                <w:sz w:val="20"/>
                <w:lang w:eastAsia="es-CR"/>
              </w:rPr>
              <w:t> </w:t>
            </w:r>
          </w:p>
        </w:tc>
      </w:tr>
      <w:tr w:rsidR="00F26ECF" w:rsidRPr="00033E65" w14:paraId="3F89AE2C"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483D348B" w14:textId="77777777" w:rsidR="00F26ECF" w:rsidRPr="00033E65" w:rsidRDefault="00F26ECF" w:rsidP="00F26ECF">
            <w:pPr>
              <w:spacing w:before="0" w:after="0"/>
              <w:jc w:val="left"/>
              <w:rPr>
                <w:rFonts w:cs="Calibri"/>
                <w:b/>
                <w:bCs/>
                <w:i/>
                <w:iCs/>
                <w:color w:val="000000"/>
                <w:szCs w:val="22"/>
                <w:lang w:eastAsia="es-CR"/>
              </w:rPr>
            </w:pPr>
            <w:r w:rsidRPr="00033E65">
              <w:rPr>
                <w:rFonts w:cs="Calibri"/>
                <w:b/>
                <w:bCs/>
                <w:i/>
                <w:iCs/>
                <w:color w:val="000000"/>
                <w:szCs w:val="22"/>
                <w:lang w:eastAsia="es-CR"/>
              </w:rPr>
              <w:t>De Fondo</w:t>
            </w:r>
          </w:p>
        </w:tc>
        <w:tc>
          <w:tcPr>
            <w:tcW w:w="2020" w:type="dxa"/>
            <w:tcBorders>
              <w:top w:val="nil"/>
              <w:left w:val="nil"/>
              <w:bottom w:val="single" w:sz="8" w:space="0" w:color="auto"/>
              <w:right w:val="single" w:sz="8" w:space="0" w:color="auto"/>
            </w:tcBorders>
            <w:shd w:val="clear" w:color="auto" w:fill="auto"/>
            <w:noWrap/>
            <w:vAlign w:val="center"/>
            <w:hideMark/>
          </w:tcPr>
          <w:p w14:paraId="6F158A51" w14:textId="77777777" w:rsidR="00F26ECF" w:rsidRPr="00033E65" w:rsidRDefault="00F26ECF" w:rsidP="00F26ECF">
            <w:pPr>
              <w:spacing w:before="0" w:after="0"/>
              <w:jc w:val="center"/>
              <w:rPr>
                <w:rFonts w:cs="Calibri"/>
                <w:b/>
                <w:bCs/>
                <w:i/>
                <w:iCs/>
                <w:color w:val="000000"/>
                <w:szCs w:val="22"/>
                <w:lang w:eastAsia="es-CR"/>
              </w:rPr>
            </w:pPr>
            <w:r w:rsidRPr="00033E65">
              <w:rPr>
                <w:rFonts w:cs="Calibri"/>
                <w:b/>
                <w:bCs/>
                <w:i/>
                <w:iCs/>
                <w:color w:val="000000"/>
                <w:szCs w:val="22"/>
                <w:lang w:eastAsia="es-CR"/>
              </w:rPr>
              <w:t>27</w:t>
            </w:r>
          </w:p>
        </w:tc>
        <w:tc>
          <w:tcPr>
            <w:tcW w:w="2920" w:type="dxa"/>
            <w:tcBorders>
              <w:top w:val="nil"/>
              <w:left w:val="nil"/>
              <w:bottom w:val="single" w:sz="8" w:space="0" w:color="auto"/>
              <w:right w:val="single" w:sz="8" w:space="0" w:color="auto"/>
            </w:tcBorders>
            <w:shd w:val="clear" w:color="auto" w:fill="auto"/>
            <w:noWrap/>
            <w:vAlign w:val="center"/>
            <w:hideMark/>
          </w:tcPr>
          <w:p w14:paraId="28682CC1" w14:textId="77777777" w:rsidR="00F26ECF" w:rsidRPr="00033E65" w:rsidRDefault="00F26ECF" w:rsidP="00F26ECF">
            <w:pPr>
              <w:spacing w:before="0" w:after="0"/>
              <w:jc w:val="left"/>
              <w:rPr>
                <w:rFonts w:cs="Calibri"/>
                <w:b/>
                <w:bCs/>
                <w:i/>
                <w:iCs/>
                <w:color w:val="000000"/>
                <w:szCs w:val="22"/>
                <w:lang w:eastAsia="es-CR"/>
              </w:rPr>
            </w:pPr>
            <w:r w:rsidRPr="00033E65">
              <w:rPr>
                <w:rFonts w:cs="Calibri"/>
                <w:b/>
                <w:bCs/>
                <w:i/>
                <w:iCs/>
                <w:color w:val="000000"/>
                <w:szCs w:val="22"/>
                <w:lang w:eastAsia="es-CR"/>
              </w:rPr>
              <w:t>34 Meses 1 Semana</w:t>
            </w:r>
          </w:p>
        </w:tc>
      </w:tr>
      <w:tr w:rsidR="00F26ECF" w:rsidRPr="00033E65" w14:paraId="2F76B97D"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hideMark/>
          </w:tcPr>
          <w:p w14:paraId="1FEBA175" w14:textId="77777777" w:rsidR="00F26ECF" w:rsidRPr="00033E65" w:rsidRDefault="00F26ECF" w:rsidP="00F26ECF">
            <w:pPr>
              <w:spacing w:before="0" w:after="0"/>
              <w:jc w:val="left"/>
              <w:rPr>
                <w:color w:val="000000"/>
                <w:sz w:val="20"/>
                <w:lang w:eastAsia="es-CR"/>
              </w:rPr>
            </w:pPr>
            <w:r w:rsidRPr="00033E65">
              <w:rPr>
                <w:color w:val="000000"/>
                <w:sz w:val="20"/>
                <w:lang w:eastAsia="es-CR"/>
              </w:rPr>
              <w:t> </w:t>
            </w:r>
          </w:p>
        </w:tc>
        <w:tc>
          <w:tcPr>
            <w:tcW w:w="2020" w:type="dxa"/>
            <w:tcBorders>
              <w:top w:val="nil"/>
              <w:left w:val="nil"/>
              <w:bottom w:val="single" w:sz="8" w:space="0" w:color="auto"/>
              <w:right w:val="single" w:sz="8" w:space="0" w:color="auto"/>
            </w:tcBorders>
            <w:shd w:val="clear" w:color="auto" w:fill="auto"/>
            <w:noWrap/>
            <w:vAlign w:val="center"/>
            <w:hideMark/>
          </w:tcPr>
          <w:p w14:paraId="2D9DC651" w14:textId="77777777" w:rsidR="00F26ECF" w:rsidRPr="00033E65" w:rsidRDefault="00F26ECF" w:rsidP="00F26ECF">
            <w:pPr>
              <w:spacing w:before="0" w:after="0"/>
              <w:jc w:val="center"/>
              <w:rPr>
                <w:rFonts w:cs="Calibri"/>
                <w:i/>
                <w:iCs/>
                <w:color w:val="000000"/>
                <w:szCs w:val="22"/>
                <w:lang w:eastAsia="es-CR"/>
              </w:rPr>
            </w:pPr>
            <w:r w:rsidRPr="00033E65">
              <w:rPr>
                <w:rFonts w:cs="Calibri"/>
                <w:i/>
                <w:iCs/>
                <w:color w:val="000000"/>
                <w:szCs w:val="22"/>
                <w:lang w:eastAsia="es-CR"/>
              </w:rPr>
              <w:t> </w:t>
            </w:r>
          </w:p>
        </w:tc>
        <w:tc>
          <w:tcPr>
            <w:tcW w:w="2920" w:type="dxa"/>
            <w:tcBorders>
              <w:top w:val="nil"/>
              <w:left w:val="nil"/>
              <w:bottom w:val="single" w:sz="8" w:space="0" w:color="auto"/>
              <w:right w:val="single" w:sz="8" w:space="0" w:color="auto"/>
            </w:tcBorders>
            <w:shd w:val="clear" w:color="auto" w:fill="auto"/>
            <w:noWrap/>
            <w:hideMark/>
          </w:tcPr>
          <w:p w14:paraId="18CDEFD7" w14:textId="77777777" w:rsidR="00F26ECF" w:rsidRPr="00033E65" w:rsidRDefault="00F26ECF" w:rsidP="00F26ECF">
            <w:pPr>
              <w:spacing w:before="0" w:after="0"/>
              <w:jc w:val="left"/>
              <w:rPr>
                <w:color w:val="000000"/>
                <w:sz w:val="20"/>
                <w:lang w:eastAsia="es-CR"/>
              </w:rPr>
            </w:pPr>
            <w:r w:rsidRPr="00033E65">
              <w:rPr>
                <w:color w:val="000000"/>
                <w:sz w:val="20"/>
                <w:lang w:eastAsia="es-CR"/>
              </w:rPr>
              <w:t> </w:t>
            </w:r>
          </w:p>
        </w:tc>
      </w:tr>
      <w:tr w:rsidR="00F26ECF" w:rsidRPr="00033E65" w14:paraId="795D841E"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78B6B497"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Sin lugar</w:t>
            </w:r>
          </w:p>
        </w:tc>
        <w:tc>
          <w:tcPr>
            <w:tcW w:w="2020" w:type="dxa"/>
            <w:tcBorders>
              <w:top w:val="nil"/>
              <w:left w:val="nil"/>
              <w:bottom w:val="single" w:sz="8" w:space="0" w:color="auto"/>
              <w:right w:val="single" w:sz="8" w:space="0" w:color="auto"/>
            </w:tcBorders>
            <w:shd w:val="clear" w:color="auto" w:fill="auto"/>
            <w:noWrap/>
            <w:vAlign w:val="center"/>
            <w:hideMark/>
          </w:tcPr>
          <w:p w14:paraId="143B104D" w14:textId="77777777" w:rsidR="00F26ECF" w:rsidRPr="00033E65" w:rsidRDefault="00F26ECF" w:rsidP="00F26ECF">
            <w:pPr>
              <w:spacing w:before="0" w:after="0"/>
              <w:jc w:val="center"/>
              <w:rPr>
                <w:rFonts w:cs="Calibri"/>
                <w:i/>
                <w:iCs/>
                <w:color w:val="000000"/>
                <w:szCs w:val="22"/>
                <w:lang w:eastAsia="es-CR"/>
              </w:rPr>
            </w:pPr>
            <w:r w:rsidRPr="00033E65">
              <w:rPr>
                <w:rFonts w:cs="Calibri"/>
                <w:i/>
                <w:iCs/>
                <w:color w:val="000000"/>
                <w:szCs w:val="22"/>
                <w:lang w:eastAsia="es-CR"/>
              </w:rPr>
              <w:t>14</w:t>
            </w:r>
          </w:p>
        </w:tc>
        <w:tc>
          <w:tcPr>
            <w:tcW w:w="2920" w:type="dxa"/>
            <w:tcBorders>
              <w:top w:val="nil"/>
              <w:left w:val="nil"/>
              <w:bottom w:val="single" w:sz="8" w:space="0" w:color="auto"/>
              <w:right w:val="single" w:sz="8" w:space="0" w:color="auto"/>
            </w:tcBorders>
            <w:shd w:val="clear" w:color="auto" w:fill="auto"/>
            <w:noWrap/>
            <w:vAlign w:val="center"/>
            <w:hideMark/>
          </w:tcPr>
          <w:p w14:paraId="38ED0ECC"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38 Meses 0 Semanas</w:t>
            </w:r>
          </w:p>
        </w:tc>
      </w:tr>
      <w:tr w:rsidR="00F26ECF" w:rsidRPr="00033E65" w14:paraId="0352FAAE"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13A27534"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Con lugar</w:t>
            </w:r>
          </w:p>
        </w:tc>
        <w:tc>
          <w:tcPr>
            <w:tcW w:w="2020" w:type="dxa"/>
            <w:tcBorders>
              <w:top w:val="nil"/>
              <w:left w:val="nil"/>
              <w:bottom w:val="single" w:sz="8" w:space="0" w:color="auto"/>
              <w:right w:val="single" w:sz="8" w:space="0" w:color="auto"/>
            </w:tcBorders>
            <w:shd w:val="clear" w:color="auto" w:fill="auto"/>
            <w:noWrap/>
            <w:vAlign w:val="center"/>
            <w:hideMark/>
          </w:tcPr>
          <w:p w14:paraId="5A76FA92" w14:textId="77777777" w:rsidR="00F26ECF" w:rsidRPr="00033E65" w:rsidRDefault="00F26ECF" w:rsidP="00F26ECF">
            <w:pPr>
              <w:spacing w:before="0" w:after="0"/>
              <w:jc w:val="center"/>
              <w:rPr>
                <w:rFonts w:cs="Calibri"/>
                <w:i/>
                <w:iCs/>
                <w:color w:val="000000"/>
                <w:szCs w:val="22"/>
                <w:lang w:eastAsia="es-CR"/>
              </w:rPr>
            </w:pPr>
            <w:r w:rsidRPr="00033E65">
              <w:rPr>
                <w:rFonts w:cs="Calibri"/>
                <w:i/>
                <w:iCs/>
                <w:color w:val="000000"/>
                <w:szCs w:val="22"/>
                <w:lang w:eastAsia="es-CR"/>
              </w:rPr>
              <w:t>6</w:t>
            </w:r>
          </w:p>
        </w:tc>
        <w:tc>
          <w:tcPr>
            <w:tcW w:w="2920" w:type="dxa"/>
            <w:tcBorders>
              <w:top w:val="nil"/>
              <w:left w:val="nil"/>
              <w:bottom w:val="single" w:sz="8" w:space="0" w:color="auto"/>
              <w:right w:val="single" w:sz="8" w:space="0" w:color="auto"/>
            </w:tcBorders>
            <w:shd w:val="clear" w:color="auto" w:fill="auto"/>
            <w:noWrap/>
            <w:vAlign w:val="center"/>
            <w:hideMark/>
          </w:tcPr>
          <w:p w14:paraId="21779319"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32 Meses 1 Semana</w:t>
            </w:r>
          </w:p>
        </w:tc>
      </w:tr>
      <w:tr w:rsidR="00F26ECF" w:rsidRPr="00033E65" w14:paraId="0306C6D7"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21679B76"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Parcialmente con lugar</w:t>
            </w:r>
          </w:p>
        </w:tc>
        <w:tc>
          <w:tcPr>
            <w:tcW w:w="2020" w:type="dxa"/>
            <w:tcBorders>
              <w:top w:val="nil"/>
              <w:left w:val="nil"/>
              <w:bottom w:val="single" w:sz="8" w:space="0" w:color="auto"/>
              <w:right w:val="single" w:sz="8" w:space="0" w:color="auto"/>
            </w:tcBorders>
            <w:shd w:val="clear" w:color="auto" w:fill="auto"/>
            <w:noWrap/>
            <w:vAlign w:val="center"/>
            <w:hideMark/>
          </w:tcPr>
          <w:p w14:paraId="1EC3C4D4" w14:textId="77777777" w:rsidR="00F26ECF" w:rsidRPr="00033E65" w:rsidRDefault="00F26ECF" w:rsidP="00F26ECF">
            <w:pPr>
              <w:spacing w:before="0" w:after="0"/>
              <w:jc w:val="center"/>
              <w:rPr>
                <w:rFonts w:cs="Calibri"/>
                <w:i/>
                <w:iCs/>
                <w:color w:val="000000"/>
                <w:szCs w:val="22"/>
                <w:lang w:eastAsia="es-CR"/>
              </w:rPr>
            </w:pPr>
            <w:r w:rsidRPr="00033E65">
              <w:rPr>
                <w:rFonts w:cs="Calibri"/>
                <w:i/>
                <w:iCs/>
                <w:color w:val="000000"/>
                <w:szCs w:val="22"/>
                <w:lang w:eastAsia="es-CR"/>
              </w:rPr>
              <w:t>2</w:t>
            </w:r>
          </w:p>
        </w:tc>
        <w:tc>
          <w:tcPr>
            <w:tcW w:w="2920" w:type="dxa"/>
            <w:tcBorders>
              <w:top w:val="nil"/>
              <w:left w:val="nil"/>
              <w:bottom w:val="single" w:sz="8" w:space="0" w:color="auto"/>
              <w:right w:val="single" w:sz="8" w:space="0" w:color="auto"/>
            </w:tcBorders>
            <w:shd w:val="clear" w:color="auto" w:fill="auto"/>
            <w:noWrap/>
            <w:vAlign w:val="center"/>
            <w:hideMark/>
          </w:tcPr>
          <w:p w14:paraId="5762C405"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44 Meses 1 Semana</w:t>
            </w:r>
          </w:p>
        </w:tc>
      </w:tr>
      <w:tr w:rsidR="00F26ECF" w:rsidRPr="00033E65" w14:paraId="46E6B693"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3606E379"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Confirma</w:t>
            </w:r>
          </w:p>
        </w:tc>
        <w:tc>
          <w:tcPr>
            <w:tcW w:w="2020" w:type="dxa"/>
            <w:tcBorders>
              <w:top w:val="nil"/>
              <w:left w:val="nil"/>
              <w:bottom w:val="single" w:sz="8" w:space="0" w:color="auto"/>
              <w:right w:val="single" w:sz="8" w:space="0" w:color="auto"/>
            </w:tcBorders>
            <w:shd w:val="clear" w:color="auto" w:fill="auto"/>
            <w:noWrap/>
            <w:vAlign w:val="center"/>
            <w:hideMark/>
          </w:tcPr>
          <w:p w14:paraId="415169BB" w14:textId="77777777" w:rsidR="00F26ECF" w:rsidRPr="00033E65" w:rsidRDefault="00F26ECF" w:rsidP="00F26ECF">
            <w:pPr>
              <w:spacing w:before="0" w:after="0"/>
              <w:jc w:val="center"/>
              <w:rPr>
                <w:rFonts w:cs="Calibri"/>
                <w:i/>
                <w:iCs/>
                <w:color w:val="000000"/>
                <w:szCs w:val="22"/>
                <w:lang w:eastAsia="es-CR"/>
              </w:rPr>
            </w:pPr>
            <w:r w:rsidRPr="00033E65">
              <w:rPr>
                <w:rFonts w:cs="Calibri"/>
                <w:i/>
                <w:iCs/>
                <w:color w:val="000000"/>
                <w:szCs w:val="22"/>
                <w:lang w:eastAsia="es-CR"/>
              </w:rPr>
              <w:t>5</w:t>
            </w:r>
          </w:p>
        </w:tc>
        <w:tc>
          <w:tcPr>
            <w:tcW w:w="2920" w:type="dxa"/>
            <w:tcBorders>
              <w:top w:val="nil"/>
              <w:left w:val="nil"/>
              <w:bottom w:val="single" w:sz="8" w:space="0" w:color="auto"/>
              <w:right w:val="single" w:sz="8" w:space="0" w:color="auto"/>
            </w:tcBorders>
            <w:shd w:val="clear" w:color="auto" w:fill="auto"/>
            <w:noWrap/>
            <w:vAlign w:val="center"/>
            <w:hideMark/>
          </w:tcPr>
          <w:p w14:paraId="6B52146E"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22 Meses 0 Semanas</w:t>
            </w:r>
          </w:p>
        </w:tc>
      </w:tr>
      <w:tr w:rsidR="00F26ECF" w:rsidRPr="00033E65" w14:paraId="1728B809"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hideMark/>
          </w:tcPr>
          <w:p w14:paraId="1BF6ED90" w14:textId="77777777" w:rsidR="00F26ECF" w:rsidRPr="00033E65" w:rsidRDefault="00F26ECF" w:rsidP="00F26ECF">
            <w:pPr>
              <w:spacing w:before="0" w:after="0"/>
              <w:jc w:val="left"/>
              <w:rPr>
                <w:color w:val="000000"/>
                <w:sz w:val="20"/>
                <w:lang w:eastAsia="es-CR"/>
              </w:rPr>
            </w:pPr>
            <w:r w:rsidRPr="00033E65">
              <w:rPr>
                <w:color w:val="000000"/>
                <w:sz w:val="20"/>
                <w:lang w:eastAsia="es-CR"/>
              </w:rPr>
              <w:t> </w:t>
            </w:r>
          </w:p>
        </w:tc>
        <w:tc>
          <w:tcPr>
            <w:tcW w:w="2020" w:type="dxa"/>
            <w:tcBorders>
              <w:top w:val="nil"/>
              <w:left w:val="nil"/>
              <w:bottom w:val="single" w:sz="8" w:space="0" w:color="auto"/>
              <w:right w:val="single" w:sz="8" w:space="0" w:color="auto"/>
            </w:tcBorders>
            <w:shd w:val="clear" w:color="auto" w:fill="auto"/>
            <w:noWrap/>
            <w:vAlign w:val="center"/>
            <w:hideMark/>
          </w:tcPr>
          <w:p w14:paraId="6B045DB7" w14:textId="77777777" w:rsidR="00F26ECF" w:rsidRPr="00033E65" w:rsidRDefault="00F26ECF" w:rsidP="00F26ECF">
            <w:pPr>
              <w:spacing w:before="0" w:after="0"/>
              <w:jc w:val="center"/>
              <w:rPr>
                <w:rFonts w:cs="Calibri"/>
                <w:b/>
                <w:bCs/>
                <w:i/>
                <w:iCs/>
                <w:color w:val="000000"/>
                <w:szCs w:val="22"/>
                <w:lang w:eastAsia="es-CR"/>
              </w:rPr>
            </w:pPr>
            <w:r w:rsidRPr="00033E65">
              <w:rPr>
                <w:rFonts w:cs="Calibri"/>
                <w:b/>
                <w:bCs/>
                <w:i/>
                <w:iCs/>
                <w:color w:val="000000"/>
                <w:szCs w:val="22"/>
                <w:lang w:eastAsia="es-CR"/>
              </w:rPr>
              <w:t> </w:t>
            </w:r>
          </w:p>
        </w:tc>
        <w:tc>
          <w:tcPr>
            <w:tcW w:w="2920" w:type="dxa"/>
            <w:tcBorders>
              <w:top w:val="nil"/>
              <w:left w:val="nil"/>
              <w:bottom w:val="single" w:sz="8" w:space="0" w:color="auto"/>
              <w:right w:val="single" w:sz="8" w:space="0" w:color="auto"/>
            </w:tcBorders>
            <w:shd w:val="clear" w:color="auto" w:fill="auto"/>
            <w:noWrap/>
            <w:hideMark/>
          </w:tcPr>
          <w:p w14:paraId="218C1C5C" w14:textId="77777777" w:rsidR="00F26ECF" w:rsidRPr="00033E65" w:rsidRDefault="00F26ECF" w:rsidP="00F26ECF">
            <w:pPr>
              <w:spacing w:before="0" w:after="0"/>
              <w:jc w:val="left"/>
              <w:rPr>
                <w:color w:val="000000"/>
                <w:sz w:val="20"/>
                <w:lang w:eastAsia="es-CR"/>
              </w:rPr>
            </w:pPr>
            <w:r w:rsidRPr="00033E65">
              <w:rPr>
                <w:color w:val="000000"/>
                <w:sz w:val="20"/>
                <w:lang w:eastAsia="es-CR"/>
              </w:rPr>
              <w:t> </w:t>
            </w:r>
          </w:p>
        </w:tc>
      </w:tr>
      <w:tr w:rsidR="00F26ECF" w:rsidRPr="00033E65" w14:paraId="3F24AD02"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1028F71B" w14:textId="77777777" w:rsidR="00F26ECF" w:rsidRPr="00033E65" w:rsidRDefault="00F26ECF" w:rsidP="00F26ECF">
            <w:pPr>
              <w:spacing w:before="0" w:after="0"/>
              <w:jc w:val="left"/>
              <w:rPr>
                <w:rFonts w:cs="Calibri"/>
                <w:b/>
                <w:bCs/>
                <w:i/>
                <w:iCs/>
                <w:color w:val="000000"/>
                <w:szCs w:val="22"/>
                <w:lang w:eastAsia="es-CR"/>
              </w:rPr>
            </w:pPr>
            <w:r w:rsidRPr="00033E65">
              <w:rPr>
                <w:rFonts w:cs="Calibri"/>
                <w:b/>
                <w:bCs/>
                <w:i/>
                <w:iCs/>
                <w:color w:val="000000"/>
                <w:szCs w:val="22"/>
                <w:lang w:eastAsia="es-CR"/>
              </w:rPr>
              <w:t>Autos</w:t>
            </w:r>
          </w:p>
        </w:tc>
        <w:tc>
          <w:tcPr>
            <w:tcW w:w="2020" w:type="dxa"/>
            <w:tcBorders>
              <w:top w:val="nil"/>
              <w:left w:val="nil"/>
              <w:bottom w:val="single" w:sz="8" w:space="0" w:color="auto"/>
              <w:right w:val="single" w:sz="8" w:space="0" w:color="auto"/>
            </w:tcBorders>
            <w:shd w:val="clear" w:color="auto" w:fill="auto"/>
            <w:noWrap/>
            <w:vAlign w:val="center"/>
            <w:hideMark/>
          </w:tcPr>
          <w:p w14:paraId="0E9C8561" w14:textId="77777777" w:rsidR="00F26ECF" w:rsidRPr="00033E65" w:rsidRDefault="00F26ECF" w:rsidP="00F26ECF">
            <w:pPr>
              <w:spacing w:before="0" w:after="0"/>
              <w:jc w:val="center"/>
              <w:rPr>
                <w:rFonts w:cs="Calibri"/>
                <w:b/>
                <w:bCs/>
                <w:i/>
                <w:iCs/>
                <w:color w:val="000000"/>
                <w:szCs w:val="22"/>
                <w:lang w:eastAsia="es-CR"/>
              </w:rPr>
            </w:pPr>
            <w:r w:rsidRPr="00033E65">
              <w:rPr>
                <w:rFonts w:cs="Calibri"/>
                <w:b/>
                <w:bCs/>
                <w:i/>
                <w:iCs/>
                <w:color w:val="000000"/>
                <w:szCs w:val="22"/>
                <w:lang w:eastAsia="es-CR"/>
              </w:rPr>
              <w:t>94</w:t>
            </w:r>
          </w:p>
        </w:tc>
        <w:tc>
          <w:tcPr>
            <w:tcW w:w="2920" w:type="dxa"/>
            <w:tcBorders>
              <w:top w:val="nil"/>
              <w:left w:val="nil"/>
              <w:bottom w:val="single" w:sz="8" w:space="0" w:color="auto"/>
              <w:right w:val="single" w:sz="8" w:space="0" w:color="auto"/>
            </w:tcBorders>
            <w:shd w:val="clear" w:color="auto" w:fill="auto"/>
            <w:noWrap/>
            <w:vAlign w:val="center"/>
            <w:hideMark/>
          </w:tcPr>
          <w:p w14:paraId="25B5810E" w14:textId="77777777" w:rsidR="00F26ECF" w:rsidRPr="00033E65" w:rsidRDefault="00F26ECF" w:rsidP="00F26ECF">
            <w:pPr>
              <w:spacing w:before="0" w:after="0"/>
              <w:jc w:val="left"/>
              <w:rPr>
                <w:rFonts w:cs="Calibri"/>
                <w:b/>
                <w:bCs/>
                <w:i/>
                <w:iCs/>
                <w:color w:val="000000"/>
                <w:szCs w:val="22"/>
                <w:lang w:eastAsia="es-CR"/>
              </w:rPr>
            </w:pPr>
            <w:r w:rsidRPr="00033E65">
              <w:rPr>
                <w:rFonts w:cs="Calibri"/>
                <w:b/>
                <w:bCs/>
                <w:i/>
                <w:iCs/>
                <w:color w:val="000000"/>
                <w:szCs w:val="22"/>
                <w:lang w:eastAsia="es-CR"/>
              </w:rPr>
              <w:t>15 Meses 2 Semanas</w:t>
            </w:r>
          </w:p>
        </w:tc>
      </w:tr>
      <w:tr w:rsidR="00F26ECF" w:rsidRPr="00033E65" w14:paraId="1865401C"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hideMark/>
          </w:tcPr>
          <w:p w14:paraId="7D0E0508" w14:textId="77777777" w:rsidR="00F26ECF" w:rsidRPr="00033E65" w:rsidRDefault="00F26ECF" w:rsidP="00F26ECF">
            <w:pPr>
              <w:spacing w:before="0" w:after="0"/>
              <w:jc w:val="left"/>
              <w:rPr>
                <w:color w:val="000000"/>
                <w:sz w:val="20"/>
                <w:lang w:eastAsia="es-CR"/>
              </w:rPr>
            </w:pPr>
            <w:r w:rsidRPr="00033E65">
              <w:rPr>
                <w:color w:val="000000"/>
                <w:sz w:val="20"/>
                <w:lang w:eastAsia="es-CR"/>
              </w:rPr>
              <w:t> </w:t>
            </w:r>
          </w:p>
        </w:tc>
        <w:tc>
          <w:tcPr>
            <w:tcW w:w="2020" w:type="dxa"/>
            <w:tcBorders>
              <w:top w:val="nil"/>
              <w:left w:val="nil"/>
              <w:bottom w:val="single" w:sz="8" w:space="0" w:color="auto"/>
              <w:right w:val="single" w:sz="8" w:space="0" w:color="auto"/>
            </w:tcBorders>
            <w:shd w:val="clear" w:color="auto" w:fill="auto"/>
            <w:noWrap/>
            <w:vAlign w:val="center"/>
            <w:hideMark/>
          </w:tcPr>
          <w:p w14:paraId="1DE405E9" w14:textId="77777777" w:rsidR="00F26ECF" w:rsidRPr="00033E65" w:rsidRDefault="00F26ECF" w:rsidP="00F26ECF">
            <w:pPr>
              <w:spacing w:before="0" w:after="0"/>
              <w:jc w:val="center"/>
              <w:rPr>
                <w:rFonts w:cs="Calibri"/>
                <w:b/>
                <w:bCs/>
                <w:i/>
                <w:iCs/>
                <w:color w:val="000000"/>
                <w:szCs w:val="22"/>
                <w:lang w:eastAsia="es-CR"/>
              </w:rPr>
            </w:pPr>
            <w:r w:rsidRPr="00033E65">
              <w:rPr>
                <w:rFonts w:cs="Calibri"/>
                <w:b/>
                <w:bCs/>
                <w:i/>
                <w:iCs/>
                <w:color w:val="000000"/>
                <w:szCs w:val="22"/>
                <w:lang w:eastAsia="es-CR"/>
              </w:rPr>
              <w:t> </w:t>
            </w:r>
          </w:p>
        </w:tc>
        <w:tc>
          <w:tcPr>
            <w:tcW w:w="2920" w:type="dxa"/>
            <w:tcBorders>
              <w:top w:val="nil"/>
              <w:left w:val="nil"/>
              <w:bottom w:val="single" w:sz="8" w:space="0" w:color="auto"/>
              <w:right w:val="single" w:sz="8" w:space="0" w:color="auto"/>
            </w:tcBorders>
            <w:shd w:val="clear" w:color="auto" w:fill="auto"/>
            <w:noWrap/>
            <w:hideMark/>
          </w:tcPr>
          <w:p w14:paraId="4FC374D0" w14:textId="77777777" w:rsidR="00F26ECF" w:rsidRPr="00033E65" w:rsidRDefault="00F26ECF" w:rsidP="00F26ECF">
            <w:pPr>
              <w:spacing w:before="0" w:after="0"/>
              <w:jc w:val="left"/>
              <w:rPr>
                <w:color w:val="000000"/>
                <w:sz w:val="20"/>
                <w:lang w:eastAsia="es-CR"/>
              </w:rPr>
            </w:pPr>
            <w:r w:rsidRPr="00033E65">
              <w:rPr>
                <w:color w:val="000000"/>
                <w:sz w:val="20"/>
                <w:lang w:eastAsia="es-CR"/>
              </w:rPr>
              <w:t> </w:t>
            </w:r>
          </w:p>
        </w:tc>
      </w:tr>
      <w:tr w:rsidR="00F26ECF" w:rsidRPr="00033E65" w14:paraId="1F527598"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7F591EE7"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Resuelve competencia</w:t>
            </w:r>
          </w:p>
        </w:tc>
        <w:tc>
          <w:tcPr>
            <w:tcW w:w="2020" w:type="dxa"/>
            <w:tcBorders>
              <w:top w:val="nil"/>
              <w:left w:val="nil"/>
              <w:bottom w:val="single" w:sz="8" w:space="0" w:color="auto"/>
              <w:right w:val="single" w:sz="8" w:space="0" w:color="auto"/>
            </w:tcBorders>
            <w:shd w:val="clear" w:color="auto" w:fill="auto"/>
            <w:noWrap/>
            <w:vAlign w:val="center"/>
            <w:hideMark/>
          </w:tcPr>
          <w:p w14:paraId="19036E9E" w14:textId="77777777" w:rsidR="00F26ECF" w:rsidRPr="00033E65" w:rsidRDefault="00F26ECF" w:rsidP="00F26ECF">
            <w:pPr>
              <w:spacing w:before="0" w:after="0"/>
              <w:jc w:val="center"/>
              <w:rPr>
                <w:rFonts w:cs="Calibri"/>
                <w:i/>
                <w:iCs/>
                <w:color w:val="000000"/>
                <w:szCs w:val="22"/>
                <w:lang w:eastAsia="es-CR"/>
              </w:rPr>
            </w:pPr>
            <w:r w:rsidRPr="00033E65">
              <w:rPr>
                <w:rFonts w:cs="Calibri"/>
                <w:i/>
                <w:iCs/>
                <w:color w:val="000000"/>
                <w:szCs w:val="22"/>
                <w:lang w:eastAsia="es-CR"/>
              </w:rPr>
              <w:t>28</w:t>
            </w:r>
          </w:p>
        </w:tc>
        <w:tc>
          <w:tcPr>
            <w:tcW w:w="2920" w:type="dxa"/>
            <w:tcBorders>
              <w:top w:val="nil"/>
              <w:left w:val="nil"/>
              <w:bottom w:val="single" w:sz="8" w:space="0" w:color="auto"/>
              <w:right w:val="single" w:sz="8" w:space="0" w:color="auto"/>
            </w:tcBorders>
            <w:shd w:val="clear" w:color="auto" w:fill="auto"/>
            <w:noWrap/>
            <w:vAlign w:val="center"/>
            <w:hideMark/>
          </w:tcPr>
          <w:p w14:paraId="33B7700D"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18 Meses 2 Semanas</w:t>
            </w:r>
          </w:p>
        </w:tc>
      </w:tr>
      <w:tr w:rsidR="00F26ECF" w:rsidRPr="00033E65" w14:paraId="545BB2F1"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39761E03"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Rechazo de plano</w:t>
            </w:r>
          </w:p>
        </w:tc>
        <w:tc>
          <w:tcPr>
            <w:tcW w:w="2020" w:type="dxa"/>
            <w:tcBorders>
              <w:top w:val="nil"/>
              <w:left w:val="nil"/>
              <w:bottom w:val="single" w:sz="8" w:space="0" w:color="auto"/>
              <w:right w:val="single" w:sz="8" w:space="0" w:color="auto"/>
            </w:tcBorders>
            <w:shd w:val="clear" w:color="auto" w:fill="auto"/>
            <w:noWrap/>
            <w:vAlign w:val="center"/>
            <w:hideMark/>
          </w:tcPr>
          <w:p w14:paraId="036A321C" w14:textId="77777777" w:rsidR="00F26ECF" w:rsidRPr="00033E65" w:rsidRDefault="00F26ECF" w:rsidP="00F26ECF">
            <w:pPr>
              <w:spacing w:before="0" w:after="0"/>
              <w:jc w:val="center"/>
              <w:rPr>
                <w:rFonts w:cs="Calibri"/>
                <w:i/>
                <w:iCs/>
                <w:color w:val="000000"/>
                <w:szCs w:val="22"/>
                <w:lang w:eastAsia="es-CR"/>
              </w:rPr>
            </w:pPr>
            <w:r w:rsidRPr="00033E65">
              <w:rPr>
                <w:rFonts w:cs="Calibri"/>
                <w:i/>
                <w:iCs/>
                <w:color w:val="000000"/>
                <w:szCs w:val="22"/>
                <w:lang w:eastAsia="es-CR"/>
              </w:rPr>
              <w:t>43</w:t>
            </w:r>
          </w:p>
        </w:tc>
        <w:tc>
          <w:tcPr>
            <w:tcW w:w="2920" w:type="dxa"/>
            <w:tcBorders>
              <w:top w:val="nil"/>
              <w:left w:val="nil"/>
              <w:bottom w:val="single" w:sz="8" w:space="0" w:color="auto"/>
              <w:right w:val="single" w:sz="8" w:space="0" w:color="auto"/>
            </w:tcBorders>
            <w:shd w:val="clear" w:color="auto" w:fill="auto"/>
            <w:noWrap/>
            <w:vAlign w:val="center"/>
            <w:hideMark/>
          </w:tcPr>
          <w:p w14:paraId="1C11078F"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15 Meses 2 Semanas</w:t>
            </w:r>
          </w:p>
        </w:tc>
      </w:tr>
      <w:tr w:rsidR="00F26ECF" w:rsidRPr="00033E65" w14:paraId="1E551FCB"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5CECB804"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Auto de pase</w:t>
            </w:r>
          </w:p>
        </w:tc>
        <w:tc>
          <w:tcPr>
            <w:tcW w:w="2020" w:type="dxa"/>
            <w:tcBorders>
              <w:top w:val="nil"/>
              <w:left w:val="nil"/>
              <w:bottom w:val="single" w:sz="8" w:space="0" w:color="auto"/>
              <w:right w:val="single" w:sz="8" w:space="0" w:color="auto"/>
            </w:tcBorders>
            <w:shd w:val="clear" w:color="auto" w:fill="auto"/>
            <w:noWrap/>
            <w:vAlign w:val="center"/>
            <w:hideMark/>
          </w:tcPr>
          <w:p w14:paraId="005C63F3" w14:textId="77777777" w:rsidR="00F26ECF" w:rsidRPr="00033E65" w:rsidRDefault="00F26ECF" w:rsidP="00F26ECF">
            <w:pPr>
              <w:spacing w:before="0" w:after="0"/>
              <w:jc w:val="center"/>
              <w:rPr>
                <w:rFonts w:cs="Calibri"/>
                <w:i/>
                <w:iCs/>
                <w:color w:val="000000"/>
                <w:szCs w:val="22"/>
                <w:lang w:eastAsia="es-CR"/>
              </w:rPr>
            </w:pPr>
            <w:r w:rsidRPr="00033E65">
              <w:rPr>
                <w:rFonts w:cs="Calibri"/>
                <w:i/>
                <w:iCs/>
                <w:color w:val="000000"/>
                <w:szCs w:val="22"/>
                <w:lang w:eastAsia="es-CR"/>
              </w:rPr>
              <w:t>5</w:t>
            </w:r>
          </w:p>
        </w:tc>
        <w:tc>
          <w:tcPr>
            <w:tcW w:w="2920" w:type="dxa"/>
            <w:tcBorders>
              <w:top w:val="nil"/>
              <w:left w:val="nil"/>
              <w:bottom w:val="single" w:sz="8" w:space="0" w:color="auto"/>
              <w:right w:val="single" w:sz="8" w:space="0" w:color="auto"/>
            </w:tcBorders>
            <w:shd w:val="clear" w:color="auto" w:fill="auto"/>
            <w:noWrap/>
            <w:vAlign w:val="center"/>
            <w:hideMark/>
          </w:tcPr>
          <w:p w14:paraId="7373035E"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13 Meses 1 Semana</w:t>
            </w:r>
          </w:p>
        </w:tc>
      </w:tr>
      <w:tr w:rsidR="00F26ECF" w:rsidRPr="00033E65" w14:paraId="3AE16C51"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42B16D29"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Rechaza plano por extemporáneo</w:t>
            </w:r>
          </w:p>
        </w:tc>
        <w:tc>
          <w:tcPr>
            <w:tcW w:w="2020" w:type="dxa"/>
            <w:tcBorders>
              <w:top w:val="nil"/>
              <w:left w:val="nil"/>
              <w:bottom w:val="single" w:sz="8" w:space="0" w:color="auto"/>
              <w:right w:val="single" w:sz="8" w:space="0" w:color="auto"/>
            </w:tcBorders>
            <w:shd w:val="clear" w:color="auto" w:fill="auto"/>
            <w:noWrap/>
            <w:vAlign w:val="center"/>
            <w:hideMark/>
          </w:tcPr>
          <w:p w14:paraId="2BB5A380" w14:textId="77777777" w:rsidR="00F26ECF" w:rsidRPr="00033E65" w:rsidRDefault="00F26ECF" w:rsidP="00F26ECF">
            <w:pPr>
              <w:spacing w:before="0" w:after="0"/>
              <w:jc w:val="center"/>
              <w:rPr>
                <w:rFonts w:cs="Calibri"/>
                <w:i/>
                <w:iCs/>
                <w:color w:val="000000"/>
                <w:szCs w:val="22"/>
                <w:lang w:eastAsia="es-CR"/>
              </w:rPr>
            </w:pPr>
            <w:r w:rsidRPr="00033E65">
              <w:rPr>
                <w:rFonts w:cs="Calibri"/>
                <w:i/>
                <w:iCs/>
                <w:color w:val="000000"/>
                <w:szCs w:val="22"/>
                <w:lang w:eastAsia="es-CR"/>
              </w:rPr>
              <w:t>15</w:t>
            </w:r>
          </w:p>
        </w:tc>
        <w:tc>
          <w:tcPr>
            <w:tcW w:w="2920" w:type="dxa"/>
            <w:tcBorders>
              <w:top w:val="nil"/>
              <w:left w:val="nil"/>
              <w:bottom w:val="single" w:sz="8" w:space="0" w:color="auto"/>
              <w:right w:val="single" w:sz="8" w:space="0" w:color="auto"/>
            </w:tcBorders>
            <w:shd w:val="clear" w:color="auto" w:fill="auto"/>
            <w:noWrap/>
            <w:vAlign w:val="center"/>
            <w:hideMark/>
          </w:tcPr>
          <w:p w14:paraId="724E24A9"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9 Meses 0 Semanas</w:t>
            </w:r>
          </w:p>
        </w:tc>
      </w:tr>
      <w:tr w:rsidR="00F26ECF" w:rsidRPr="00033E65" w14:paraId="22DBD201"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75054241"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Desistido</w:t>
            </w:r>
          </w:p>
        </w:tc>
        <w:tc>
          <w:tcPr>
            <w:tcW w:w="2020" w:type="dxa"/>
            <w:tcBorders>
              <w:top w:val="nil"/>
              <w:left w:val="nil"/>
              <w:bottom w:val="single" w:sz="8" w:space="0" w:color="auto"/>
              <w:right w:val="single" w:sz="8" w:space="0" w:color="auto"/>
            </w:tcBorders>
            <w:shd w:val="clear" w:color="auto" w:fill="auto"/>
            <w:noWrap/>
            <w:vAlign w:val="center"/>
            <w:hideMark/>
          </w:tcPr>
          <w:p w14:paraId="65CBA7DB" w14:textId="77777777" w:rsidR="00F26ECF" w:rsidRPr="00033E65" w:rsidRDefault="00F26ECF" w:rsidP="00F26ECF">
            <w:pPr>
              <w:spacing w:before="0" w:after="0"/>
              <w:jc w:val="center"/>
              <w:rPr>
                <w:rFonts w:cs="Calibri"/>
                <w:i/>
                <w:iCs/>
                <w:color w:val="000000"/>
                <w:szCs w:val="22"/>
                <w:lang w:eastAsia="es-CR"/>
              </w:rPr>
            </w:pPr>
            <w:r w:rsidRPr="00033E65">
              <w:rPr>
                <w:rFonts w:cs="Calibri"/>
                <w:i/>
                <w:iCs/>
                <w:color w:val="000000"/>
                <w:szCs w:val="22"/>
                <w:lang w:eastAsia="es-CR"/>
              </w:rPr>
              <w:t>1</w:t>
            </w:r>
          </w:p>
        </w:tc>
        <w:tc>
          <w:tcPr>
            <w:tcW w:w="2920" w:type="dxa"/>
            <w:tcBorders>
              <w:top w:val="nil"/>
              <w:left w:val="nil"/>
              <w:bottom w:val="single" w:sz="8" w:space="0" w:color="auto"/>
              <w:right w:val="single" w:sz="8" w:space="0" w:color="auto"/>
            </w:tcBorders>
            <w:shd w:val="clear" w:color="auto" w:fill="auto"/>
            <w:noWrap/>
            <w:vAlign w:val="center"/>
            <w:hideMark/>
          </w:tcPr>
          <w:p w14:paraId="50F35A4B"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19 Meses 1 Semana</w:t>
            </w:r>
          </w:p>
        </w:tc>
      </w:tr>
      <w:tr w:rsidR="00F26ECF" w:rsidRPr="00033E65" w14:paraId="562F7091"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66143346"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Inadmisible</w:t>
            </w:r>
          </w:p>
        </w:tc>
        <w:tc>
          <w:tcPr>
            <w:tcW w:w="2020" w:type="dxa"/>
            <w:tcBorders>
              <w:top w:val="nil"/>
              <w:left w:val="nil"/>
              <w:bottom w:val="single" w:sz="8" w:space="0" w:color="auto"/>
              <w:right w:val="single" w:sz="8" w:space="0" w:color="auto"/>
            </w:tcBorders>
            <w:shd w:val="clear" w:color="auto" w:fill="auto"/>
            <w:noWrap/>
            <w:vAlign w:val="center"/>
            <w:hideMark/>
          </w:tcPr>
          <w:p w14:paraId="2FFFE623" w14:textId="77777777" w:rsidR="00F26ECF" w:rsidRPr="00033E65" w:rsidRDefault="00F26ECF" w:rsidP="00F26ECF">
            <w:pPr>
              <w:spacing w:before="0" w:after="0"/>
              <w:jc w:val="center"/>
              <w:rPr>
                <w:rFonts w:cs="Calibri"/>
                <w:i/>
                <w:iCs/>
                <w:color w:val="000000"/>
                <w:szCs w:val="22"/>
                <w:lang w:eastAsia="es-CR"/>
              </w:rPr>
            </w:pPr>
            <w:r w:rsidRPr="00033E65">
              <w:rPr>
                <w:rFonts w:cs="Calibri"/>
                <w:i/>
                <w:iCs/>
                <w:color w:val="000000"/>
                <w:szCs w:val="22"/>
                <w:lang w:eastAsia="es-CR"/>
              </w:rPr>
              <w:t>1</w:t>
            </w:r>
          </w:p>
        </w:tc>
        <w:tc>
          <w:tcPr>
            <w:tcW w:w="2920" w:type="dxa"/>
            <w:tcBorders>
              <w:top w:val="nil"/>
              <w:left w:val="nil"/>
              <w:bottom w:val="single" w:sz="8" w:space="0" w:color="auto"/>
              <w:right w:val="single" w:sz="8" w:space="0" w:color="auto"/>
            </w:tcBorders>
            <w:shd w:val="clear" w:color="auto" w:fill="auto"/>
            <w:noWrap/>
            <w:vAlign w:val="center"/>
            <w:hideMark/>
          </w:tcPr>
          <w:p w14:paraId="072CA12A"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26 Meses 1 Semana</w:t>
            </w:r>
          </w:p>
        </w:tc>
      </w:tr>
      <w:tr w:rsidR="00F26ECF" w:rsidRPr="00033E65" w14:paraId="31C39D34"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74FE603C"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Improcedente</w:t>
            </w:r>
          </w:p>
        </w:tc>
        <w:tc>
          <w:tcPr>
            <w:tcW w:w="2020" w:type="dxa"/>
            <w:tcBorders>
              <w:top w:val="nil"/>
              <w:left w:val="nil"/>
              <w:bottom w:val="single" w:sz="8" w:space="0" w:color="auto"/>
              <w:right w:val="single" w:sz="8" w:space="0" w:color="auto"/>
            </w:tcBorders>
            <w:shd w:val="clear" w:color="auto" w:fill="auto"/>
            <w:noWrap/>
            <w:vAlign w:val="center"/>
            <w:hideMark/>
          </w:tcPr>
          <w:p w14:paraId="5DBEDDC6" w14:textId="77777777" w:rsidR="00F26ECF" w:rsidRPr="00033E65" w:rsidRDefault="00F26ECF" w:rsidP="00F26ECF">
            <w:pPr>
              <w:spacing w:before="0" w:after="0"/>
              <w:jc w:val="center"/>
              <w:rPr>
                <w:rFonts w:cs="Calibri"/>
                <w:i/>
                <w:iCs/>
                <w:color w:val="000000"/>
                <w:szCs w:val="22"/>
                <w:lang w:eastAsia="es-CR"/>
              </w:rPr>
            </w:pPr>
            <w:r w:rsidRPr="00033E65">
              <w:rPr>
                <w:rFonts w:cs="Calibri"/>
                <w:i/>
                <w:iCs/>
                <w:color w:val="000000"/>
                <w:szCs w:val="22"/>
                <w:lang w:eastAsia="es-CR"/>
              </w:rPr>
              <w:t>1</w:t>
            </w:r>
          </w:p>
        </w:tc>
        <w:tc>
          <w:tcPr>
            <w:tcW w:w="2920" w:type="dxa"/>
            <w:tcBorders>
              <w:top w:val="nil"/>
              <w:left w:val="nil"/>
              <w:bottom w:val="single" w:sz="8" w:space="0" w:color="auto"/>
              <w:right w:val="single" w:sz="8" w:space="0" w:color="auto"/>
            </w:tcBorders>
            <w:shd w:val="clear" w:color="auto" w:fill="auto"/>
            <w:noWrap/>
            <w:vAlign w:val="center"/>
            <w:hideMark/>
          </w:tcPr>
          <w:p w14:paraId="7E4ED80E"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11 Meses 3 Semanas</w:t>
            </w:r>
          </w:p>
        </w:tc>
      </w:tr>
      <w:tr w:rsidR="00F26ECF" w:rsidRPr="00033E65" w14:paraId="53311630" w14:textId="77777777" w:rsidTr="00F26ECF">
        <w:trPr>
          <w:trHeight w:val="300"/>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3872A124"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 </w:t>
            </w:r>
          </w:p>
        </w:tc>
        <w:tc>
          <w:tcPr>
            <w:tcW w:w="2020" w:type="dxa"/>
            <w:tcBorders>
              <w:top w:val="nil"/>
              <w:left w:val="nil"/>
              <w:bottom w:val="single" w:sz="8" w:space="0" w:color="auto"/>
              <w:right w:val="single" w:sz="8" w:space="0" w:color="auto"/>
            </w:tcBorders>
            <w:shd w:val="clear" w:color="auto" w:fill="auto"/>
            <w:noWrap/>
            <w:vAlign w:val="center"/>
            <w:hideMark/>
          </w:tcPr>
          <w:p w14:paraId="209CC656" w14:textId="77777777" w:rsidR="00F26ECF" w:rsidRPr="00033E65" w:rsidRDefault="00F26ECF" w:rsidP="00F26ECF">
            <w:pPr>
              <w:spacing w:before="0" w:after="0"/>
              <w:jc w:val="center"/>
              <w:rPr>
                <w:rFonts w:cs="Calibri"/>
                <w:b/>
                <w:bCs/>
                <w:i/>
                <w:iCs/>
                <w:color w:val="000000"/>
                <w:szCs w:val="22"/>
                <w:lang w:eastAsia="es-CR"/>
              </w:rPr>
            </w:pPr>
            <w:r w:rsidRPr="00033E65">
              <w:rPr>
                <w:rFonts w:cs="Calibri"/>
                <w:b/>
                <w:bCs/>
                <w:i/>
                <w:iCs/>
                <w:color w:val="000000"/>
                <w:szCs w:val="22"/>
                <w:lang w:eastAsia="es-CR"/>
              </w:rPr>
              <w:t> </w:t>
            </w:r>
          </w:p>
        </w:tc>
        <w:tc>
          <w:tcPr>
            <w:tcW w:w="2920" w:type="dxa"/>
            <w:tcBorders>
              <w:top w:val="nil"/>
              <w:left w:val="nil"/>
              <w:bottom w:val="single" w:sz="8" w:space="0" w:color="auto"/>
              <w:right w:val="single" w:sz="8" w:space="0" w:color="auto"/>
            </w:tcBorders>
            <w:shd w:val="clear" w:color="auto" w:fill="auto"/>
            <w:noWrap/>
            <w:vAlign w:val="center"/>
            <w:hideMark/>
          </w:tcPr>
          <w:p w14:paraId="39718611" w14:textId="77777777" w:rsidR="00F26ECF" w:rsidRPr="00033E65" w:rsidRDefault="00F26ECF" w:rsidP="00F26ECF">
            <w:pPr>
              <w:spacing w:before="0" w:after="0"/>
              <w:jc w:val="left"/>
              <w:rPr>
                <w:rFonts w:cs="Calibri"/>
                <w:i/>
                <w:iCs/>
                <w:color w:val="000000"/>
                <w:szCs w:val="22"/>
                <w:lang w:eastAsia="es-CR"/>
              </w:rPr>
            </w:pPr>
            <w:r w:rsidRPr="00033E65">
              <w:rPr>
                <w:rFonts w:cs="Calibri"/>
                <w:i/>
                <w:iCs/>
                <w:color w:val="000000"/>
                <w:szCs w:val="22"/>
                <w:lang w:eastAsia="es-CR"/>
              </w:rPr>
              <w:t> </w:t>
            </w:r>
          </w:p>
        </w:tc>
      </w:tr>
      <w:tr w:rsidR="00F26ECF" w:rsidRPr="00033E65" w14:paraId="641A36D8" w14:textId="77777777" w:rsidTr="00F26ECF">
        <w:trPr>
          <w:trHeight w:val="300"/>
        </w:trPr>
        <w:tc>
          <w:tcPr>
            <w:tcW w:w="812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D2D0B61" w14:textId="77777777" w:rsidR="00F26ECF" w:rsidRPr="00033E65" w:rsidRDefault="00F26ECF" w:rsidP="00F26ECF">
            <w:pPr>
              <w:spacing w:before="0" w:after="0"/>
              <w:jc w:val="left"/>
              <w:rPr>
                <w:rFonts w:cs="Calibri"/>
                <w:i/>
                <w:iCs/>
                <w:color w:val="000000"/>
                <w:sz w:val="18"/>
                <w:szCs w:val="18"/>
                <w:lang w:eastAsia="es-CR"/>
              </w:rPr>
            </w:pPr>
            <w:r w:rsidRPr="00033E65">
              <w:rPr>
                <w:rFonts w:cs="Calibri"/>
                <w:i/>
                <w:iCs/>
                <w:color w:val="000000"/>
                <w:sz w:val="18"/>
                <w:szCs w:val="18"/>
                <w:lang w:eastAsia="es-CR"/>
              </w:rPr>
              <w:t>1-/ Se refiere al cálculo, considerando la totalidad de los recursos votados.</w:t>
            </w:r>
          </w:p>
        </w:tc>
      </w:tr>
      <w:tr w:rsidR="00F26ECF" w:rsidRPr="00033E65" w14:paraId="6D2BA7A9" w14:textId="77777777" w:rsidTr="00F26ECF">
        <w:trPr>
          <w:trHeight w:val="300"/>
        </w:trPr>
        <w:tc>
          <w:tcPr>
            <w:tcW w:w="81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CB6D58F" w14:textId="77777777" w:rsidR="00F26ECF" w:rsidRPr="00033E65" w:rsidRDefault="00F26ECF" w:rsidP="00F26ECF">
            <w:pPr>
              <w:spacing w:before="0" w:after="0"/>
              <w:jc w:val="left"/>
              <w:rPr>
                <w:rFonts w:cs="Calibri"/>
                <w:i/>
                <w:iCs/>
                <w:color w:val="000000"/>
                <w:sz w:val="18"/>
                <w:szCs w:val="18"/>
                <w:lang w:eastAsia="es-CR"/>
              </w:rPr>
            </w:pPr>
            <w:r w:rsidRPr="00033E65">
              <w:rPr>
                <w:rFonts w:cs="Calibri"/>
                <w:i/>
                <w:iCs/>
                <w:color w:val="000000"/>
                <w:sz w:val="18"/>
                <w:szCs w:val="18"/>
                <w:lang w:eastAsia="es-CR"/>
              </w:rPr>
              <w:t>Elaborado por: Subproceso de Estadística, Dirección de Planificación.</w:t>
            </w:r>
          </w:p>
        </w:tc>
      </w:tr>
    </w:tbl>
    <w:p w14:paraId="1716DAC5" w14:textId="19212F58" w:rsidR="008E2D82" w:rsidRPr="00033E65" w:rsidRDefault="00EE1897" w:rsidP="005046C5">
      <w:pPr>
        <w:rPr>
          <w:rFonts w:cs="ArialMT"/>
          <w:i/>
          <w:sz w:val="20"/>
        </w:rPr>
      </w:pPr>
      <w:r w:rsidRPr="00033E65">
        <w:rPr>
          <w:rFonts w:cs="ArialMT"/>
          <w:i/>
          <w:sz w:val="20"/>
        </w:rPr>
        <w:t xml:space="preserve">Fuente: </w:t>
      </w:r>
      <w:r w:rsidR="00DC19E7" w:rsidRPr="00033E65">
        <w:rPr>
          <w:rFonts w:cs="Calibri"/>
          <w:i/>
          <w:iCs/>
          <w:color w:val="000000"/>
          <w:sz w:val="20"/>
          <w:lang w:eastAsia="es-CR"/>
        </w:rPr>
        <w:t>Subproceso de Estadística, Dirección de Planificación.</w:t>
      </w:r>
    </w:p>
    <w:p w14:paraId="5731E591" w14:textId="485E9DDE" w:rsidR="005046C5" w:rsidRPr="00033E65" w:rsidRDefault="00554C4E" w:rsidP="00951D3E">
      <w:pPr>
        <w:pStyle w:val="Ttulo3"/>
      </w:pPr>
      <w:bookmarkStart w:id="157" w:name="_Toc37670469"/>
      <w:bookmarkStart w:id="158" w:name="_Toc132639526"/>
      <w:r>
        <w:t>4</w:t>
      </w:r>
      <w:r w:rsidR="000D6CD3" w:rsidRPr="00033E65">
        <w:t xml:space="preserve">.3. </w:t>
      </w:r>
      <w:r w:rsidR="005046C5" w:rsidRPr="00033E65">
        <w:t>Personas juzgadoras especialistas para conciliaciones y ejecuciones</w:t>
      </w:r>
      <w:bookmarkEnd w:id="157"/>
      <w:bookmarkEnd w:id="158"/>
    </w:p>
    <w:p w14:paraId="3040D7E0" w14:textId="77777777" w:rsidR="005046C5" w:rsidRPr="00033E65" w:rsidRDefault="005046C5" w:rsidP="005046C5">
      <w:pPr>
        <w:rPr>
          <w:szCs w:val="22"/>
        </w:rPr>
      </w:pPr>
      <w:r w:rsidRPr="00033E65">
        <w:rPr>
          <w:szCs w:val="22"/>
        </w:rPr>
        <w:t>Los artículos 9 y 13 del proyecto incorporan las figuras de conciliadores y ejecutores para atender la jurisdicción agraria en forma prioritaria, así como apoyar en otras funciones según lo permitan las cargas de trabajo. Además, se prevé que las funciones de ejecución se realicen de forma itinerante, según se observa:</w:t>
      </w:r>
    </w:p>
    <w:p w14:paraId="42A66AF1" w14:textId="77777777" w:rsidR="005046C5" w:rsidRPr="00033E65" w:rsidRDefault="005046C5" w:rsidP="005046C5">
      <w:pPr>
        <w:ind w:left="540" w:right="541"/>
        <w:rPr>
          <w:rFonts w:cs="Arial-BoldMT"/>
          <w:b/>
          <w:bCs/>
          <w:i/>
          <w:szCs w:val="22"/>
        </w:rPr>
      </w:pPr>
      <w:r w:rsidRPr="00033E65">
        <w:rPr>
          <w:rFonts w:cs="Arial-BoldMT"/>
          <w:b/>
          <w:bCs/>
          <w:i/>
          <w:szCs w:val="22"/>
        </w:rPr>
        <w:t>ARTÍCULO 9.- Órganos jurisdiccionales</w:t>
      </w:r>
    </w:p>
    <w:p w14:paraId="05616CBB" w14:textId="23318A38" w:rsidR="005046C5" w:rsidRPr="00033E65" w:rsidRDefault="005046C5" w:rsidP="005046C5">
      <w:pPr>
        <w:ind w:left="540" w:right="541"/>
        <w:rPr>
          <w:i/>
          <w:szCs w:val="22"/>
        </w:rPr>
      </w:pPr>
      <w:r w:rsidRPr="00033E65">
        <w:rPr>
          <w:rFonts w:cs="ArialMT"/>
          <w:i/>
          <w:szCs w:val="22"/>
        </w:rPr>
        <w:t>“…La jurisdicción agraria estará a cargo de los juzgados y los tribunales agrarios, integrados por las personas juzgadoras especializadas y por la Sala Primera de la Corte Suprema de Justicia. Además, se contará con un equipo especializado de personas juzgadoras especialistas en materia agraria, a cargo de conciliaciones y de ejecución, sin perjuicio de que por las cargas de trabajo asuman funciones de las demás personas juzgadoras para lograr una gestión más eficiente…</w:t>
      </w:r>
      <w:r w:rsidRPr="00033E65">
        <w:rPr>
          <w:i/>
          <w:szCs w:val="22"/>
        </w:rPr>
        <w:t>”</w:t>
      </w:r>
      <w:r w:rsidR="00D00451" w:rsidRPr="00033E65">
        <w:rPr>
          <w:i/>
          <w:szCs w:val="22"/>
        </w:rPr>
        <w:t>.</w:t>
      </w:r>
    </w:p>
    <w:p w14:paraId="40C45F68" w14:textId="77777777" w:rsidR="00D00451" w:rsidRPr="00033E65" w:rsidRDefault="00D00451" w:rsidP="005046C5">
      <w:pPr>
        <w:ind w:right="541"/>
        <w:rPr>
          <w:szCs w:val="22"/>
        </w:rPr>
      </w:pPr>
    </w:p>
    <w:p w14:paraId="0594F8DC" w14:textId="3E904C1A" w:rsidR="005046C5" w:rsidRPr="00033E65" w:rsidRDefault="005046C5" w:rsidP="005046C5">
      <w:pPr>
        <w:ind w:right="541"/>
        <w:rPr>
          <w:szCs w:val="22"/>
        </w:rPr>
      </w:pPr>
      <w:r w:rsidRPr="00033E65">
        <w:rPr>
          <w:szCs w:val="22"/>
        </w:rPr>
        <w:lastRenderedPageBreak/>
        <w:t>Al respecto es importante indicar que estas funciones se mantienen en los puestos ya existentes de Juezas y Jueces agrarias, quienes logran dar soporte a la entrada de asuntos nuevos, así como a las conciliaciones y ejecuciones, por lo que el criterio de la Dirección de Planificación es mantener las funciones actuales con la misma cantidad de plazas, en el tanto y cuando la carga de trabajo así lo permita.</w:t>
      </w:r>
    </w:p>
    <w:p w14:paraId="60FCDE2D" w14:textId="3C19D662" w:rsidR="00D00451" w:rsidRPr="005E63FE" w:rsidRDefault="005046C5" w:rsidP="005046C5">
      <w:pPr>
        <w:ind w:right="541"/>
        <w:rPr>
          <w:szCs w:val="22"/>
        </w:rPr>
      </w:pPr>
      <w:r w:rsidRPr="00033E65">
        <w:rPr>
          <w:szCs w:val="22"/>
        </w:rPr>
        <w:t xml:space="preserve">En caso de ser necesario, según el criterio de la Comisión del Proyecto de Modernización de la Jurisdicción Agraria, emitido en el 2018 como respuesta al oficio 767-PLA-2018 del 6 de julio de 2018, la atención especializada que se menciona en la Ley recaerá en las dos plazas de personas juzgadoras supernumerarias Agrarias que pertenecen al Centro de Apoyo, Coordinación y Mejoramiento de la Función Jurisdiccional. </w:t>
      </w:r>
    </w:p>
    <w:p w14:paraId="27F5C84A" w14:textId="488CEA14" w:rsidR="005046C5" w:rsidRPr="00033E65" w:rsidRDefault="005046C5" w:rsidP="005046C5">
      <w:pPr>
        <w:ind w:right="541"/>
        <w:rPr>
          <w:rFonts w:cs="ArialMT"/>
          <w:i/>
          <w:szCs w:val="22"/>
        </w:rPr>
      </w:pPr>
      <w:r w:rsidRPr="00033E65">
        <w:rPr>
          <w:rFonts w:cs="Arial-BoldMT"/>
          <w:b/>
          <w:bCs/>
          <w:i/>
          <w:szCs w:val="22"/>
        </w:rPr>
        <w:t>ARTÍCULO 13.- Funciones de las personas juzgadoras Agrarias a cargo de la ejecución</w:t>
      </w:r>
    </w:p>
    <w:p w14:paraId="1B1177FB" w14:textId="77777777" w:rsidR="005046C5" w:rsidRPr="00033E65" w:rsidRDefault="005046C5" w:rsidP="005046C5">
      <w:pPr>
        <w:ind w:left="540" w:right="541"/>
        <w:rPr>
          <w:rFonts w:cs="ArialMT"/>
          <w:i/>
          <w:szCs w:val="22"/>
        </w:rPr>
      </w:pPr>
      <w:r w:rsidRPr="00033E65">
        <w:rPr>
          <w:rFonts w:cs="ArialMT"/>
          <w:i/>
          <w:szCs w:val="22"/>
        </w:rPr>
        <w:t>“…Las personas juzgadoras agrarias, a cargo de la ejecución, ejecutarán las sentencias y demás resoluciones que, conforme a la ley, deban tramitarse por medio del proceso de ejecución; además, los procesos monitorios, de ejecución hipotecaria y prendaria.</w:t>
      </w:r>
    </w:p>
    <w:p w14:paraId="08349B66" w14:textId="77777777" w:rsidR="005046C5" w:rsidRPr="00033E65" w:rsidRDefault="005046C5" w:rsidP="005046C5">
      <w:pPr>
        <w:ind w:left="540" w:right="541"/>
        <w:rPr>
          <w:i/>
          <w:szCs w:val="22"/>
        </w:rPr>
      </w:pPr>
      <w:r w:rsidRPr="00033E65">
        <w:rPr>
          <w:rFonts w:cs="ArialMT"/>
          <w:i/>
          <w:szCs w:val="22"/>
        </w:rPr>
        <w:t>Deberán asumir otras funciones, incluso aquellas asignadas a las personas juzgadoras decisoras, cuando la organización del despacho lo requiera. De ser necesario serán itinerantes, abarcando la competencia territorial de dos o más tribunales agrarios…”</w:t>
      </w:r>
    </w:p>
    <w:p w14:paraId="653A48E8" w14:textId="77777777" w:rsidR="005046C5" w:rsidRPr="00033E65" w:rsidRDefault="005046C5" w:rsidP="005046C5">
      <w:pPr>
        <w:ind w:left="540" w:right="541"/>
        <w:rPr>
          <w:rFonts w:cs="Arial-BoldMT"/>
          <w:b/>
          <w:bCs/>
          <w:i/>
          <w:szCs w:val="22"/>
        </w:rPr>
      </w:pPr>
      <w:r w:rsidRPr="00033E65">
        <w:rPr>
          <w:rFonts w:cs="Arial-BoldMT"/>
          <w:b/>
          <w:bCs/>
          <w:i/>
          <w:szCs w:val="22"/>
        </w:rPr>
        <w:t>ARTÍCULO 186- Conciliación en audiencias</w:t>
      </w:r>
    </w:p>
    <w:p w14:paraId="080BD69C" w14:textId="5FE4472D" w:rsidR="005046C5" w:rsidRPr="00033E65" w:rsidRDefault="005046C5" w:rsidP="005046C5">
      <w:pPr>
        <w:ind w:left="540" w:right="541"/>
        <w:rPr>
          <w:rFonts w:cs="ArialMT"/>
          <w:i/>
          <w:szCs w:val="22"/>
        </w:rPr>
      </w:pPr>
      <w:r w:rsidRPr="00033E65">
        <w:rPr>
          <w:rFonts w:cs="ArialMT"/>
          <w:i/>
          <w:szCs w:val="22"/>
        </w:rPr>
        <w:t>“…La conciliación, en cualquier audiencia, será puesta en práctica por las personas juzgadoras agrarias, salvo que exista la posibilidad de que se apersone en el acto una persona especializada en conciliación agraria. Los tribunales informarán a las partes de su derecho a conciliar, para que lo gestionen con antelación a la programación de las audiencias…”</w:t>
      </w:r>
      <w:r w:rsidR="00D00451" w:rsidRPr="00033E65">
        <w:rPr>
          <w:rFonts w:cs="ArialMT"/>
          <w:i/>
          <w:szCs w:val="22"/>
        </w:rPr>
        <w:t>.</w:t>
      </w:r>
    </w:p>
    <w:p w14:paraId="4934C87B" w14:textId="77777777" w:rsidR="005046C5" w:rsidRPr="00033E65" w:rsidRDefault="005046C5" w:rsidP="005046C5">
      <w:pPr>
        <w:rPr>
          <w:szCs w:val="22"/>
        </w:rPr>
      </w:pPr>
      <w:r w:rsidRPr="00033E65">
        <w:rPr>
          <w:szCs w:val="22"/>
        </w:rPr>
        <w:t xml:space="preserve">Asimismo, el Transitorio II establece un plazo de seis meses, a partir de la entrada en vigencia del Código Procesal Agrario, para designar un equipo de personas juzgadoras conciliadoras especialistas en Derecho Agrario y Ambiental. </w:t>
      </w:r>
    </w:p>
    <w:p w14:paraId="08FBFE2A" w14:textId="77777777" w:rsidR="005046C5" w:rsidRPr="00033E65" w:rsidRDefault="005046C5" w:rsidP="005046C5">
      <w:pPr>
        <w:rPr>
          <w:szCs w:val="22"/>
        </w:rPr>
      </w:pPr>
      <w:r w:rsidRPr="00033E65">
        <w:rPr>
          <w:szCs w:val="22"/>
        </w:rPr>
        <w:t>Se debe de indicar que estas funciones se mantienen en los puestos ya existentes de Jueces y Juezas Agrarias por lo que no es necesaria la creación de más plazas para estas funciones específicas,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w:t>
      </w:r>
    </w:p>
    <w:p w14:paraId="46523ED0" w14:textId="40484561" w:rsidR="005046C5" w:rsidRPr="00033E65" w:rsidRDefault="005046C5" w:rsidP="005046C5">
      <w:pPr>
        <w:rPr>
          <w:szCs w:val="22"/>
        </w:rPr>
      </w:pPr>
      <w:r w:rsidRPr="00033E65">
        <w:rPr>
          <w:szCs w:val="22"/>
        </w:rPr>
        <w:t xml:space="preserve">En consecuencia, de lo mencionado y al inicio del Proyecto de la Implementación de la Reforma Procesal Agraria, durante la primera sesión de seguimiento de dicho proyecto, en la minuta 01-2019 del 15 de enero del 2019 </w:t>
      </w:r>
      <w:r w:rsidRPr="00033E65">
        <w:rPr>
          <w:i/>
          <w:iCs/>
          <w:szCs w:val="22"/>
        </w:rPr>
        <w:t xml:space="preserve">(ver anexo </w:t>
      </w:r>
      <w:r w:rsidR="001718A0" w:rsidRPr="00033E65">
        <w:rPr>
          <w:i/>
          <w:iCs/>
          <w:szCs w:val="22"/>
        </w:rPr>
        <w:t>2</w:t>
      </w:r>
      <w:r w:rsidRPr="00033E65">
        <w:rPr>
          <w:i/>
          <w:iCs/>
          <w:szCs w:val="22"/>
        </w:rPr>
        <w:t xml:space="preserve"> Minuta de primera sesión de seguimiento Implementación Reforma Procesal Agraria)</w:t>
      </w:r>
      <w:r w:rsidRPr="00033E65">
        <w:rPr>
          <w:szCs w:val="22"/>
        </w:rPr>
        <w:t xml:space="preserve">, se acordó:  </w:t>
      </w:r>
    </w:p>
    <w:p w14:paraId="5C409C2F" w14:textId="77777777" w:rsidR="005046C5" w:rsidRPr="00033E65" w:rsidRDefault="005046C5" w:rsidP="005046C5">
      <w:pPr>
        <w:ind w:left="567" w:right="474"/>
        <w:rPr>
          <w:i/>
          <w:iCs/>
          <w:szCs w:val="22"/>
        </w:rPr>
      </w:pPr>
      <w:r w:rsidRPr="00033E65">
        <w:rPr>
          <w:i/>
          <w:iCs/>
          <w:szCs w:val="22"/>
        </w:rPr>
        <w:t>“…</w:t>
      </w:r>
    </w:p>
    <w:p w14:paraId="35B4A31F" w14:textId="538B7997" w:rsidR="005046C5" w:rsidRPr="00033E65" w:rsidRDefault="005046C5" w:rsidP="005046C5">
      <w:pPr>
        <w:ind w:left="567" w:right="474"/>
        <w:rPr>
          <w:i/>
          <w:iCs/>
          <w:szCs w:val="22"/>
        </w:rPr>
      </w:pPr>
      <w:r w:rsidRPr="00033E65">
        <w:rPr>
          <w:i/>
          <w:iCs/>
          <w:szCs w:val="22"/>
        </w:rPr>
        <w:lastRenderedPageBreak/>
        <w:t>2) La conciliación previa facultativa a la que hace alusión el Código, aspecto que estima de especial relevancia pues se puede constituir en un plan piloto para que causas sean atendidas por el Centro y la Defensa Pública. Solicita se coordinen acciones de capacitación en Agrario a personas juzgadoras conciliadoras y en conciliación a las personas juzgadoras Agrarias para un mayor aprovechamiento. Informa la jueza Damaris Vargas Vásquez que ya se tiene coordinada una fecha de reunión con la señora Kattia Escalante de la Escuela Judicial para iniciar la coordinación de la citada capacitación, por lo que se realizarán las articulaciones respectivas con el Centro de Conciliación y la Defensa Pública…”</w:t>
      </w:r>
      <w:r w:rsidR="00D00451" w:rsidRPr="00033E65">
        <w:rPr>
          <w:i/>
          <w:iCs/>
          <w:szCs w:val="22"/>
        </w:rPr>
        <w:t>.</w:t>
      </w:r>
    </w:p>
    <w:p w14:paraId="25E42438" w14:textId="233672A6" w:rsidR="00D00451" w:rsidRPr="00033E65" w:rsidRDefault="005046C5" w:rsidP="00D00451">
      <w:pPr>
        <w:rPr>
          <w:szCs w:val="22"/>
        </w:rPr>
      </w:pPr>
      <w:r w:rsidRPr="00033E65">
        <w:rPr>
          <w:szCs w:val="22"/>
        </w:rPr>
        <w:t xml:space="preserve">En cumplimiento de lo anterior, entre las acciones que se realizan en el tema, según lo informado por la </w:t>
      </w:r>
      <w:r w:rsidR="001D1871" w:rsidRPr="00033E65">
        <w:rPr>
          <w:szCs w:val="22"/>
        </w:rPr>
        <w:t>Máster</w:t>
      </w:r>
      <w:r w:rsidR="00192D68" w:rsidRPr="00033E65">
        <w:rPr>
          <w:szCs w:val="22"/>
        </w:rPr>
        <w:t xml:space="preserve"> </w:t>
      </w:r>
      <w:r w:rsidRPr="00033E65">
        <w:rPr>
          <w:szCs w:val="22"/>
        </w:rPr>
        <w:t xml:space="preserve">Damaris Vargas Vásquez, </w:t>
      </w:r>
      <w:r w:rsidR="006D7EF1" w:rsidRPr="00033E65">
        <w:rPr>
          <w:szCs w:val="22"/>
        </w:rPr>
        <w:t xml:space="preserve">en su momento </w:t>
      </w:r>
      <w:r w:rsidRPr="00033E65">
        <w:rPr>
          <w:szCs w:val="22"/>
        </w:rPr>
        <w:t xml:space="preserve">Gestora en materia Agraria, mediante correo electrónico del 21 de marzo del </w:t>
      </w:r>
      <w:r w:rsidR="001D1871" w:rsidRPr="00033E65">
        <w:rPr>
          <w:szCs w:val="22"/>
        </w:rPr>
        <w:t xml:space="preserve">2019 </w:t>
      </w:r>
      <w:r w:rsidR="001D1871" w:rsidRPr="00033E65" w:rsidDel="006E2F0D">
        <w:rPr>
          <w:szCs w:val="22"/>
        </w:rPr>
        <w:t>ver</w:t>
      </w:r>
      <w:r w:rsidRPr="00033E65">
        <w:rPr>
          <w:i/>
          <w:iCs/>
          <w:szCs w:val="22"/>
        </w:rPr>
        <w:t xml:space="preserve"> anexo </w:t>
      </w:r>
      <w:r w:rsidR="00FB2F8E" w:rsidRPr="00033E65">
        <w:rPr>
          <w:i/>
          <w:iCs/>
          <w:szCs w:val="22"/>
        </w:rPr>
        <w:t>3</w:t>
      </w:r>
      <w:r w:rsidRPr="00033E65">
        <w:rPr>
          <w:i/>
          <w:iCs/>
          <w:szCs w:val="22"/>
        </w:rPr>
        <w:t xml:space="preserve"> Respuesta a información Solicitada a la Licda. Vargas respecto Capacitación Conciliación)</w:t>
      </w:r>
      <w:r w:rsidRPr="00033E65">
        <w:rPr>
          <w:szCs w:val="22"/>
        </w:rPr>
        <w:t xml:space="preserve"> se </w:t>
      </w:r>
      <w:r w:rsidR="00762F59" w:rsidRPr="00033E65">
        <w:rPr>
          <w:szCs w:val="22"/>
        </w:rPr>
        <w:t>menciona:</w:t>
      </w:r>
    </w:p>
    <w:p w14:paraId="1E33261E" w14:textId="77777777" w:rsidR="00D00451" w:rsidRPr="00033E65" w:rsidRDefault="00D00451" w:rsidP="00D00451">
      <w:pPr>
        <w:rPr>
          <w:szCs w:val="22"/>
        </w:rPr>
      </w:pPr>
    </w:p>
    <w:p w14:paraId="2D039A08" w14:textId="3C4E2D78" w:rsidR="005046C5" w:rsidRPr="00033E65" w:rsidRDefault="005046C5" w:rsidP="00D00451">
      <w:pPr>
        <w:rPr>
          <w:szCs w:val="22"/>
        </w:rPr>
      </w:pPr>
      <w:r w:rsidRPr="00033E65">
        <w:rPr>
          <w:szCs w:val="22"/>
        </w:rPr>
        <w:t xml:space="preserve">Se trabaja en el diseño de capacitaciones en Derecho Agrario y en el nuevo Código Procesal Agrario para personas jugadoras conciliadoras en conjunto con la Escuela Judicial: </w:t>
      </w:r>
    </w:p>
    <w:p w14:paraId="7E390170" w14:textId="28447785" w:rsidR="005046C5" w:rsidRPr="00033E65" w:rsidRDefault="005046C5" w:rsidP="00845510">
      <w:pPr>
        <w:pStyle w:val="Prrafodelista"/>
        <w:numPr>
          <w:ilvl w:val="1"/>
          <w:numId w:val="10"/>
        </w:numPr>
        <w:rPr>
          <w:szCs w:val="22"/>
        </w:rPr>
      </w:pPr>
      <w:r w:rsidRPr="00033E65">
        <w:rPr>
          <w:szCs w:val="22"/>
        </w:rPr>
        <w:t xml:space="preserve">Ejemplo de ello </w:t>
      </w:r>
      <w:r w:rsidR="00045598" w:rsidRPr="00033E65">
        <w:rPr>
          <w:szCs w:val="22"/>
        </w:rPr>
        <w:t>fue la</w:t>
      </w:r>
      <w:r w:rsidRPr="00033E65">
        <w:rPr>
          <w:szCs w:val="22"/>
        </w:rPr>
        <w:t xml:space="preserve"> participación de las Jueza y Jueces conciliadores es el taller de Medidas Cautelares en los procesos Agrarios. </w:t>
      </w:r>
      <w:r w:rsidRPr="00033E65">
        <w:rPr>
          <w:i/>
          <w:iCs/>
          <w:szCs w:val="22"/>
        </w:rPr>
        <w:t xml:space="preserve">(ver anexo </w:t>
      </w:r>
      <w:r w:rsidR="00FB2F8E" w:rsidRPr="00033E65">
        <w:rPr>
          <w:i/>
          <w:iCs/>
          <w:szCs w:val="22"/>
        </w:rPr>
        <w:t>4</w:t>
      </w:r>
      <w:r w:rsidRPr="00033E65">
        <w:rPr>
          <w:i/>
          <w:iCs/>
          <w:szCs w:val="22"/>
        </w:rPr>
        <w:t xml:space="preserve"> Participación de personas juzgadoras conciliadoras en el Taller Medidas Cautelares)</w:t>
      </w:r>
    </w:p>
    <w:p w14:paraId="0EFE6691" w14:textId="77777777" w:rsidR="00D00451" w:rsidRPr="00033E65" w:rsidRDefault="00D00451" w:rsidP="00D00451">
      <w:pPr>
        <w:pStyle w:val="Prrafodelista"/>
        <w:ind w:left="1440"/>
        <w:rPr>
          <w:szCs w:val="22"/>
        </w:rPr>
      </w:pPr>
    </w:p>
    <w:p w14:paraId="6BF93267" w14:textId="50B1904E" w:rsidR="005046C5" w:rsidRPr="00033E65" w:rsidRDefault="005046C5" w:rsidP="00845510">
      <w:pPr>
        <w:pStyle w:val="Prrafodelista"/>
        <w:numPr>
          <w:ilvl w:val="0"/>
          <w:numId w:val="9"/>
        </w:numPr>
        <w:rPr>
          <w:szCs w:val="22"/>
        </w:rPr>
      </w:pPr>
      <w:r w:rsidRPr="00033E65">
        <w:rPr>
          <w:szCs w:val="22"/>
        </w:rPr>
        <w:t>Capacitación en Conciliación a las personas juzgadoras agrarias:</w:t>
      </w:r>
    </w:p>
    <w:p w14:paraId="46F9F30D" w14:textId="77777777" w:rsidR="00D00451" w:rsidRPr="00033E65" w:rsidRDefault="00D00451" w:rsidP="00D00451">
      <w:pPr>
        <w:pStyle w:val="Prrafodelista"/>
        <w:rPr>
          <w:szCs w:val="22"/>
        </w:rPr>
      </w:pPr>
    </w:p>
    <w:p w14:paraId="520F780D" w14:textId="73146A1F" w:rsidR="005046C5" w:rsidRPr="00033E65" w:rsidRDefault="005046C5" w:rsidP="00845510">
      <w:pPr>
        <w:pStyle w:val="Prrafodelista"/>
        <w:numPr>
          <w:ilvl w:val="1"/>
          <w:numId w:val="10"/>
        </w:numPr>
        <w:rPr>
          <w:szCs w:val="22"/>
        </w:rPr>
      </w:pPr>
      <w:r w:rsidRPr="00033E65">
        <w:rPr>
          <w:szCs w:val="22"/>
        </w:rPr>
        <w:t>Se coordinó con la Escuela Judicial la inclusión de 20 cupos para personas juzgadoras Agrarias y 5 espacios para personas defensoras públicas Agrarias en el Subprograma Resolución Alterna de Conflictos del Programa de Especialización, el cual se ejecut</w:t>
      </w:r>
      <w:r w:rsidR="00D00451" w:rsidRPr="00033E65">
        <w:rPr>
          <w:szCs w:val="22"/>
        </w:rPr>
        <w:t>ó</w:t>
      </w:r>
      <w:r w:rsidRPr="00033E65">
        <w:rPr>
          <w:szCs w:val="22"/>
        </w:rPr>
        <w:t xml:space="preserve"> en el 2019. </w:t>
      </w:r>
    </w:p>
    <w:p w14:paraId="367D7473" w14:textId="68DEE304" w:rsidR="005046C5" w:rsidRPr="00033E65" w:rsidRDefault="005046C5" w:rsidP="005046C5">
      <w:pPr>
        <w:rPr>
          <w:szCs w:val="22"/>
        </w:rPr>
      </w:pPr>
      <w:r w:rsidRPr="00033E65">
        <w:rPr>
          <w:szCs w:val="22"/>
        </w:rPr>
        <w:t>Adicionalmente, 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 donde se contemplan los siguientes despachos</w:t>
      </w:r>
      <w:r w:rsidR="00D00451" w:rsidRPr="00033E65">
        <w:rPr>
          <w:szCs w:val="22"/>
        </w:rPr>
        <w:t>:</w:t>
      </w:r>
    </w:p>
    <w:p w14:paraId="49B7F814" w14:textId="77777777" w:rsidR="00D00451" w:rsidRPr="00033E65" w:rsidRDefault="00D00451" w:rsidP="005046C5">
      <w:pPr>
        <w:rPr>
          <w:szCs w:val="22"/>
        </w:rPr>
      </w:pPr>
    </w:p>
    <w:p w14:paraId="05E91E92" w14:textId="77777777" w:rsidR="005046C5" w:rsidRPr="00033E65" w:rsidRDefault="005046C5" w:rsidP="005046C5">
      <w:pPr>
        <w:rPr>
          <w:szCs w:val="22"/>
        </w:rPr>
      </w:pPr>
      <w:r w:rsidRPr="00033E65">
        <w:rPr>
          <w:szCs w:val="22"/>
        </w:rPr>
        <w:t>1.</w:t>
      </w:r>
      <w:r w:rsidRPr="00033E65">
        <w:rPr>
          <w:szCs w:val="22"/>
        </w:rPr>
        <w:tab/>
        <w:t>Juzgado Agrario del Primer Circuito Judicial de la Zona Atlántica (Limón)</w:t>
      </w:r>
    </w:p>
    <w:p w14:paraId="5B4682C1" w14:textId="77777777" w:rsidR="005046C5" w:rsidRPr="00033E65" w:rsidRDefault="005046C5" w:rsidP="005046C5">
      <w:pPr>
        <w:rPr>
          <w:szCs w:val="22"/>
        </w:rPr>
      </w:pPr>
      <w:r w:rsidRPr="00033E65">
        <w:rPr>
          <w:szCs w:val="22"/>
        </w:rPr>
        <w:t>2.</w:t>
      </w:r>
      <w:r w:rsidRPr="00033E65">
        <w:rPr>
          <w:szCs w:val="22"/>
        </w:rPr>
        <w:tab/>
        <w:t>Juzgado Agrario del Segundo Circuito Judicial de la Zona Atlántica (Guápiles)</w:t>
      </w:r>
    </w:p>
    <w:p w14:paraId="3B131D66" w14:textId="77777777" w:rsidR="005046C5" w:rsidRPr="00033E65" w:rsidRDefault="005046C5" w:rsidP="005046C5">
      <w:pPr>
        <w:rPr>
          <w:szCs w:val="22"/>
        </w:rPr>
      </w:pPr>
      <w:r w:rsidRPr="00033E65">
        <w:rPr>
          <w:szCs w:val="22"/>
        </w:rPr>
        <w:t>3.</w:t>
      </w:r>
      <w:r w:rsidRPr="00033E65">
        <w:rPr>
          <w:szCs w:val="22"/>
        </w:rPr>
        <w:tab/>
        <w:t>Juzgado Agrario del I Circuito Judicial de la Zona Sur (Pérez Zeledón)</w:t>
      </w:r>
    </w:p>
    <w:p w14:paraId="675BB27C" w14:textId="77777777" w:rsidR="005046C5" w:rsidRPr="00033E65" w:rsidRDefault="005046C5" w:rsidP="005046C5">
      <w:pPr>
        <w:rPr>
          <w:szCs w:val="22"/>
        </w:rPr>
      </w:pPr>
      <w:r w:rsidRPr="00033E65">
        <w:rPr>
          <w:szCs w:val="22"/>
        </w:rPr>
        <w:t>4.</w:t>
      </w:r>
      <w:r w:rsidRPr="00033E65">
        <w:rPr>
          <w:szCs w:val="22"/>
        </w:rPr>
        <w:tab/>
        <w:t>Juzgado Agrario del Segundo Circuito Judicial de Guanacaste (Santa Cruz)</w:t>
      </w:r>
    </w:p>
    <w:p w14:paraId="43DB367C" w14:textId="77777777" w:rsidR="005046C5" w:rsidRPr="00033E65" w:rsidRDefault="005046C5" w:rsidP="005046C5">
      <w:pPr>
        <w:rPr>
          <w:szCs w:val="22"/>
        </w:rPr>
      </w:pPr>
      <w:r w:rsidRPr="00033E65">
        <w:rPr>
          <w:szCs w:val="22"/>
        </w:rPr>
        <w:t>5.</w:t>
      </w:r>
      <w:r w:rsidRPr="00033E65">
        <w:rPr>
          <w:szCs w:val="22"/>
        </w:rPr>
        <w:tab/>
        <w:t>Juzgado Agrario de Puntarenas</w:t>
      </w:r>
    </w:p>
    <w:p w14:paraId="4BC5FB0D" w14:textId="31B4F920" w:rsidR="005046C5" w:rsidRPr="00033E65" w:rsidRDefault="005046C5" w:rsidP="005046C5">
      <w:pPr>
        <w:rPr>
          <w:szCs w:val="22"/>
        </w:rPr>
      </w:pPr>
      <w:r w:rsidRPr="00033E65">
        <w:rPr>
          <w:szCs w:val="22"/>
        </w:rPr>
        <w:t>6.</w:t>
      </w:r>
      <w:r w:rsidRPr="00033E65">
        <w:rPr>
          <w:szCs w:val="22"/>
        </w:rPr>
        <w:tab/>
        <w:t>Juzgado Agrario del Primer Circuito Judicial de Guanacaste (Liberia)</w:t>
      </w:r>
    </w:p>
    <w:p w14:paraId="06C5FCA5" w14:textId="77777777" w:rsidR="00D00451" w:rsidRPr="00033E65" w:rsidRDefault="00D00451" w:rsidP="005046C5">
      <w:pPr>
        <w:rPr>
          <w:szCs w:val="22"/>
        </w:rPr>
      </w:pPr>
    </w:p>
    <w:p w14:paraId="053D10EC" w14:textId="77777777" w:rsidR="005046C5" w:rsidRPr="00033E65" w:rsidRDefault="005046C5" w:rsidP="005046C5">
      <w:pPr>
        <w:rPr>
          <w:szCs w:val="22"/>
        </w:rPr>
      </w:pPr>
      <w:r w:rsidRPr="00033E65">
        <w:rPr>
          <w:szCs w:val="22"/>
        </w:rPr>
        <w:lastRenderedPageBreak/>
        <w:t>En este caso este despacho estaría sujeto a conseguir una sede pues el Centro de Conciliación no tiene sede en Liberia, aunado a ello, en este momento el Juzgado Agrario de Liberia está siendo abordado por dos personas juzgadoras y una adicional por una coyuntura de medida cautelar laboral, sin que se tenga certeza la fecha límite de conclusión de ese apoyo.</w:t>
      </w:r>
    </w:p>
    <w:p w14:paraId="12BED021" w14:textId="747A0C5F" w:rsidR="005046C5" w:rsidRPr="00033E65" w:rsidRDefault="005046C5" w:rsidP="005046C5">
      <w:pPr>
        <w:rPr>
          <w:szCs w:val="22"/>
        </w:rPr>
      </w:pPr>
      <w:r w:rsidRPr="00033E65">
        <w:rPr>
          <w:szCs w:val="22"/>
        </w:rPr>
        <w:t xml:space="preserve">Sin embargo, en correo remitido por el M.Sc. Gustavo Céspedes, Abogado Gestor de Capacitación de la Escuela Judicial, el 25 de marzo del 2019, indica: </w:t>
      </w:r>
    </w:p>
    <w:p w14:paraId="3D4343C7" w14:textId="151F097C" w:rsidR="005046C5" w:rsidRPr="00033E65" w:rsidRDefault="005046C5" w:rsidP="005046C5">
      <w:pPr>
        <w:ind w:left="426" w:right="474"/>
        <w:rPr>
          <w:i/>
          <w:iCs/>
          <w:szCs w:val="22"/>
        </w:rPr>
      </w:pPr>
      <w:r w:rsidRPr="00033E65">
        <w:rPr>
          <w:i/>
          <w:iCs/>
          <w:szCs w:val="22"/>
        </w:rPr>
        <w:t xml:space="preserve">“…analizando el interés mostrado por las personas juzgadoras de los despachos destinatarios, el mismo resulta exiguo, motivo por el cuál con instrucciones de la Dirección de la Escuela Judicial, no se considera oportuno, en esta oportunidad, ejecutar las capacitaciones aludidas…”(ver anexo </w:t>
      </w:r>
      <w:r w:rsidR="00762F59" w:rsidRPr="00033E65">
        <w:rPr>
          <w:i/>
          <w:iCs/>
          <w:szCs w:val="22"/>
        </w:rPr>
        <w:t>5</w:t>
      </w:r>
      <w:r w:rsidRPr="00033E65">
        <w:rPr>
          <w:i/>
          <w:iCs/>
          <w:szCs w:val="22"/>
        </w:rPr>
        <w:t xml:space="preserve"> Sobre cursos de CONCILIACIÓN EN MATERIA AGRARIA)</w:t>
      </w:r>
      <w:r w:rsidR="00D00451" w:rsidRPr="00033E65">
        <w:rPr>
          <w:i/>
          <w:iCs/>
          <w:szCs w:val="22"/>
        </w:rPr>
        <w:t>”.</w:t>
      </w:r>
    </w:p>
    <w:p w14:paraId="588BEF33" w14:textId="6B6E0263" w:rsidR="005046C5" w:rsidRPr="00033E65" w:rsidRDefault="005046C5" w:rsidP="005046C5">
      <w:pPr>
        <w:rPr>
          <w:i/>
          <w:iCs/>
          <w:szCs w:val="22"/>
        </w:rPr>
      </w:pPr>
      <w:r w:rsidRPr="00033E65">
        <w:rPr>
          <w:szCs w:val="22"/>
        </w:rPr>
        <w:t xml:space="preserve">El plan piloto se </w:t>
      </w:r>
      <w:r w:rsidR="00045598" w:rsidRPr="00033E65">
        <w:rPr>
          <w:szCs w:val="22"/>
        </w:rPr>
        <w:t>ejecutó en</w:t>
      </w:r>
      <w:r w:rsidRPr="00033E65">
        <w:rPr>
          <w:szCs w:val="22"/>
        </w:rPr>
        <w:t xml:space="preserve"> </w:t>
      </w:r>
      <w:r w:rsidR="0068526D" w:rsidRPr="00033E65">
        <w:rPr>
          <w:szCs w:val="22"/>
        </w:rPr>
        <w:t xml:space="preserve">el </w:t>
      </w:r>
      <w:r w:rsidRPr="00033E65">
        <w:rPr>
          <w:szCs w:val="22"/>
        </w:rPr>
        <w:t xml:space="preserve">2019, específicamente del 16 de mayo al 16 de noviembre de 2019, durante siete meses. La información anterior corresponde a lo indicado por la </w:t>
      </w:r>
      <w:r w:rsidR="001D1871" w:rsidRPr="00033E65">
        <w:rPr>
          <w:szCs w:val="22"/>
        </w:rPr>
        <w:t>Máster</w:t>
      </w:r>
      <w:r w:rsidR="00045598" w:rsidRPr="00033E65">
        <w:rPr>
          <w:szCs w:val="22"/>
        </w:rPr>
        <w:t xml:space="preserve"> </w:t>
      </w:r>
      <w:r w:rsidRPr="00033E65">
        <w:rPr>
          <w:szCs w:val="22"/>
        </w:rPr>
        <w:t xml:space="preserve">Vargas, por medio de correo electrónico del 21 de marzo del 2019. </w:t>
      </w:r>
      <w:r w:rsidRPr="00033E65">
        <w:rPr>
          <w:i/>
          <w:iCs/>
          <w:szCs w:val="22"/>
        </w:rPr>
        <w:t xml:space="preserve">(ver anexo </w:t>
      </w:r>
      <w:r w:rsidR="00762F59" w:rsidRPr="00033E65">
        <w:rPr>
          <w:i/>
          <w:iCs/>
          <w:szCs w:val="22"/>
        </w:rPr>
        <w:t>6</w:t>
      </w:r>
      <w:r w:rsidRPr="00033E65">
        <w:rPr>
          <w:i/>
          <w:iCs/>
          <w:szCs w:val="22"/>
        </w:rPr>
        <w:t xml:space="preserve"> Plan Piloto Colaboración del Centro de Conciliación del Poder Judicial para el proyecto de implementación del Código Procesal Agrario).</w:t>
      </w:r>
    </w:p>
    <w:p w14:paraId="0B64636D" w14:textId="6B392481" w:rsidR="005046C5" w:rsidRPr="00033E65" w:rsidRDefault="005046C5" w:rsidP="005046C5">
      <w:pPr>
        <w:rPr>
          <w:szCs w:val="22"/>
        </w:rPr>
      </w:pPr>
      <w:r w:rsidRPr="00033E65">
        <w:rPr>
          <w:szCs w:val="22"/>
        </w:rPr>
        <w:t>Aunado a lo anterior, se realiza la consulta vía correo electrónico a la Licda. María Jesús Ugalde Zamora, Jueza Conciliadora del Centro de Conciliación y a la Licda. Carmen Cerdas Cisneros, Coordinadora del Centro de Conciliación, sobre la ejecución del Plan Piloto y las capacitaciones recibidas según lo indicado en líneas anteriores, quienes manifiestan</w:t>
      </w:r>
      <w:r w:rsidR="008660E1" w:rsidRPr="00033E65">
        <w:rPr>
          <w:szCs w:val="22"/>
        </w:rPr>
        <w:t xml:space="preserve">: </w:t>
      </w:r>
      <w:r w:rsidRPr="00033E65">
        <w:rPr>
          <w:i/>
          <w:iCs/>
          <w:szCs w:val="22"/>
        </w:rPr>
        <w:t>(ver anexo 1</w:t>
      </w:r>
      <w:r w:rsidR="00762F59" w:rsidRPr="00033E65">
        <w:rPr>
          <w:i/>
          <w:iCs/>
          <w:szCs w:val="22"/>
        </w:rPr>
        <w:t>2</w:t>
      </w:r>
      <w:r w:rsidRPr="00033E65">
        <w:rPr>
          <w:i/>
          <w:iCs/>
          <w:szCs w:val="22"/>
        </w:rPr>
        <w:t>. Consulta Plan Piloto Conciliación en materia Agraria)</w:t>
      </w:r>
      <w:r w:rsidRPr="00033E65">
        <w:rPr>
          <w:szCs w:val="22"/>
        </w:rPr>
        <w:t xml:space="preserve">: </w:t>
      </w:r>
    </w:p>
    <w:p w14:paraId="254715A8" w14:textId="77777777" w:rsidR="005046C5" w:rsidRPr="00033E65" w:rsidRDefault="005046C5" w:rsidP="005046C5">
      <w:pPr>
        <w:ind w:left="567" w:right="474"/>
        <w:rPr>
          <w:i/>
          <w:iCs/>
          <w:szCs w:val="22"/>
        </w:rPr>
      </w:pPr>
      <w:r w:rsidRPr="00033E65">
        <w:rPr>
          <w:i/>
          <w:iCs/>
          <w:szCs w:val="22"/>
        </w:rPr>
        <w:t>“…le informo sobre los resultados en la implementación del "PLAN PILOTO: AUDIENCIAS TEMPRANAS DE CONCILIACIÓN EN MATERIA AGRARIA", en el que intervienen cinco de las sedes y los respectivos Juzgados Agrarios.</w:t>
      </w:r>
    </w:p>
    <w:p w14:paraId="33168554" w14:textId="77777777" w:rsidR="005046C5" w:rsidRPr="00033E65" w:rsidRDefault="005046C5" w:rsidP="005046C5">
      <w:pPr>
        <w:ind w:left="567" w:right="474"/>
        <w:rPr>
          <w:i/>
          <w:iCs/>
          <w:szCs w:val="22"/>
        </w:rPr>
      </w:pPr>
      <w:r w:rsidRPr="00033E65">
        <w:rPr>
          <w:i/>
          <w:iCs/>
          <w:szCs w:val="22"/>
        </w:rPr>
        <w:t xml:space="preserve">I.- Producto de la coordinación con el Proyecto de Implementación del Código Procesal Agrario, como parte de la capacitación profesional y especialización que se requiere para la atención de la materia agraria, las personas juzgadoras del Centro de Conciliación del Poder Judicial tuvimos la oportunidad de participar en las siguientes actividades realizadas en la Escuela Judicial: </w:t>
      </w:r>
    </w:p>
    <w:p w14:paraId="0205C34F" w14:textId="77777777" w:rsidR="005046C5" w:rsidRPr="00033E65" w:rsidRDefault="005046C5" w:rsidP="005046C5">
      <w:pPr>
        <w:ind w:left="567" w:right="474"/>
        <w:rPr>
          <w:i/>
          <w:iCs/>
          <w:szCs w:val="22"/>
        </w:rPr>
      </w:pPr>
      <w:r w:rsidRPr="00033E65">
        <w:rPr>
          <w:i/>
          <w:iCs/>
          <w:szCs w:val="22"/>
        </w:rPr>
        <w:t>·</w:t>
      </w:r>
      <w:r w:rsidRPr="00033E65">
        <w:rPr>
          <w:i/>
          <w:iCs/>
          <w:szCs w:val="22"/>
        </w:rPr>
        <w:tab/>
        <w:t>"Taller de medidas cautelares en materia agraria", el día 08 de marzo del 2019.</w:t>
      </w:r>
    </w:p>
    <w:p w14:paraId="32224E5E" w14:textId="071B61EB" w:rsidR="005046C5" w:rsidRPr="00033E65" w:rsidRDefault="005046C5" w:rsidP="005046C5">
      <w:pPr>
        <w:ind w:left="567" w:right="474"/>
        <w:rPr>
          <w:i/>
          <w:iCs/>
          <w:szCs w:val="22"/>
        </w:rPr>
      </w:pPr>
      <w:r w:rsidRPr="00033E65">
        <w:rPr>
          <w:i/>
          <w:iCs/>
          <w:szCs w:val="22"/>
        </w:rPr>
        <w:t>·</w:t>
      </w:r>
      <w:r w:rsidRPr="00033E65">
        <w:rPr>
          <w:i/>
          <w:iCs/>
          <w:szCs w:val="22"/>
        </w:rPr>
        <w:tab/>
        <w:t xml:space="preserve">"Conversatorio: Aspectos Generales de la Materia Agraria y Criterios de Admisibilidad", impartido por la </w:t>
      </w:r>
      <w:r w:rsidR="005E63FE" w:rsidRPr="00033E65">
        <w:rPr>
          <w:i/>
          <w:iCs/>
          <w:szCs w:val="22"/>
        </w:rPr>
        <w:t>Máster</w:t>
      </w:r>
      <w:r w:rsidRPr="00033E65">
        <w:rPr>
          <w:i/>
          <w:iCs/>
          <w:szCs w:val="22"/>
        </w:rPr>
        <w:t xml:space="preserve"> Damaris Vargas </w:t>
      </w:r>
      <w:r w:rsidR="005E63FE" w:rsidRPr="00033E65">
        <w:rPr>
          <w:i/>
          <w:iCs/>
          <w:szCs w:val="22"/>
        </w:rPr>
        <w:t>Vásquez</w:t>
      </w:r>
      <w:r w:rsidRPr="00033E65">
        <w:rPr>
          <w:i/>
          <w:iCs/>
          <w:szCs w:val="22"/>
        </w:rPr>
        <w:t xml:space="preserve"> y el señor Frank Álvarez representante de la Defensa Pública, el día 03 de mayo de 2019.</w:t>
      </w:r>
    </w:p>
    <w:p w14:paraId="69254D7B" w14:textId="77777777" w:rsidR="005046C5" w:rsidRPr="00033E65" w:rsidRDefault="005046C5" w:rsidP="005046C5">
      <w:pPr>
        <w:ind w:left="567" w:right="474"/>
        <w:rPr>
          <w:i/>
          <w:iCs/>
          <w:szCs w:val="22"/>
        </w:rPr>
      </w:pPr>
      <w:r w:rsidRPr="00033E65">
        <w:rPr>
          <w:i/>
          <w:iCs/>
          <w:szCs w:val="22"/>
        </w:rPr>
        <w:t>·</w:t>
      </w:r>
      <w:r w:rsidRPr="00033E65">
        <w:rPr>
          <w:i/>
          <w:iCs/>
          <w:szCs w:val="22"/>
        </w:rPr>
        <w:tab/>
        <w:t>"Taller Competencia Jurisdiccional Agraria", el día 10 de mayo de 2019.</w:t>
      </w:r>
    </w:p>
    <w:p w14:paraId="571A56A7" w14:textId="77777777" w:rsidR="005046C5" w:rsidRPr="00033E65" w:rsidRDefault="005046C5" w:rsidP="005046C5">
      <w:pPr>
        <w:ind w:left="567" w:right="474"/>
        <w:rPr>
          <w:i/>
          <w:iCs/>
          <w:szCs w:val="22"/>
        </w:rPr>
      </w:pPr>
      <w:r w:rsidRPr="00033E65">
        <w:rPr>
          <w:i/>
          <w:iCs/>
          <w:szCs w:val="22"/>
        </w:rPr>
        <w:t xml:space="preserve">Se crea enlace con la jurisdicción agraria representada por la señora Damaris Vargas Vásquez, la defensa pública representada por el señor Frank Álvarez y con la Escuela Judicial para que las personas juzgadoras del CCPJ seamos partícipes de las diferentes capacitaciones, talleres, conversatorios, especializaciones, etc. que se impartan en la materia agraria. </w:t>
      </w:r>
    </w:p>
    <w:p w14:paraId="287B1EE2" w14:textId="77777777" w:rsidR="005046C5" w:rsidRPr="00033E65" w:rsidRDefault="005046C5" w:rsidP="005046C5">
      <w:pPr>
        <w:ind w:left="567" w:right="474"/>
        <w:rPr>
          <w:i/>
          <w:iCs/>
          <w:szCs w:val="22"/>
        </w:rPr>
      </w:pPr>
      <w:r w:rsidRPr="00033E65">
        <w:rPr>
          <w:i/>
          <w:iCs/>
          <w:szCs w:val="22"/>
        </w:rPr>
        <w:lastRenderedPageBreak/>
        <w:t xml:space="preserve">II.- El Plan piloto se desarrolló por etapas, siendo la última de ellas la tercera, que se fijó del 16 de mayo al 16 de noviembre de 2019, período de seis meses en los que los Juzgados Agrarios de mayor circulante en el país (según información brindada por la Coordinación del Proyecto de Implementación del CPA) debían remitir expedientes a las sedes del CCPJ para la celebración de las audiencias de conciliación. Se observa que la cantidad de expedientes remitidos a las sedes en general es muy baja (entre cero y cuarenta y uno expedientes), en el caso específico de los Juzgados Agrarios de Puntarenas y de Pococí no remitieron expedientes, lo que incide en los bajos resultados o impidió del todo la implementación del Plan en esos circuitos. </w:t>
      </w:r>
    </w:p>
    <w:p w14:paraId="165C9241" w14:textId="41E387B6" w:rsidR="005046C5" w:rsidRPr="00033E65" w:rsidRDefault="005046C5" w:rsidP="005046C5">
      <w:pPr>
        <w:ind w:left="567" w:right="474"/>
        <w:rPr>
          <w:i/>
          <w:iCs/>
          <w:szCs w:val="22"/>
        </w:rPr>
      </w:pPr>
      <w:r w:rsidRPr="00033E65">
        <w:rPr>
          <w:i/>
          <w:iCs/>
          <w:szCs w:val="22"/>
        </w:rPr>
        <w:t xml:space="preserve">A esta fecha las personas juzgadoras conciliadoras de cada sede del CCPJ vinculada al Plan Piloto tienen la responsabilidad de entregar un informe de labores y resultados que será presentado por la Coordinación del Centro de Conciliación del Poder Judicial a la Coordinación del Proyecto de Implementación del Código Procesal Agrario, </w:t>
      </w:r>
      <w:r w:rsidR="005E63FE" w:rsidRPr="00033E65">
        <w:rPr>
          <w:i/>
          <w:iCs/>
          <w:szCs w:val="22"/>
        </w:rPr>
        <w:t>Máster</w:t>
      </w:r>
      <w:r w:rsidRPr="00033E65">
        <w:rPr>
          <w:i/>
          <w:iCs/>
          <w:szCs w:val="22"/>
        </w:rPr>
        <w:t xml:space="preserve"> Damaris Vargas Vásquez, quien posteriormente lo hará de conocimiento del Consejo Superior.  </w:t>
      </w:r>
    </w:p>
    <w:p w14:paraId="6F549528" w14:textId="50DA3080" w:rsidR="00F32EB7" w:rsidRPr="00033E65" w:rsidRDefault="005046C5" w:rsidP="005E63FE">
      <w:pPr>
        <w:ind w:left="567" w:right="474"/>
        <w:rPr>
          <w:i/>
          <w:iCs/>
          <w:szCs w:val="22"/>
        </w:rPr>
      </w:pPr>
      <w:r w:rsidRPr="00033E65">
        <w:rPr>
          <w:i/>
          <w:iCs/>
          <w:szCs w:val="22"/>
        </w:rPr>
        <w:t>Para facilitar la comunicación, la suscrita mediante correo electrónico enviado el día 11 de noviembre de 2019 (del cual su persona fue copiada), solicité información y resultados obtenidos a las sedes del CCPJ vinculadas con el Plan, con fecha de corte al 31-10-2019, no se tuvo respuesta de todas las sedes…”</w:t>
      </w:r>
      <w:r w:rsidR="008660E1" w:rsidRPr="00033E65">
        <w:rPr>
          <w:i/>
          <w:iCs/>
          <w:szCs w:val="22"/>
        </w:rPr>
        <w:t>.</w:t>
      </w:r>
    </w:p>
    <w:p w14:paraId="54415AFF" w14:textId="5D83811B" w:rsidR="00610AB0" w:rsidRPr="00033E65" w:rsidRDefault="00F32EB7" w:rsidP="005E63FE">
      <w:pPr>
        <w:ind w:left="567" w:right="474"/>
        <w:rPr>
          <w:iCs/>
          <w:szCs w:val="22"/>
        </w:rPr>
      </w:pPr>
      <w:r w:rsidRPr="00033E65">
        <w:rPr>
          <w:szCs w:val="22"/>
        </w:rPr>
        <w:t xml:space="preserve">Se revisó las estadísticas del </w:t>
      </w:r>
      <w:r w:rsidRPr="00033E65">
        <w:rPr>
          <w:iCs/>
          <w:szCs w:val="22"/>
        </w:rPr>
        <w:t>202</w:t>
      </w:r>
      <w:r w:rsidR="005932B3" w:rsidRPr="00033E65">
        <w:rPr>
          <w:iCs/>
          <w:szCs w:val="22"/>
        </w:rPr>
        <w:t>2</w:t>
      </w:r>
      <w:r w:rsidRPr="00033E65">
        <w:rPr>
          <w:szCs w:val="22"/>
        </w:rPr>
        <w:t xml:space="preserve"> y se logró visualizar que las sentencias homologatorias representan menos de un </w:t>
      </w:r>
      <w:r w:rsidR="00A214CC" w:rsidRPr="00033E65">
        <w:rPr>
          <w:iCs/>
          <w:szCs w:val="22"/>
        </w:rPr>
        <w:t>5</w:t>
      </w:r>
      <w:r w:rsidRPr="00033E65">
        <w:rPr>
          <w:szCs w:val="22"/>
        </w:rPr>
        <w:t>% de los asuntos terminados a nivel nacional de los Juzgado Agrarios, por lo tanto, es fundamental el apoyo que pueda brindar el Centro de Conciliaciones e</w:t>
      </w:r>
      <w:r w:rsidR="00BC5B33" w:rsidRPr="00033E65">
        <w:rPr>
          <w:szCs w:val="22"/>
        </w:rPr>
        <w:t>n</w:t>
      </w:r>
      <w:r w:rsidRPr="00033E65">
        <w:rPr>
          <w:szCs w:val="22"/>
        </w:rPr>
        <w:t xml:space="preserve"> dar soporte a la materia.</w:t>
      </w:r>
    </w:p>
    <w:p w14:paraId="530DEC92" w14:textId="77777777" w:rsidR="00610AB0" w:rsidRPr="00033E65" w:rsidRDefault="00610AB0" w:rsidP="00610AB0">
      <w:pPr>
        <w:rPr>
          <w:rFonts w:cs="ArialMT"/>
          <w:szCs w:val="22"/>
        </w:rPr>
      </w:pPr>
    </w:p>
    <w:p w14:paraId="583986FD" w14:textId="3BC7C3B9" w:rsidR="00610AB0" w:rsidRPr="00033E65" w:rsidRDefault="00610AB0" w:rsidP="00EF7F18">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Cuadro 7</w:t>
      </w:r>
    </w:p>
    <w:p w14:paraId="31FC6B9B" w14:textId="625E39C9" w:rsidR="00610AB0" w:rsidRPr="00033E65" w:rsidRDefault="00610AB0" w:rsidP="00EF7F18">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Detalle cantidad de sentencias homologatorias por despacho de materia Agraria</w:t>
      </w:r>
    </w:p>
    <w:p w14:paraId="1EA24A6D" w14:textId="3BB8EF07" w:rsidR="00610AB0" w:rsidRPr="00033E65" w:rsidRDefault="00610AB0" w:rsidP="00EF7F18">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2022</w:t>
      </w:r>
    </w:p>
    <w:tbl>
      <w:tblPr>
        <w:tblW w:w="5377" w:type="pct"/>
        <w:jc w:val="center"/>
        <w:tblCellMar>
          <w:left w:w="70" w:type="dxa"/>
          <w:right w:w="70" w:type="dxa"/>
        </w:tblCellMar>
        <w:tblLook w:val="04A0" w:firstRow="1" w:lastRow="0" w:firstColumn="1" w:lastColumn="0" w:noHBand="0" w:noVBand="1"/>
      </w:tblPr>
      <w:tblGrid>
        <w:gridCol w:w="7083"/>
        <w:gridCol w:w="2411"/>
      </w:tblGrid>
      <w:tr w:rsidR="008959BC" w:rsidRPr="00033E65" w14:paraId="00356C7B" w14:textId="77777777" w:rsidTr="005A097A">
        <w:trPr>
          <w:trHeight w:val="840"/>
          <w:jc w:val="center"/>
        </w:trPr>
        <w:tc>
          <w:tcPr>
            <w:tcW w:w="3730" w:type="pct"/>
            <w:tcBorders>
              <w:top w:val="single" w:sz="4" w:space="0" w:color="auto"/>
              <w:left w:val="single" w:sz="4" w:space="0" w:color="auto"/>
              <w:bottom w:val="single" w:sz="4" w:space="0" w:color="auto"/>
              <w:right w:val="single" w:sz="4" w:space="0" w:color="auto"/>
            </w:tcBorders>
            <w:shd w:val="clear" w:color="000000" w:fill="2F75B5"/>
            <w:vAlign w:val="center"/>
            <w:hideMark/>
          </w:tcPr>
          <w:p w14:paraId="1247FD29" w14:textId="1F09EE31" w:rsidR="008959BC" w:rsidRPr="00033E65" w:rsidRDefault="008959BC" w:rsidP="008959BC">
            <w:pPr>
              <w:spacing w:before="0" w:after="0"/>
              <w:jc w:val="center"/>
              <w:rPr>
                <w:rFonts w:cs="Calibri"/>
                <w:b/>
                <w:bCs/>
                <w:color w:val="FFFFFF"/>
                <w:szCs w:val="22"/>
                <w:lang w:eastAsia="es-CR"/>
              </w:rPr>
            </w:pPr>
            <w:r w:rsidRPr="00033E65">
              <w:rPr>
                <w:rFonts w:cs="Calibri"/>
                <w:b/>
                <w:bCs/>
                <w:color w:val="FFFFFF"/>
                <w:szCs w:val="22"/>
                <w:lang w:eastAsia="es-CR"/>
              </w:rPr>
              <w:t>CIRCUITO JUDICIAL Y OFICINA</w:t>
            </w:r>
            <w:r w:rsidR="00D403D6" w:rsidRPr="00033E65">
              <w:rPr>
                <w:rFonts w:cs="Calibri"/>
                <w:b/>
                <w:bCs/>
                <w:color w:val="FFFFFF"/>
                <w:szCs w:val="22"/>
                <w:lang w:eastAsia="es-CR"/>
              </w:rPr>
              <w:t xml:space="preserve"> </w:t>
            </w:r>
          </w:p>
        </w:tc>
        <w:tc>
          <w:tcPr>
            <w:tcW w:w="1270" w:type="pct"/>
            <w:tcBorders>
              <w:top w:val="single" w:sz="4" w:space="0" w:color="auto"/>
              <w:left w:val="nil"/>
              <w:bottom w:val="single" w:sz="4" w:space="0" w:color="auto"/>
              <w:right w:val="single" w:sz="4" w:space="0" w:color="auto"/>
            </w:tcBorders>
            <w:shd w:val="clear" w:color="000000" w:fill="2F75B5"/>
            <w:vAlign w:val="center"/>
            <w:hideMark/>
          </w:tcPr>
          <w:p w14:paraId="6EC7C09E" w14:textId="77777777" w:rsidR="008959BC" w:rsidRPr="00033E65" w:rsidRDefault="008959BC" w:rsidP="008959BC">
            <w:pPr>
              <w:spacing w:before="0" w:after="0"/>
              <w:jc w:val="center"/>
              <w:rPr>
                <w:rFonts w:cs="Calibri"/>
                <w:b/>
                <w:bCs/>
                <w:color w:val="FFFFFF"/>
                <w:szCs w:val="22"/>
                <w:lang w:eastAsia="es-CR"/>
              </w:rPr>
            </w:pPr>
            <w:r w:rsidRPr="00033E65">
              <w:rPr>
                <w:rFonts w:cs="Calibri"/>
                <w:b/>
                <w:bCs/>
                <w:color w:val="FFFFFF"/>
                <w:szCs w:val="22"/>
                <w:lang w:eastAsia="es-CR"/>
              </w:rPr>
              <w:t>SENTENCIA HOMOLOGATORIA</w:t>
            </w:r>
          </w:p>
        </w:tc>
      </w:tr>
      <w:tr w:rsidR="008959BC" w:rsidRPr="00033E65" w14:paraId="714E0AF3"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C8F608F"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4378186E"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 </w:t>
            </w:r>
          </w:p>
        </w:tc>
      </w:tr>
      <w:tr w:rsidR="008959BC" w:rsidRPr="00033E65" w14:paraId="061EC0E7"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A07080F" w14:textId="77777777" w:rsidR="008959BC" w:rsidRPr="00033E65" w:rsidRDefault="008959BC" w:rsidP="008959BC">
            <w:pPr>
              <w:spacing w:before="0" w:after="0"/>
              <w:jc w:val="center"/>
              <w:rPr>
                <w:rFonts w:cs="Calibri"/>
                <w:b/>
                <w:bCs/>
                <w:sz w:val="24"/>
                <w:szCs w:val="24"/>
                <w:lang w:eastAsia="es-CR"/>
              </w:rPr>
            </w:pPr>
            <w:r w:rsidRPr="00033E65">
              <w:rPr>
                <w:rFonts w:cs="Calibri"/>
                <w:b/>
                <w:bCs/>
                <w:sz w:val="24"/>
                <w:szCs w:val="24"/>
                <w:lang w:eastAsia="es-CR"/>
              </w:rPr>
              <w:t>TOTAL</w:t>
            </w:r>
          </w:p>
        </w:tc>
        <w:tc>
          <w:tcPr>
            <w:tcW w:w="1270" w:type="pct"/>
            <w:tcBorders>
              <w:top w:val="nil"/>
              <w:left w:val="single" w:sz="4" w:space="0" w:color="auto"/>
              <w:bottom w:val="nil"/>
              <w:right w:val="single" w:sz="4" w:space="0" w:color="auto"/>
            </w:tcBorders>
            <w:shd w:val="clear" w:color="000000" w:fill="FFFFFF"/>
            <w:vAlign w:val="center"/>
            <w:hideMark/>
          </w:tcPr>
          <w:p w14:paraId="5ACD03FC" w14:textId="5694D274" w:rsidR="008959BC" w:rsidRPr="00033E65" w:rsidRDefault="009C4161" w:rsidP="008959BC">
            <w:pPr>
              <w:spacing w:before="0" w:after="0"/>
              <w:jc w:val="center"/>
              <w:rPr>
                <w:rFonts w:cs="Calibri"/>
                <w:b/>
                <w:bCs/>
                <w:sz w:val="24"/>
                <w:szCs w:val="24"/>
                <w:lang w:eastAsia="es-CR"/>
              </w:rPr>
            </w:pPr>
            <w:r w:rsidRPr="00033E65">
              <w:rPr>
                <w:rFonts w:cs="Calibri"/>
                <w:b/>
                <w:bCs/>
                <w:sz w:val="24"/>
                <w:szCs w:val="24"/>
                <w:lang w:eastAsia="es-CR"/>
              </w:rPr>
              <w:t>164</w:t>
            </w:r>
          </w:p>
        </w:tc>
      </w:tr>
      <w:tr w:rsidR="008959BC" w:rsidRPr="00033E65" w14:paraId="6A156B6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64DB160A" w14:textId="77777777" w:rsidR="008959BC" w:rsidRPr="00033E65" w:rsidRDefault="008959BC" w:rsidP="008959BC">
            <w:pPr>
              <w:spacing w:before="0" w:after="0"/>
              <w:jc w:val="center"/>
              <w:rPr>
                <w:rFonts w:cs="Calibri"/>
                <w:b/>
                <w:bCs/>
                <w:sz w:val="24"/>
                <w:szCs w:val="24"/>
                <w:lang w:eastAsia="es-CR"/>
              </w:rPr>
            </w:pPr>
            <w:r w:rsidRPr="00033E65">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43E95958"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 </w:t>
            </w:r>
          </w:p>
        </w:tc>
      </w:tr>
      <w:tr w:rsidR="008959BC" w:rsidRPr="00033E65" w14:paraId="1D5B6FB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2C5E725"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II Circuito Judicial de San José</w:t>
            </w:r>
          </w:p>
        </w:tc>
        <w:tc>
          <w:tcPr>
            <w:tcW w:w="1270" w:type="pct"/>
            <w:tcBorders>
              <w:top w:val="nil"/>
              <w:left w:val="single" w:sz="4" w:space="0" w:color="auto"/>
              <w:bottom w:val="nil"/>
              <w:right w:val="single" w:sz="4" w:space="0" w:color="auto"/>
            </w:tcBorders>
            <w:shd w:val="clear" w:color="000000" w:fill="FFFFFF"/>
            <w:vAlign w:val="center"/>
            <w:hideMark/>
          </w:tcPr>
          <w:p w14:paraId="0D414E09" w14:textId="7AB4E2CB" w:rsidR="008959BC" w:rsidRPr="00033E65" w:rsidRDefault="001F33AE" w:rsidP="008959BC">
            <w:pPr>
              <w:spacing w:before="0" w:after="0"/>
              <w:jc w:val="center"/>
              <w:rPr>
                <w:rFonts w:cs="Calibri"/>
                <w:b/>
                <w:bCs/>
                <w:sz w:val="24"/>
                <w:szCs w:val="24"/>
                <w:lang w:eastAsia="es-CR"/>
              </w:rPr>
            </w:pPr>
            <w:r w:rsidRPr="00033E65">
              <w:rPr>
                <w:rFonts w:cs="Calibri"/>
                <w:b/>
                <w:bCs/>
                <w:sz w:val="24"/>
                <w:szCs w:val="24"/>
                <w:lang w:eastAsia="es-CR"/>
              </w:rPr>
              <w:t>0</w:t>
            </w:r>
          </w:p>
        </w:tc>
      </w:tr>
      <w:tr w:rsidR="008959BC" w:rsidRPr="00033E65" w14:paraId="601A9468"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7D954AF"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Agrario II Circ. Jud. San José</w:t>
            </w:r>
          </w:p>
        </w:tc>
        <w:tc>
          <w:tcPr>
            <w:tcW w:w="1270" w:type="pct"/>
            <w:tcBorders>
              <w:top w:val="nil"/>
              <w:left w:val="single" w:sz="4" w:space="0" w:color="auto"/>
              <w:bottom w:val="nil"/>
              <w:right w:val="single" w:sz="4" w:space="0" w:color="auto"/>
            </w:tcBorders>
            <w:shd w:val="clear" w:color="000000" w:fill="FFFFFF"/>
            <w:vAlign w:val="center"/>
            <w:hideMark/>
          </w:tcPr>
          <w:p w14:paraId="4792A6EC" w14:textId="3121DB12" w:rsidR="008959BC" w:rsidRPr="00033E65" w:rsidRDefault="001F33AE" w:rsidP="008959BC">
            <w:pPr>
              <w:spacing w:before="0" w:after="0"/>
              <w:jc w:val="center"/>
              <w:rPr>
                <w:rFonts w:cs="Calibri"/>
                <w:sz w:val="24"/>
                <w:szCs w:val="24"/>
                <w:lang w:eastAsia="es-CR"/>
              </w:rPr>
            </w:pPr>
            <w:r w:rsidRPr="00033E65">
              <w:rPr>
                <w:rFonts w:cs="Calibri"/>
                <w:sz w:val="24"/>
                <w:szCs w:val="24"/>
                <w:lang w:eastAsia="es-CR"/>
              </w:rPr>
              <w:t>0</w:t>
            </w:r>
          </w:p>
        </w:tc>
      </w:tr>
      <w:tr w:rsidR="008959BC" w:rsidRPr="00033E65" w14:paraId="783BB7B1"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6BC5077"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3167DAA5"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 </w:t>
            </w:r>
          </w:p>
        </w:tc>
      </w:tr>
      <w:tr w:rsidR="008959BC" w:rsidRPr="00033E65" w14:paraId="59AF3220"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602F3A5"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I Circuito Judicial de Alajuela</w:t>
            </w:r>
          </w:p>
        </w:tc>
        <w:tc>
          <w:tcPr>
            <w:tcW w:w="1270" w:type="pct"/>
            <w:tcBorders>
              <w:top w:val="nil"/>
              <w:left w:val="single" w:sz="4" w:space="0" w:color="auto"/>
              <w:bottom w:val="nil"/>
              <w:right w:val="single" w:sz="4" w:space="0" w:color="auto"/>
            </w:tcBorders>
            <w:shd w:val="clear" w:color="000000" w:fill="FFFFFF"/>
            <w:vAlign w:val="center"/>
            <w:hideMark/>
          </w:tcPr>
          <w:p w14:paraId="5A49BB9C" w14:textId="5E921812" w:rsidR="008959BC" w:rsidRPr="00033E65" w:rsidRDefault="004E6419" w:rsidP="008959BC">
            <w:pPr>
              <w:spacing w:before="0" w:after="0"/>
              <w:jc w:val="center"/>
              <w:rPr>
                <w:rFonts w:cs="Calibri"/>
                <w:b/>
                <w:bCs/>
                <w:sz w:val="24"/>
                <w:szCs w:val="24"/>
                <w:lang w:eastAsia="es-CR"/>
              </w:rPr>
            </w:pPr>
            <w:r w:rsidRPr="00033E65">
              <w:rPr>
                <w:rFonts w:cs="Calibri"/>
                <w:b/>
                <w:bCs/>
                <w:sz w:val="24"/>
                <w:szCs w:val="24"/>
                <w:lang w:eastAsia="es-CR"/>
              </w:rPr>
              <w:t>0</w:t>
            </w:r>
          </w:p>
        </w:tc>
      </w:tr>
      <w:tr w:rsidR="008959BC" w:rsidRPr="00033E65" w14:paraId="45486A7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122E964"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Agrario I Circ. Jud. Alajuela</w:t>
            </w:r>
          </w:p>
        </w:tc>
        <w:tc>
          <w:tcPr>
            <w:tcW w:w="1270" w:type="pct"/>
            <w:tcBorders>
              <w:top w:val="nil"/>
              <w:left w:val="single" w:sz="4" w:space="0" w:color="auto"/>
              <w:bottom w:val="nil"/>
              <w:right w:val="single" w:sz="4" w:space="0" w:color="auto"/>
            </w:tcBorders>
            <w:shd w:val="clear" w:color="000000" w:fill="FFFFFF"/>
            <w:vAlign w:val="center"/>
            <w:hideMark/>
          </w:tcPr>
          <w:p w14:paraId="23606D28" w14:textId="6CC66220" w:rsidR="008959BC" w:rsidRPr="00033E65" w:rsidRDefault="004E6419" w:rsidP="008959BC">
            <w:pPr>
              <w:spacing w:before="0" w:after="0"/>
              <w:jc w:val="center"/>
              <w:rPr>
                <w:rFonts w:cs="Calibri"/>
                <w:sz w:val="24"/>
                <w:szCs w:val="24"/>
                <w:lang w:eastAsia="es-CR"/>
              </w:rPr>
            </w:pPr>
            <w:r w:rsidRPr="00033E65">
              <w:rPr>
                <w:rFonts w:cs="Calibri"/>
                <w:sz w:val="24"/>
                <w:szCs w:val="24"/>
                <w:lang w:eastAsia="es-CR"/>
              </w:rPr>
              <w:t>0</w:t>
            </w:r>
          </w:p>
        </w:tc>
      </w:tr>
      <w:tr w:rsidR="008959BC" w:rsidRPr="00033E65" w14:paraId="7F09D7CC"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629A716"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06FBA587"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 </w:t>
            </w:r>
          </w:p>
        </w:tc>
      </w:tr>
      <w:tr w:rsidR="008959BC" w:rsidRPr="00033E65" w14:paraId="2AEC1C2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7A8B04F"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II Circuito Judicial de Alajuela</w:t>
            </w:r>
          </w:p>
        </w:tc>
        <w:tc>
          <w:tcPr>
            <w:tcW w:w="1270" w:type="pct"/>
            <w:tcBorders>
              <w:top w:val="nil"/>
              <w:left w:val="single" w:sz="4" w:space="0" w:color="auto"/>
              <w:bottom w:val="nil"/>
              <w:right w:val="single" w:sz="4" w:space="0" w:color="auto"/>
            </w:tcBorders>
            <w:shd w:val="clear" w:color="000000" w:fill="FFFFFF"/>
            <w:vAlign w:val="center"/>
            <w:hideMark/>
          </w:tcPr>
          <w:p w14:paraId="5D80A2A2" w14:textId="4D239198" w:rsidR="008959BC" w:rsidRPr="00033E65" w:rsidRDefault="00770EC4" w:rsidP="008959BC">
            <w:pPr>
              <w:spacing w:before="0" w:after="0"/>
              <w:jc w:val="center"/>
              <w:rPr>
                <w:rFonts w:cs="Calibri"/>
                <w:b/>
                <w:bCs/>
                <w:sz w:val="24"/>
                <w:szCs w:val="24"/>
                <w:lang w:eastAsia="es-CR"/>
              </w:rPr>
            </w:pPr>
            <w:r w:rsidRPr="00033E65">
              <w:rPr>
                <w:rFonts w:cs="Calibri"/>
                <w:b/>
                <w:bCs/>
                <w:sz w:val="24"/>
                <w:szCs w:val="24"/>
                <w:lang w:eastAsia="es-CR"/>
              </w:rPr>
              <w:t>6</w:t>
            </w:r>
            <w:r w:rsidR="008959BC" w:rsidRPr="00033E65">
              <w:rPr>
                <w:rFonts w:cs="Calibri"/>
                <w:b/>
                <w:bCs/>
                <w:sz w:val="24"/>
                <w:szCs w:val="24"/>
                <w:lang w:eastAsia="es-CR"/>
              </w:rPr>
              <w:t>0</w:t>
            </w:r>
          </w:p>
        </w:tc>
      </w:tr>
      <w:tr w:rsidR="008959BC" w:rsidRPr="00033E65" w14:paraId="36C673B2"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F02102A"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lastRenderedPageBreak/>
              <w:t>Juzgado Agrario II Circ. Jud. Alajuela (San Carlos)</w:t>
            </w:r>
          </w:p>
        </w:tc>
        <w:tc>
          <w:tcPr>
            <w:tcW w:w="1270" w:type="pct"/>
            <w:tcBorders>
              <w:top w:val="nil"/>
              <w:left w:val="single" w:sz="4" w:space="0" w:color="auto"/>
              <w:bottom w:val="nil"/>
              <w:right w:val="single" w:sz="4" w:space="0" w:color="auto"/>
            </w:tcBorders>
            <w:shd w:val="clear" w:color="000000" w:fill="FFFFFF"/>
            <w:vAlign w:val="center"/>
            <w:hideMark/>
          </w:tcPr>
          <w:p w14:paraId="4D32F3F9"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39</w:t>
            </w:r>
          </w:p>
        </w:tc>
      </w:tr>
      <w:tr w:rsidR="008959BC" w:rsidRPr="00033E65" w14:paraId="4BBED8A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6513E24"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Civil y Trabajo II Circ. Jud. Alajuela, sede Upala</w:t>
            </w:r>
          </w:p>
        </w:tc>
        <w:tc>
          <w:tcPr>
            <w:tcW w:w="1270" w:type="pct"/>
            <w:tcBorders>
              <w:top w:val="nil"/>
              <w:left w:val="single" w:sz="4" w:space="0" w:color="auto"/>
              <w:bottom w:val="nil"/>
              <w:right w:val="single" w:sz="4" w:space="0" w:color="auto"/>
            </w:tcBorders>
            <w:shd w:val="clear" w:color="000000" w:fill="FFFFFF"/>
            <w:vAlign w:val="center"/>
            <w:hideMark/>
          </w:tcPr>
          <w:p w14:paraId="25C9DA0D" w14:textId="26AB4636" w:rsidR="008959BC" w:rsidRPr="00033E65" w:rsidRDefault="00233FA7" w:rsidP="008959BC">
            <w:pPr>
              <w:spacing w:before="0" w:after="0"/>
              <w:jc w:val="center"/>
              <w:rPr>
                <w:rFonts w:cs="Calibri"/>
                <w:sz w:val="24"/>
                <w:szCs w:val="24"/>
                <w:lang w:eastAsia="es-CR"/>
              </w:rPr>
            </w:pPr>
            <w:r w:rsidRPr="00033E65">
              <w:rPr>
                <w:rFonts w:cs="Calibri"/>
                <w:sz w:val="24"/>
                <w:szCs w:val="24"/>
                <w:lang w:eastAsia="es-CR"/>
              </w:rPr>
              <w:t>21</w:t>
            </w:r>
          </w:p>
        </w:tc>
      </w:tr>
      <w:tr w:rsidR="008959BC" w:rsidRPr="00033E65" w14:paraId="13A22DE4"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38A2D6C"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16FD6F43"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 </w:t>
            </w:r>
          </w:p>
        </w:tc>
      </w:tr>
      <w:tr w:rsidR="008959BC" w:rsidRPr="00033E65" w14:paraId="7D67665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FC7416B"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III Circuito Judicial de Alajuela</w:t>
            </w:r>
          </w:p>
        </w:tc>
        <w:tc>
          <w:tcPr>
            <w:tcW w:w="1270" w:type="pct"/>
            <w:tcBorders>
              <w:top w:val="nil"/>
              <w:left w:val="single" w:sz="4" w:space="0" w:color="auto"/>
              <w:bottom w:val="nil"/>
              <w:right w:val="single" w:sz="4" w:space="0" w:color="auto"/>
            </w:tcBorders>
            <w:shd w:val="clear" w:color="000000" w:fill="FFFFFF"/>
            <w:vAlign w:val="center"/>
            <w:hideMark/>
          </w:tcPr>
          <w:p w14:paraId="2A258B8D" w14:textId="5D6ABD80" w:rsidR="008959BC" w:rsidRPr="00033E65" w:rsidRDefault="00F96A1B" w:rsidP="008959BC">
            <w:pPr>
              <w:spacing w:before="0" w:after="0"/>
              <w:jc w:val="center"/>
              <w:rPr>
                <w:rFonts w:cs="Calibri"/>
                <w:b/>
                <w:bCs/>
                <w:sz w:val="24"/>
                <w:szCs w:val="24"/>
                <w:lang w:eastAsia="es-CR"/>
              </w:rPr>
            </w:pPr>
            <w:r w:rsidRPr="00033E65">
              <w:rPr>
                <w:rFonts w:cs="Calibri"/>
                <w:b/>
                <w:bCs/>
                <w:sz w:val="24"/>
                <w:szCs w:val="24"/>
                <w:lang w:eastAsia="es-CR"/>
              </w:rPr>
              <w:t>0</w:t>
            </w:r>
          </w:p>
        </w:tc>
      </w:tr>
      <w:tr w:rsidR="008959BC" w:rsidRPr="00033E65" w14:paraId="185B987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2CE8B80"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Agrario III Circ. Jud. Alajuela (San Ramón)</w:t>
            </w:r>
          </w:p>
        </w:tc>
        <w:tc>
          <w:tcPr>
            <w:tcW w:w="1270" w:type="pct"/>
            <w:tcBorders>
              <w:top w:val="nil"/>
              <w:left w:val="single" w:sz="4" w:space="0" w:color="auto"/>
              <w:bottom w:val="nil"/>
              <w:right w:val="single" w:sz="4" w:space="0" w:color="auto"/>
            </w:tcBorders>
            <w:shd w:val="clear" w:color="000000" w:fill="FFFFFF"/>
            <w:vAlign w:val="center"/>
            <w:hideMark/>
          </w:tcPr>
          <w:p w14:paraId="48CA6A44" w14:textId="3FEB5704" w:rsidR="008959BC" w:rsidRPr="00033E65" w:rsidRDefault="00F96A1B" w:rsidP="008959BC">
            <w:pPr>
              <w:spacing w:before="0" w:after="0"/>
              <w:jc w:val="center"/>
              <w:rPr>
                <w:rFonts w:cs="Calibri"/>
                <w:sz w:val="24"/>
                <w:szCs w:val="24"/>
                <w:lang w:eastAsia="es-CR"/>
              </w:rPr>
            </w:pPr>
            <w:r w:rsidRPr="00033E65">
              <w:rPr>
                <w:rFonts w:cs="Calibri"/>
                <w:sz w:val="24"/>
                <w:szCs w:val="24"/>
                <w:lang w:eastAsia="es-CR"/>
              </w:rPr>
              <w:t>0</w:t>
            </w:r>
          </w:p>
        </w:tc>
      </w:tr>
      <w:tr w:rsidR="008959BC" w:rsidRPr="00033E65" w14:paraId="7B2B5EFC"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CF4A49D"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205BC1ED"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 </w:t>
            </w:r>
          </w:p>
        </w:tc>
      </w:tr>
      <w:tr w:rsidR="008959BC" w:rsidRPr="00033E65" w14:paraId="7BB4268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9E7EB19"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Circuito Judicial de Cartago</w:t>
            </w:r>
          </w:p>
        </w:tc>
        <w:tc>
          <w:tcPr>
            <w:tcW w:w="1270" w:type="pct"/>
            <w:tcBorders>
              <w:top w:val="nil"/>
              <w:left w:val="single" w:sz="4" w:space="0" w:color="auto"/>
              <w:bottom w:val="nil"/>
              <w:right w:val="single" w:sz="4" w:space="0" w:color="auto"/>
            </w:tcBorders>
            <w:shd w:val="clear" w:color="000000" w:fill="FFFFFF"/>
            <w:vAlign w:val="center"/>
            <w:hideMark/>
          </w:tcPr>
          <w:p w14:paraId="6132FA2B" w14:textId="352B8987" w:rsidR="008959BC" w:rsidRPr="00033E65" w:rsidRDefault="008959BC" w:rsidP="008959BC">
            <w:pPr>
              <w:spacing w:before="0" w:after="0"/>
              <w:jc w:val="center"/>
              <w:rPr>
                <w:rFonts w:cs="Calibri"/>
                <w:b/>
                <w:bCs/>
                <w:sz w:val="24"/>
                <w:szCs w:val="24"/>
                <w:lang w:eastAsia="es-CR"/>
              </w:rPr>
            </w:pPr>
            <w:r w:rsidRPr="00033E65">
              <w:rPr>
                <w:rFonts w:cs="Calibri"/>
                <w:b/>
                <w:bCs/>
                <w:sz w:val="24"/>
                <w:szCs w:val="24"/>
                <w:lang w:eastAsia="es-CR"/>
              </w:rPr>
              <w:t>3</w:t>
            </w:r>
            <w:r w:rsidR="00557EA2" w:rsidRPr="00033E65">
              <w:rPr>
                <w:rFonts w:cs="Calibri"/>
                <w:b/>
                <w:bCs/>
                <w:sz w:val="24"/>
                <w:szCs w:val="24"/>
                <w:lang w:eastAsia="es-CR"/>
              </w:rPr>
              <w:t>4</w:t>
            </w:r>
          </w:p>
        </w:tc>
      </w:tr>
      <w:tr w:rsidR="008959BC" w:rsidRPr="00033E65" w14:paraId="570CC74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936D9E4"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Agrario Cartago</w:t>
            </w:r>
          </w:p>
        </w:tc>
        <w:tc>
          <w:tcPr>
            <w:tcW w:w="1270" w:type="pct"/>
            <w:tcBorders>
              <w:top w:val="nil"/>
              <w:left w:val="single" w:sz="4" w:space="0" w:color="auto"/>
              <w:bottom w:val="nil"/>
              <w:right w:val="single" w:sz="4" w:space="0" w:color="auto"/>
            </w:tcBorders>
            <w:shd w:val="clear" w:color="000000" w:fill="FFFFFF"/>
            <w:vAlign w:val="center"/>
            <w:hideMark/>
          </w:tcPr>
          <w:p w14:paraId="5851D95E" w14:textId="46DB5F41"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2</w:t>
            </w:r>
            <w:r w:rsidR="00E21D1B" w:rsidRPr="00033E65">
              <w:rPr>
                <w:rFonts w:cs="Calibri"/>
                <w:sz w:val="24"/>
                <w:szCs w:val="24"/>
                <w:lang w:eastAsia="es-CR"/>
              </w:rPr>
              <w:t>0</w:t>
            </w:r>
          </w:p>
        </w:tc>
      </w:tr>
      <w:tr w:rsidR="008959BC" w:rsidRPr="00033E65" w14:paraId="221772D4"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0470B93"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Civil, Trabajo y Agrario Turrialba</w:t>
            </w:r>
          </w:p>
        </w:tc>
        <w:tc>
          <w:tcPr>
            <w:tcW w:w="1270" w:type="pct"/>
            <w:tcBorders>
              <w:top w:val="nil"/>
              <w:left w:val="single" w:sz="4" w:space="0" w:color="auto"/>
              <w:bottom w:val="nil"/>
              <w:right w:val="single" w:sz="4" w:space="0" w:color="auto"/>
            </w:tcBorders>
            <w:shd w:val="clear" w:color="000000" w:fill="FFFFFF"/>
            <w:vAlign w:val="center"/>
            <w:hideMark/>
          </w:tcPr>
          <w:p w14:paraId="6093D321" w14:textId="60112844"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1</w:t>
            </w:r>
            <w:r w:rsidR="00F40796" w:rsidRPr="00033E65">
              <w:rPr>
                <w:rFonts w:cs="Calibri"/>
                <w:sz w:val="24"/>
                <w:szCs w:val="24"/>
                <w:lang w:eastAsia="es-CR"/>
              </w:rPr>
              <w:t>4</w:t>
            </w:r>
          </w:p>
        </w:tc>
      </w:tr>
      <w:tr w:rsidR="008959BC" w:rsidRPr="00033E65" w14:paraId="671419D0"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89D00AF"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3A303954"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 </w:t>
            </w:r>
          </w:p>
        </w:tc>
      </w:tr>
      <w:tr w:rsidR="008959BC" w:rsidRPr="00033E65" w14:paraId="28D9CF27"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92F39A6"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I Circuito Judicial de Guanacaste</w:t>
            </w:r>
          </w:p>
        </w:tc>
        <w:tc>
          <w:tcPr>
            <w:tcW w:w="1270" w:type="pct"/>
            <w:tcBorders>
              <w:top w:val="nil"/>
              <w:left w:val="single" w:sz="4" w:space="0" w:color="auto"/>
              <w:bottom w:val="nil"/>
              <w:right w:val="single" w:sz="4" w:space="0" w:color="auto"/>
            </w:tcBorders>
            <w:shd w:val="clear" w:color="000000" w:fill="FFFFFF"/>
            <w:vAlign w:val="center"/>
            <w:hideMark/>
          </w:tcPr>
          <w:p w14:paraId="73C35D28" w14:textId="16AB94D0" w:rsidR="008959BC" w:rsidRPr="00033E65" w:rsidRDefault="0093731C" w:rsidP="008959BC">
            <w:pPr>
              <w:spacing w:before="0" w:after="0"/>
              <w:jc w:val="center"/>
              <w:rPr>
                <w:rFonts w:cs="Calibri"/>
                <w:b/>
                <w:bCs/>
                <w:sz w:val="24"/>
                <w:szCs w:val="24"/>
                <w:lang w:eastAsia="es-CR"/>
              </w:rPr>
            </w:pPr>
            <w:r w:rsidRPr="00033E65">
              <w:rPr>
                <w:rFonts w:cs="Calibri"/>
                <w:b/>
                <w:bCs/>
                <w:sz w:val="24"/>
                <w:szCs w:val="24"/>
                <w:lang w:eastAsia="es-CR"/>
              </w:rPr>
              <w:t>33</w:t>
            </w:r>
          </w:p>
        </w:tc>
      </w:tr>
      <w:tr w:rsidR="008959BC" w:rsidRPr="00033E65" w14:paraId="597CDA20"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6ECDC51"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Agrario I Circ. Jud. Guanacaste (Liberia)</w:t>
            </w:r>
          </w:p>
        </w:tc>
        <w:tc>
          <w:tcPr>
            <w:tcW w:w="1270" w:type="pct"/>
            <w:tcBorders>
              <w:top w:val="nil"/>
              <w:left w:val="single" w:sz="4" w:space="0" w:color="auto"/>
              <w:bottom w:val="nil"/>
              <w:right w:val="single" w:sz="4" w:space="0" w:color="auto"/>
            </w:tcBorders>
            <w:shd w:val="clear" w:color="000000" w:fill="FFFFFF"/>
            <w:vAlign w:val="center"/>
            <w:hideMark/>
          </w:tcPr>
          <w:p w14:paraId="07CCDE67" w14:textId="4F99992D" w:rsidR="008959BC" w:rsidRPr="00033E65" w:rsidRDefault="0093731C" w:rsidP="008959BC">
            <w:pPr>
              <w:spacing w:before="0" w:after="0"/>
              <w:jc w:val="center"/>
              <w:rPr>
                <w:rFonts w:cs="Calibri"/>
                <w:sz w:val="24"/>
                <w:szCs w:val="24"/>
                <w:lang w:eastAsia="es-CR"/>
              </w:rPr>
            </w:pPr>
            <w:r w:rsidRPr="00033E65">
              <w:rPr>
                <w:rFonts w:cs="Calibri"/>
                <w:sz w:val="24"/>
                <w:szCs w:val="24"/>
                <w:lang w:eastAsia="es-CR"/>
              </w:rPr>
              <w:t>33</w:t>
            </w:r>
          </w:p>
        </w:tc>
      </w:tr>
      <w:tr w:rsidR="008959BC" w:rsidRPr="00033E65" w14:paraId="59DF1EB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5C8ED1F"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283D7C87"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 </w:t>
            </w:r>
          </w:p>
        </w:tc>
      </w:tr>
      <w:tr w:rsidR="008959BC" w:rsidRPr="00033E65" w14:paraId="3BDA5A22"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FA9F386"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II Circuito Judicial de Guanacaste</w:t>
            </w:r>
          </w:p>
        </w:tc>
        <w:tc>
          <w:tcPr>
            <w:tcW w:w="1270" w:type="pct"/>
            <w:tcBorders>
              <w:top w:val="nil"/>
              <w:left w:val="single" w:sz="4" w:space="0" w:color="auto"/>
              <w:bottom w:val="nil"/>
              <w:right w:val="single" w:sz="4" w:space="0" w:color="auto"/>
            </w:tcBorders>
            <w:shd w:val="clear" w:color="000000" w:fill="FFFFFF"/>
            <w:vAlign w:val="center"/>
            <w:hideMark/>
          </w:tcPr>
          <w:p w14:paraId="15F0397E" w14:textId="7AE87B02" w:rsidR="008959BC" w:rsidRPr="00033E65" w:rsidRDefault="008959BC" w:rsidP="008959BC">
            <w:pPr>
              <w:spacing w:before="0" w:after="0"/>
              <w:jc w:val="center"/>
              <w:rPr>
                <w:rFonts w:cs="Calibri"/>
                <w:b/>
                <w:bCs/>
                <w:sz w:val="24"/>
                <w:szCs w:val="24"/>
                <w:lang w:eastAsia="es-CR"/>
              </w:rPr>
            </w:pPr>
            <w:r w:rsidRPr="00033E65">
              <w:rPr>
                <w:rFonts w:cs="Calibri"/>
                <w:b/>
                <w:bCs/>
                <w:sz w:val="24"/>
                <w:szCs w:val="24"/>
                <w:lang w:eastAsia="es-CR"/>
              </w:rPr>
              <w:t>2</w:t>
            </w:r>
            <w:r w:rsidR="008F707F" w:rsidRPr="00033E65">
              <w:rPr>
                <w:rFonts w:cs="Calibri"/>
                <w:b/>
                <w:bCs/>
                <w:sz w:val="24"/>
                <w:szCs w:val="24"/>
                <w:lang w:eastAsia="es-CR"/>
              </w:rPr>
              <w:t>1</w:t>
            </w:r>
          </w:p>
        </w:tc>
      </w:tr>
      <w:tr w:rsidR="008959BC" w:rsidRPr="00033E65" w14:paraId="796519D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2C0AF81"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Agrario II Circ. Jud. Guanacaste (Santa Cruz)</w:t>
            </w:r>
          </w:p>
        </w:tc>
        <w:tc>
          <w:tcPr>
            <w:tcW w:w="1270" w:type="pct"/>
            <w:tcBorders>
              <w:top w:val="nil"/>
              <w:left w:val="single" w:sz="4" w:space="0" w:color="auto"/>
              <w:bottom w:val="nil"/>
              <w:right w:val="single" w:sz="4" w:space="0" w:color="auto"/>
            </w:tcBorders>
            <w:shd w:val="clear" w:color="000000" w:fill="FFFFFF"/>
            <w:vAlign w:val="center"/>
            <w:hideMark/>
          </w:tcPr>
          <w:p w14:paraId="7519C9F1" w14:textId="1ECD87FF" w:rsidR="008959BC" w:rsidRPr="00033E65" w:rsidRDefault="008F707F" w:rsidP="008959BC">
            <w:pPr>
              <w:spacing w:before="0" w:after="0"/>
              <w:jc w:val="center"/>
              <w:rPr>
                <w:rFonts w:cs="Calibri"/>
                <w:sz w:val="24"/>
                <w:szCs w:val="24"/>
                <w:lang w:eastAsia="es-CR"/>
              </w:rPr>
            </w:pPr>
            <w:r w:rsidRPr="00033E65">
              <w:rPr>
                <w:rFonts w:cs="Calibri"/>
                <w:sz w:val="24"/>
                <w:szCs w:val="24"/>
                <w:lang w:eastAsia="es-CR"/>
              </w:rPr>
              <w:t>21</w:t>
            </w:r>
          </w:p>
        </w:tc>
      </w:tr>
      <w:tr w:rsidR="008959BC" w:rsidRPr="00033E65" w14:paraId="60EA491C"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69D072D"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Agrario de Jicaral</w:t>
            </w:r>
          </w:p>
        </w:tc>
        <w:tc>
          <w:tcPr>
            <w:tcW w:w="1270" w:type="pct"/>
            <w:tcBorders>
              <w:top w:val="nil"/>
              <w:left w:val="single" w:sz="4" w:space="0" w:color="auto"/>
              <w:bottom w:val="nil"/>
              <w:right w:val="single" w:sz="4" w:space="0" w:color="auto"/>
            </w:tcBorders>
            <w:shd w:val="clear" w:color="000000" w:fill="FFFFFF"/>
            <w:vAlign w:val="center"/>
            <w:hideMark/>
          </w:tcPr>
          <w:p w14:paraId="41291A7F"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0</w:t>
            </w:r>
          </w:p>
        </w:tc>
      </w:tr>
      <w:tr w:rsidR="008959BC" w:rsidRPr="00033E65" w14:paraId="5D30C21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703A23F"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01741405"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 </w:t>
            </w:r>
          </w:p>
        </w:tc>
      </w:tr>
      <w:tr w:rsidR="008959BC" w:rsidRPr="00033E65" w14:paraId="2AC9517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292774C"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Circuito Judicial de Puntarenas</w:t>
            </w:r>
          </w:p>
        </w:tc>
        <w:tc>
          <w:tcPr>
            <w:tcW w:w="1270" w:type="pct"/>
            <w:tcBorders>
              <w:top w:val="nil"/>
              <w:left w:val="single" w:sz="4" w:space="0" w:color="auto"/>
              <w:bottom w:val="nil"/>
              <w:right w:val="single" w:sz="4" w:space="0" w:color="auto"/>
            </w:tcBorders>
            <w:shd w:val="clear" w:color="000000" w:fill="FFFFFF"/>
            <w:vAlign w:val="center"/>
            <w:hideMark/>
          </w:tcPr>
          <w:p w14:paraId="37F7717B" w14:textId="494464F2" w:rsidR="008959BC" w:rsidRPr="00033E65" w:rsidRDefault="00F479C4" w:rsidP="008959BC">
            <w:pPr>
              <w:spacing w:before="0" w:after="0"/>
              <w:jc w:val="center"/>
              <w:rPr>
                <w:rFonts w:cs="Calibri"/>
                <w:b/>
                <w:bCs/>
                <w:sz w:val="24"/>
                <w:szCs w:val="24"/>
                <w:lang w:eastAsia="es-CR"/>
              </w:rPr>
            </w:pPr>
            <w:r w:rsidRPr="00033E65">
              <w:rPr>
                <w:rFonts w:cs="Calibri"/>
                <w:b/>
                <w:bCs/>
                <w:sz w:val="24"/>
                <w:szCs w:val="24"/>
                <w:lang w:eastAsia="es-CR"/>
              </w:rPr>
              <w:t>23</w:t>
            </w:r>
          </w:p>
        </w:tc>
      </w:tr>
      <w:tr w:rsidR="008959BC" w:rsidRPr="00033E65" w14:paraId="0A45AC4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8478E57"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Civil y Agrario Puntarenas</w:t>
            </w:r>
          </w:p>
        </w:tc>
        <w:tc>
          <w:tcPr>
            <w:tcW w:w="1270" w:type="pct"/>
            <w:tcBorders>
              <w:top w:val="nil"/>
              <w:left w:val="single" w:sz="4" w:space="0" w:color="auto"/>
              <w:bottom w:val="nil"/>
              <w:right w:val="single" w:sz="4" w:space="0" w:color="auto"/>
            </w:tcBorders>
            <w:shd w:val="clear" w:color="000000" w:fill="FFFFFF"/>
            <w:vAlign w:val="center"/>
            <w:hideMark/>
          </w:tcPr>
          <w:p w14:paraId="3C2C4AFD" w14:textId="43A042B9" w:rsidR="008959BC" w:rsidRPr="00033E65" w:rsidRDefault="00F479C4" w:rsidP="008959BC">
            <w:pPr>
              <w:spacing w:before="0" w:after="0"/>
              <w:jc w:val="center"/>
              <w:rPr>
                <w:rFonts w:cs="Calibri"/>
                <w:sz w:val="24"/>
                <w:szCs w:val="24"/>
                <w:lang w:eastAsia="es-CR"/>
              </w:rPr>
            </w:pPr>
            <w:r w:rsidRPr="00033E65">
              <w:rPr>
                <w:rFonts w:cs="Calibri"/>
                <w:sz w:val="24"/>
                <w:szCs w:val="24"/>
                <w:lang w:eastAsia="es-CR"/>
              </w:rPr>
              <w:t>23</w:t>
            </w:r>
          </w:p>
        </w:tc>
      </w:tr>
      <w:tr w:rsidR="008959BC" w:rsidRPr="00033E65" w14:paraId="2F36B9FE"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DEE9D2C"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36106D1D"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 </w:t>
            </w:r>
          </w:p>
        </w:tc>
      </w:tr>
      <w:tr w:rsidR="008959BC" w:rsidRPr="00033E65" w14:paraId="3419856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618A118C"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I Circuito Judicial de la Zona Sur</w:t>
            </w:r>
          </w:p>
        </w:tc>
        <w:tc>
          <w:tcPr>
            <w:tcW w:w="1270" w:type="pct"/>
            <w:tcBorders>
              <w:top w:val="nil"/>
              <w:left w:val="single" w:sz="4" w:space="0" w:color="auto"/>
              <w:bottom w:val="nil"/>
              <w:right w:val="single" w:sz="4" w:space="0" w:color="auto"/>
            </w:tcBorders>
            <w:shd w:val="clear" w:color="000000" w:fill="FFFFFF"/>
            <w:vAlign w:val="center"/>
            <w:hideMark/>
          </w:tcPr>
          <w:p w14:paraId="08D0249E" w14:textId="43FCBD60" w:rsidR="008959BC" w:rsidRPr="00033E65" w:rsidRDefault="00780EF5" w:rsidP="008959BC">
            <w:pPr>
              <w:spacing w:before="0" w:after="0"/>
              <w:jc w:val="center"/>
              <w:rPr>
                <w:rFonts w:cs="Calibri"/>
                <w:b/>
                <w:bCs/>
                <w:sz w:val="24"/>
                <w:szCs w:val="24"/>
                <w:lang w:eastAsia="es-CR"/>
              </w:rPr>
            </w:pPr>
            <w:r w:rsidRPr="00033E65">
              <w:rPr>
                <w:rFonts w:cs="Calibri"/>
                <w:b/>
                <w:bCs/>
                <w:sz w:val="24"/>
                <w:szCs w:val="24"/>
                <w:lang w:eastAsia="es-CR"/>
              </w:rPr>
              <w:t>18</w:t>
            </w:r>
          </w:p>
        </w:tc>
      </w:tr>
      <w:tr w:rsidR="008959BC" w:rsidRPr="00033E65" w14:paraId="6B7CC0C9"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220CA77"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Agrario I Circ. Jud. Zona Sur (Pérez Zeledón)</w:t>
            </w:r>
          </w:p>
        </w:tc>
        <w:tc>
          <w:tcPr>
            <w:tcW w:w="1270" w:type="pct"/>
            <w:tcBorders>
              <w:top w:val="nil"/>
              <w:left w:val="single" w:sz="4" w:space="0" w:color="auto"/>
              <w:bottom w:val="nil"/>
              <w:right w:val="single" w:sz="4" w:space="0" w:color="auto"/>
            </w:tcBorders>
            <w:shd w:val="clear" w:color="000000" w:fill="FFFFFF"/>
            <w:vAlign w:val="center"/>
            <w:hideMark/>
          </w:tcPr>
          <w:p w14:paraId="4F041A96" w14:textId="4F31EB11" w:rsidR="008959BC" w:rsidRPr="00033E65" w:rsidRDefault="00B00E9E" w:rsidP="008959BC">
            <w:pPr>
              <w:spacing w:before="0" w:after="0"/>
              <w:jc w:val="center"/>
              <w:rPr>
                <w:rFonts w:cs="Calibri"/>
                <w:sz w:val="24"/>
                <w:szCs w:val="24"/>
                <w:lang w:eastAsia="es-CR"/>
              </w:rPr>
            </w:pPr>
            <w:r w:rsidRPr="00033E65">
              <w:rPr>
                <w:rFonts w:cs="Calibri"/>
                <w:sz w:val="24"/>
                <w:szCs w:val="24"/>
                <w:lang w:eastAsia="es-CR"/>
              </w:rPr>
              <w:t>15</w:t>
            </w:r>
          </w:p>
        </w:tc>
      </w:tr>
      <w:tr w:rsidR="008959BC" w:rsidRPr="00033E65" w14:paraId="6A8F5441"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BFCC61F"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Civil, Trabajo y Familia Buenos Aires</w:t>
            </w:r>
          </w:p>
        </w:tc>
        <w:tc>
          <w:tcPr>
            <w:tcW w:w="1270" w:type="pct"/>
            <w:tcBorders>
              <w:top w:val="nil"/>
              <w:left w:val="single" w:sz="4" w:space="0" w:color="auto"/>
              <w:bottom w:val="nil"/>
              <w:right w:val="single" w:sz="4" w:space="0" w:color="auto"/>
            </w:tcBorders>
            <w:shd w:val="clear" w:color="000000" w:fill="FFFFFF"/>
            <w:vAlign w:val="center"/>
            <w:hideMark/>
          </w:tcPr>
          <w:p w14:paraId="1B496AB5" w14:textId="2867DFB8" w:rsidR="008959BC" w:rsidRPr="00033E65" w:rsidRDefault="00780EF5" w:rsidP="008959BC">
            <w:pPr>
              <w:spacing w:before="0" w:after="0"/>
              <w:jc w:val="center"/>
              <w:rPr>
                <w:rFonts w:cs="Calibri"/>
                <w:sz w:val="24"/>
                <w:szCs w:val="24"/>
                <w:lang w:eastAsia="es-CR"/>
              </w:rPr>
            </w:pPr>
            <w:r w:rsidRPr="00033E65">
              <w:rPr>
                <w:rFonts w:cs="Calibri"/>
                <w:sz w:val="24"/>
                <w:szCs w:val="24"/>
                <w:lang w:eastAsia="es-CR"/>
              </w:rPr>
              <w:t>3</w:t>
            </w:r>
          </w:p>
        </w:tc>
      </w:tr>
      <w:tr w:rsidR="008959BC" w:rsidRPr="00033E65" w14:paraId="3E50EB1E"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7A02BCA"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76BCA69E"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 </w:t>
            </w:r>
          </w:p>
        </w:tc>
      </w:tr>
      <w:tr w:rsidR="008959BC" w:rsidRPr="00033E65" w14:paraId="02F1F2E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158B125"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II Circuito Judicial de la Zona Sur</w:t>
            </w:r>
          </w:p>
        </w:tc>
        <w:tc>
          <w:tcPr>
            <w:tcW w:w="1270" w:type="pct"/>
            <w:tcBorders>
              <w:top w:val="nil"/>
              <w:left w:val="single" w:sz="4" w:space="0" w:color="auto"/>
              <w:bottom w:val="nil"/>
              <w:right w:val="single" w:sz="4" w:space="0" w:color="auto"/>
            </w:tcBorders>
            <w:shd w:val="clear" w:color="000000" w:fill="FFFFFF"/>
            <w:vAlign w:val="center"/>
            <w:hideMark/>
          </w:tcPr>
          <w:p w14:paraId="0290AAB7" w14:textId="4324D24D" w:rsidR="008959BC" w:rsidRPr="00033E65" w:rsidRDefault="00DD3336" w:rsidP="008959BC">
            <w:pPr>
              <w:spacing w:before="0" w:after="0"/>
              <w:jc w:val="center"/>
              <w:rPr>
                <w:rFonts w:cs="Calibri"/>
                <w:b/>
                <w:bCs/>
                <w:sz w:val="24"/>
                <w:szCs w:val="24"/>
                <w:lang w:eastAsia="es-CR"/>
              </w:rPr>
            </w:pPr>
            <w:r w:rsidRPr="00033E65">
              <w:rPr>
                <w:rFonts w:cs="Calibri"/>
                <w:b/>
                <w:bCs/>
                <w:sz w:val="24"/>
                <w:szCs w:val="24"/>
                <w:lang w:eastAsia="es-CR"/>
              </w:rPr>
              <w:t>8</w:t>
            </w:r>
          </w:p>
        </w:tc>
      </w:tr>
      <w:tr w:rsidR="008959BC" w:rsidRPr="00033E65" w14:paraId="032E258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6FFE874"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Agrario II Circ. Jud. Zona Sur (Corredores)</w:t>
            </w:r>
          </w:p>
        </w:tc>
        <w:tc>
          <w:tcPr>
            <w:tcW w:w="1270" w:type="pct"/>
            <w:tcBorders>
              <w:top w:val="nil"/>
              <w:left w:val="single" w:sz="4" w:space="0" w:color="auto"/>
              <w:bottom w:val="nil"/>
              <w:right w:val="single" w:sz="4" w:space="0" w:color="auto"/>
            </w:tcBorders>
            <w:shd w:val="clear" w:color="000000" w:fill="FFFFFF"/>
            <w:vAlign w:val="center"/>
            <w:hideMark/>
          </w:tcPr>
          <w:p w14:paraId="72856986" w14:textId="67D0E4EE" w:rsidR="008959BC" w:rsidRPr="00033E65" w:rsidRDefault="00DD3336" w:rsidP="008959BC">
            <w:pPr>
              <w:spacing w:before="0" w:after="0"/>
              <w:jc w:val="center"/>
              <w:rPr>
                <w:rFonts w:cs="Calibri"/>
                <w:sz w:val="24"/>
                <w:szCs w:val="24"/>
                <w:lang w:eastAsia="es-CR"/>
              </w:rPr>
            </w:pPr>
            <w:r w:rsidRPr="00033E65">
              <w:rPr>
                <w:rFonts w:cs="Calibri"/>
                <w:sz w:val="24"/>
                <w:szCs w:val="24"/>
                <w:lang w:eastAsia="es-CR"/>
              </w:rPr>
              <w:t>8</w:t>
            </w:r>
          </w:p>
        </w:tc>
      </w:tr>
      <w:tr w:rsidR="008959BC" w:rsidRPr="00033E65" w14:paraId="314C1A3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C62400D"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003FF950"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 </w:t>
            </w:r>
          </w:p>
        </w:tc>
      </w:tr>
      <w:tr w:rsidR="008959BC" w:rsidRPr="00033E65" w14:paraId="42E05FD9"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F96E455"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I Circuito Judicial de la Zona Atlántica</w:t>
            </w:r>
          </w:p>
        </w:tc>
        <w:tc>
          <w:tcPr>
            <w:tcW w:w="1270" w:type="pct"/>
            <w:tcBorders>
              <w:top w:val="nil"/>
              <w:left w:val="single" w:sz="4" w:space="0" w:color="auto"/>
              <w:bottom w:val="nil"/>
              <w:right w:val="single" w:sz="4" w:space="0" w:color="auto"/>
            </w:tcBorders>
            <w:shd w:val="clear" w:color="000000" w:fill="FFFFFF"/>
            <w:vAlign w:val="center"/>
            <w:hideMark/>
          </w:tcPr>
          <w:p w14:paraId="6AC2811F" w14:textId="26B2DDE2" w:rsidR="008959BC" w:rsidRPr="00033E65" w:rsidRDefault="006D75F8" w:rsidP="008959BC">
            <w:pPr>
              <w:spacing w:before="0" w:after="0"/>
              <w:jc w:val="center"/>
              <w:rPr>
                <w:rFonts w:cs="Calibri"/>
                <w:b/>
                <w:bCs/>
                <w:sz w:val="24"/>
                <w:szCs w:val="24"/>
                <w:lang w:eastAsia="es-CR"/>
              </w:rPr>
            </w:pPr>
            <w:r w:rsidRPr="00033E65">
              <w:rPr>
                <w:rFonts w:cs="Calibri"/>
                <w:b/>
                <w:bCs/>
                <w:sz w:val="24"/>
                <w:szCs w:val="24"/>
                <w:lang w:eastAsia="es-CR"/>
              </w:rPr>
              <w:t>0</w:t>
            </w:r>
          </w:p>
        </w:tc>
      </w:tr>
      <w:tr w:rsidR="008959BC" w:rsidRPr="00033E65" w14:paraId="32D9023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4C9DCA7"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Agrario I Circ. Jud. Zona Atlántica (Limón)</w:t>
            </w:r>
          </w:p>
        </w:tc>
        <w:tc>
          <w:tcPr>
            <w:tcW w:w="1270" w:type="pct"/>
            <w:tcBorders>
              <w:top w:val="nil"/>
              <w:left w:val="single" w:sz="4" w:space="0" w:color="auto"/>
              <w:bottom w:val="nil"/>
              <w:right w:val="single" w:sz="4" w:space="0" w:color="auto"/>
            </w:tcBorders>
            <w:shd w:val="clear" w:color="000000" w:fill="FFFFFF"/>
            <w:vAlign w:val="center"/>
            <w:hideMark/>
          </w:tcPr>
          <w:p w14:paraId="3F22BDD2" w14:textId="171ADEB5" w:rsidR="008959BC" w:rsidRPr="00033E65" w:rsidRDefault="006D75F8" w:rsidP="008959BC">
            <w:pPr>
              <w:spacing w:before="0" w:after="0"/>
              <w:jc w:val="center"/>
              <w:rPr>
                <w:rFonts w:cs="Calibri"/>
                <w:sz w:val="24"/>
                <w:szCs w:val="24"/>
                <w:lang w:eastAsia="es-CR"/>
              </w:rPr>
            </w:pPr>
            <w:r w:rsidRPr="00033E65">
              <w:rPr>
                <w:rFonts w:cs="Calibri"/>
                <w:sz w:val="24"/>
                <w:szCs w:val="24"/>
                <w:lang w:eastAsia="es-CR"/>
              </w:rPr>
              <w:t>0</w:t>
            </w:r>
          </w:p>
        </w:tc>
      </w:tr>
      <w:tr w:rsidR="008959BC" w:rsidRPr="00033E65" w14:paraId="1A20AE83"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A380660"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62596265"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 </w:t>
            </w:r>
          </w:p>
        </w:tc>
      </w:tr>
      <w:tr w:rsidR="008959BC" w:rsidRPr="00033E65" w14:paraId="5FE6AD37"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2D387B1" w14:textId="77777777" w:rsidR="008959BC" w:rsidRPr="00033E65" w:rsidRDefault="008959BC" w:rsidP="008959BC">
            <w:pPr>
              <w:spacing w:before="0" w:after="0"/>
              <w:jc w:val="left"/>
              <w:rPr>
                <w:rFonts w:cs="Calibri"/>
                <w:b/>
                <w:bCs/>
                <w:sz w:val="24"/>
                <w:szCs w:val="24"/>
                <w:lang w:eastAsia="es-CR"/>
              </w:rPr>
            </w:pPr>
            <w:r w:rsidRPr="00033E65">
              <w:rPr>
                <w:rFonts w:cs="Calibri"/>
                <w:b/>
                <w:bCs/>
                <w:sz w:val="24"/>
                <w:szCs w:val="24"/>
                <w:lang w:eastAsia="es-CR"/>
              </w:rPr>
              <w:t>II Circuito Judicial de la Zona Atlántica</w:t>
            </w:r>
          </w:p>
        </w:tc>
        <w:tc>
          <w:tcPr>
            <w:tcW w:w="1270" w:type="pct"/>
            <w:tcBorders>
              <w:top w:val="nil"/>
              <w:left w:val="single" w:sz="4" w:space="0" w:color="auto"/>
              <w:bottom w:val="nil"/>
              <w:right w:val="single" w:sz="4" w:space="0" w:color="auto"/>
            </w:tcBorders>
            <w:shd w:val="clear" w:color="000000" w:fill="FFFFFF"/>
            <w:vAlign w:val="center"/>
            <w:hideMark/>
          </w:tcPr>
          <w:p w14:paraId="380982AB" w14:textId="3F83CC44" w:rsidR="008959BC" w:rsidRPr="00033E65" w:rsidRDefault="008959BC" w:rsidP="008959BC">
            <w:pPr>
              <w:spacing w:before="0" w:after="0"/>
              <w:jc w:val="center"/>
              <w:rPr>
                <w:rFonts w:cs="Calibri"/>
                <w:b/>
                <w:bCs/>
                <w:sz w:val="24"/>
                <w:szCs w:val="24"/>
                <w:lang w:eastAsia="es-CR"/>
              </w:rPr>
            </w:pPr>
            <w:r w:rsidRPr="00033E65">
              <w:rPr>
                <w:rFonts w:cs="Calibri"/>
                <w:b/>
                <w:bCs/>
                <w:sz w:val="24"/>
                <w:szCs w:val="24"/>
                <w:lang w:eastAsia="es-CR"/>
              </w:rPr>
              <w:t>6</w:t>
            </w:r>
          </w:p>
        </w:tc>
      </w:tr>
      <w:tr w:rsidR="008959BC" w:rsidRPr="00033E65" w14:paraId="2534BD28"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F9001AE"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Juzgado Agrario II Circ. Jud. Zona Atlántica (Pococí)</w:t>
            </w:r>
          </w:p>
        </w:tc>
        <w:tc>
          <w:tcPr>
            <w:tcW w:w="1270" w:type="pct"/>
            <w:tcBorders>
              <w:top w:val="nil"/>
              <w:left w:val="single" w:sz="4" w:space="0" w:color="auto"/>
              <w:bottom w:val="nil"/>
              <w:right w:val="single" w:sz="4" w:space="0" w:color="auto"/>
            </w:tcBorders>
            <w:shd w:val="clear" w:color="000000" w:fill="FFFFFF"/>
            <w:vAlign w:val="center"/>
            <w:hideMark/>
          </w:tcPr>
          <w:p w14:paraId="429D3CDD" w14:textId="03F0B2FB"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6</w:t>
            </w:r>
          </w:p>
        </w:tc>
      </w:tr>
      <w:tr w:rsidR="008959BC" w:rsidRPr="00033E65" w14:paraId="3D14ED5E" w14:textId="77777777" w:rsidTr="005A097A">
        <w:trPr>
          <w:trHeight w:val="310"/>
          <w:jc w:val="center"/>
        </w:trPr>
        <w:tc>
          <w:tcPr>
            <w:tcW w:w="3730" w:type="pct"/>
            <w:tcBorders>
              <w:top w:val="nil"/>
              <w:left w:val="single" w:sz="4" w:space="0" w:color="auto"/>
              <w:bottom w:val="single" w:sz="4" w:space="0" w:color="auto"/>
              <w:right w:val="nil"/>
            </w:tcBorders>
            <w:shd w:val="clear" w:color="000000" w:fill="FFFFFF"/>
            <w:vAlign w:val="center"/>
            <w:hideMark/>
          </w:tcPr>
          <w:p w14:paraId="73497D52" w14:textId="77777777" w:rsidR="008959BC" w:rsidRPr="00033E65" w:rsidRDefault="008959BC" w:rsidP="008959BC">
            <w:pPr>
              <w:spacing w:before="0" w:after="0"/>
              <w:jc w:val="left"/>
              <w:rPr>
                <w:rFonts w:cs="Calibri"/>
                <w:sz w:val="24"/>
                <w:szCs w:val="24"/>
                <w:lang w:eastAsia="es-CR"/>
              </w:rPr>
            </w:pPr>
            <w:r w:rsidRPr="00033E65">
              <w:rPr>
                <w:rFonts w:cs="Calibri"/>
                <w:sz w:val="24"/>
                <w:szCs w:val="24"/>
                <w:lang w:eastAsia="es-CR"/>
              </w:rPr>
              <w:t> </w:t>
            </w:r>
          </w:p>
        </w:tc>
        <w:tc>
          <w:tcPr>
            <w:tcW w:w="1270" w:type="pct"/>
            <w:tcBorders>
              <w:top w:val="nil"/>
              <w:left w:val="single" w:sz="4" w:space="0" w:color="auto"/>
              <w:bottom w:val="single" w:sz="4" w:space="0" w:color="auto"/>
              <w:right w:val="single" w:sz="4" w:space="0" w:color="auto"/>
            </w:tcBorders>
            <w:shd w:val="clear" w:color="000000" w:fill="FFFFFF"/>
            <w:vAlign w:val="center"/>
            <w:hideMark/>
          </w:tcPr>
          <w:p w14:paraId="6559B22A" w14:textId="77777777" w:rsidR="008959BC" w:rsidRPr="00033E65" w:rsidRDefault="008959BC" w:rsidP="008959BC">
            <w:pPr>
              <w:spacing w:before="0" w:after="0"/>
              <w:jc w:val="center"/>
              <w:rPr>
                <w:rFonts w:cs="Calibri"/>
                <w:sz w:val="24"/>
                <w:szCs w:val="24"/>
                <w:lang w:eastAsia="es-CR"/>
              </w:rPr>
            </w:pPr>
            <w:r w:rsidRPr="00033E65">
              <w:rPr>
                <w:rFonts w:cs="Calibri"/>
                <w:sz w:val="24"/>
                <w:szCs w:val="24"/>
                <w:lang w:eastAsia="es-CR"/>
              </w:rPr>
              <w:t> </w:t>
            </w:r>
          </w:p>
        </w:tc>
      </w:tr>
      <w:tr w:rsidR="008959BC" w:rsidRPr="00033E65" w14:paraId="5B6A6101" w14:textId="77777777" w:rsidTr="005A097A">
        <w:trPr>
          <w:trHeight w:val="310"/>
          <w:jc w:val="center"/>
        </w:trPr>
        <w:tc>
          <w:tcPr>
            <w:tcW w:w="3730" w:type="pct"/>
            <w:tcBorders>
              <w:top w:val="nil"/>
              <w:left w:val="nil"/>
              <w:bottom w:val="nil"/>
              <w:right w:val="nil"/>
            </w:tcBorders>
            <w:shd w:val="clear" w:color="auto" w:fill="auto"/>
            <w:vAlign w:val="center"/>
            <w:hideMark/>
          </w:tcPr>
          <w:p w14:paraId="66E30F81" w14:textId="0FF0CCDF" w:rsidR="008959BC" w:rsidRPr="00033E65" w:rsidRDefault="008959BC" w:rsidP="008959BC">
            <w:pPr>
              <w:spacing w:before="0" w:after="0"/>
              <w:jc w:val="left"/>
              <w:rPr>
                <w:rFonts w:cs="Calibri"/>
                <w:i/>
                <w:iCs/>
                <w:color w:val="000000"/>
                <w:sz w:val="20"/>
                <w:lang w:eastAsia="es-CR"/>
              </w:rPr>
            </w:pPr>
            <w:r w:rsidRPr="00033E65">
              <w:rPr>
                <w:rFonts w:cs="Calibri"/>
                <w:i/>
                <w:iCs/>
                <w:color w:val="000000"/>
                <w:sz w:val="20"/>
                <w:lang w:eastAsia="es-CR"/>
              </w:rPr>
              <w:t>Fuente</w:t>
            </w:r>
            <w:r w:rsidR="00123F32" w:rsidRPr="00033E65">
              <w:rPr>
                <w:rFonts w:cs="Calibri"/>
                <w:i/>
                <w:iCs/>
                <w:color w:val="000000"/>
                <w:sz w:val="20"/>
                <w:lang w:eastAsia="es-CR"/>
              </w:rPr>
              <w:t>:</w:t>
            </w:r>
            <w:r w:rsidR="00265E62" w:rsidRPr="00033E65">
              <w:rPr>
                <w:rFonts w:cs="Calibri"/>
                <w:i/>
                <w:iCs/>
                <w:color w:val="000000"/>
                <w:sz w:val="20"/>
                <w:lang w:eastAsia="es-CR"/>
              </w:rPr>
              <w:t xml:space="preserve"> SIGMA per</w:t>
            </w:r>
            <w:r w:rsidR="005F08F8" w:rsidRPr="00033E65">
              <w:rPr>
                <w:rFonts w:cs="Calibri"/>
                <w:i/>
                <w:iCs/>
                <w:color w:val="000000"/>
                <w:sz w:val="20"/>
                <w:lang w:eastAsia="es-CR"/>
              </w:rPr>
              <w:t>í</w:t>
            </w:r>
            <w:r w:rsidR="00265E62" w:rsidRPr="00033E65">
              <w:rPr>
                <w:rFonts w:cs="Calibri"/>
                <w:i/>
                <w:iCs/>
                <w:color w:val="000000"/>
                <w:sz w:val="20"/>
                <w:lang w:eastAsia="es-CR"/>
              </w:rPr>
              <w:t>odo 2022.</w:t>
            </w:r>
          </w:p>
        </w:tc>
        <w:tc>
          <w:tcPr>
            <w:tcW w:w="1270" w:type="pct"/>
            <w:tcBorders>
              <w:top w:val="nil"/>
              <w:left w:val="nil"/>
              <w:bottom w:val="nil"/>
              <w:right w:val="nil"/>
            </w:tcBorders>
            <w:shd w:val="clear" w:color="auto" w:fill="auto"/>
            <w:vAlign w:val="center"/>
            <w:hideMark/>
          </w:tcPr>
          <w:p w14:paraId="2FD6B855" w14:textId="77777777" w:rsidR="008959BC" w:rsidRPr="00033E65" w:rsidRDefault="008959BC" w:rsidP="008959BC">
            <w:pPr>
              <w:spacing w:before="0" w:after="0"/>
              <w:jc w:val="left"/>
              <w:rPr>
                <w:rFonts w:cs="Calibri"/>
                <w:i/>
                <w:iCs/>
                <w:color w:val="000000"/>
                <w:sz w:val="20"/>
                <w:lang w:eastAsia="es-CR"/>
              </w:rPr>
            </w:pPr>
          </w:p>
        </w:tc>
      </w:tr>
    </w:tbl>
    <w:p w14:paraId="7692F336" w14:textId="77777777" w:rsidR="00C918DE" w:rsidRPr="00033E65" w:rsidRDefault="00C918DE" w:rsidP="005046C5">
      <w:pPr>
        <w:ind w:left="567" w:right="474"/>
        <w:rPr>
          <w:iCs/>
          <w:szCs w:val="22"/>
        </w:rPr>
      </w:pPr>
    </w:p>
    <w:p w14:paraId="4CCC853E" w14:textId="77777777" w:rsidR="00F32EB7" w:rsidRPr="00033E65" w:rsidRDefault="00F32EB7" w:rsidP="005046C5">
      <w:pPr>
        <w:ind w:left="567" w:right="474"/>
        <w:rPr>
          <w:iCs/>
          <w:szCs w:val="22"/>
        </w:rPr>
      </w:pPr>
    </w:p>
    <w:p w14:paraId="1E0DF528" w14:textId="6347A436" w:rsidR="005046C5" w:rsidRPr="00033E65" w:rsidRDefault="00554C4E" w:rsidP="00951D3E">
      <w:pPr>
        <w:pStyle w:val="Ttulo3"/>
      </w:pPr>
      <w:bookmarkStart w:id="159" w:name="_Toc37670470"/>
      <w:bookmarkStart w:id="160" w:name="_Toc132639527"/>
      <w:r>
        <w:lastRenderedPageBreak/>
        <w:t>4</w:t>
      </w:r>
      <w:r w:rsidR="000D6CD3" w:rsidRPr="00033E65">
        <w:t xml:space="preserve">.4 </w:t>
      </w:r>
      <w:r w:rsidR="005046C5" w:rsidRPr="00033E65">
        <w:t>Intervención de la Defensa Pública</w:t>
      </w:r>
      <w:bookmarkEnd w:id="159"/>
      <w:bookmarkEnd w:id="160"/>
    </w:p>
    <w:p w14:paraId="1882B9C1" w14:textId="77777777" w:rsidR="005046C5" w:rsidRPr="00033E65" w:rsidRDefault="005046C5" w:rsidP="005046C5">
      <w:pPr>
        <w:rPr>
          <w:szCs w:val="22"/>
        </w:rPr>
      </w:pPr>
      <w:r w:rsidRPr="00033E65">
        <w:rPr>
          <w:szCs w:val="22"/>
        </w:rPr>
        <w:t>El artículo 44 del Código Procesal Agrario menciona el deber de las partes de actuar con patrocinio letrado, en los siguientes términos:</w:t>
      </w:r>
    </w:p>
    <w:p w14:paraId="6A1CD9C2" w14:textId="77777777" w:rsidR="005046C5" w:rsidRPr="00033E65" w:rsidRDefault="005046C5" w:rsidP="005046C5">
      <w:pPr>
        <w:ind w:left="540" w:right="541"/>
        <w:rPr>
          <w:rFonts w:cs="Arial-BoldMT"/>
          <w:b/>
          <w:bCs/>
          <w:i/>
          <w:szCs w:val="22"/>
        </w:rPr>
      </w:pPr>
      <w:r w:rsidRPr="00033E65">
        <w:rPr>
          <w:rFonts w:cs="Arial-BoldMT"/>
          <w:b/>
          <w:bCs/>
          <w:i/>
          <w:szCs w:val="22"/>
        </w:rPr>
        <w:t>“ARTÍCULO 44.- Patrocinio letrado</w:t>
      </w:r>
    </w:p>
    <w:p w14:paraId="6FDACD9A" w14:textId="0FC0037F" w:rsidR="005046C5" w:rsidRPr="00033E65" w:rsidRDefault="005046C5" w:rsidP="005046C5">
      <w:pPr>
        <w:ind w:left="540" w:right="541"/>
        <w:rPr>
          <w:i/>
          <w:szCs w:val="22"/>
        </w:rPr>
      </w:pPr>
      <w:r w:rsidRPr="00033E65">
        <w:rPr>
          <w:rFonts w:cs="ArialMT"/>
          <w:i/>
          <w:szCs w:val="22"/>
        </w:rPr>
        <w:t>Las partes deberán actuar con patrocinio letrado, salvo que sean profesionales en derecho. Se otorgará el patrocinio letrado gratuito, conforme lo establece esta ley. Quien autentique será responsable de su contenido. Su firma implicará, salvo manifestación expresa en contrario, la dirección del proceso con las facultades de actuar en nombre de la parte para todo lo que le beneficie, siempre y cuando no se requiera su participación personal o poder especial judicial</w:t>
      </w:r>
      <w:r w:rsidR="008660E1" w:rsidRPr="00033E65">
        <w:rPr>
          <w:rFonts w:cs="ArialMT"/>
          <w:i/>
          <w:szCs w:val="22"/>
        </w:rPr>
        <w:t>.</w:t>
      </w:r>
      <w:r w:rsidRPr="00033E65">
        <w:rPr>
          <w:rFonts w:cs="ArialMT"/>
          <w:i/>
          <w:szCs w:val="22"/>
        </w:rPr>
        <w:t>”.</w:t>
      </w:r>
    </w:p>
    <w:p w14:paraId="0710921A" w14:textId="77777777" w:rsidR="008660E1" w:rsidRPr="00033E65" w:rsidRDefault="008660E1" w:rsidP="005046C5">
      <w:pPr>
        <w:rPr>
          <w:szCs w:val="22"/>
        </w:rPr>
      </w:pPr>
    </w:p>
    <w:p w14:paraId="380E7CE4" w14:textId="5452C9B2" w:rsidR="005046C5" w:rsidRPr="00033E65" w:rsidRDefault="005046C5" w:rsidP="005046C5">
      <w:pPr>
        <w:rPr>
          <w:szCs w:val="22"/>
        </w:rPr>
      </w:pPr>
      <w:r w:rsidRPr="00033E65">
        <w:rPr>
          <w:szCs w:val="22"/>
        </w:rPr>
        <w:t>Por su parte, el artículo 51 regula las condiciones del patrocinio letrado gratuito que brindará la Defensa Pública, priorizando la atención en aquellas personas con limitaciones económicas:</w:t>
      </w:r>
    </w:p>
    <w:p w14:paraId="1ED9F8B1" w14:textId="77777777" w:rsidR="005046C5" w:rsidRPr="00033E65" w:rsidRDefault="005046C5" w:rsidP="005046C5">
      <w:pPr>
        <w:ind w:left="540" w:right="541"/>
        <w:rPr>
          <w:rFonts w:cs="Arial-BoldMT"/>
          <w:b/>
          <w:bCs/>
          <w:i/>
          <w:szCs w:val="22"/>
        </w:rPr>
      </w:pPr>
      <w:r w:rsidRPr="00033E65">
        <w:rPr>
          <w:rFonts w:cs="Arial-BoldMT"/>
          <w:b/>
          <w:bCs/>
          <w:i/>
          <w:szCs w:val="22"/>
        </w:rPr>
        <w:t>“ARTÍCULO 51.- Defensa técnica gratuita</w:t>
      </w:r>
    </w:p>
    <w:p w14:paraId="2B266B2E" w14:textId="77777777" w:rsidR="005046C5" w:rsidRPr="00033E65" w:rsidRDefault="005046C5" w:rsidP="005046C5">
      <w:pPr>
        <w:ind w:left="540" w:right="541"/>
        <w:rPr>
          <w:rFonts w:cs="ArialMT"/>
          <w:i/>
          <w:szCs w:val="22"/>
        </w:rPr>
      </w:pPr>
      <w:r w:rsidRPr="00033E65">
        <w:rPr>
          <w:rFonts w:cs="ArialMT"/>
          <w:b/>
          <w:i/>
          <w:szCs w:val="22"/>
          <w:u w:val="single"/>
        </w:rPr>
        <w:t xml:space="preserve">Las partes tendrán acceso a la defensa técnica gratuita especializada, siempre y cuando acrediten plenamente que carecen de recursos económicos suficientes, para lo cual deben emitir una declaración jurada ante la Defensa Pública, cuyos datos serán verificados por ésta. </w:t>
      </w:r>
      <w:r w:rsidRPr="00033E65">
        <w:rPr>
          <w:rFonts w:cs="ArialMT"/>
          <w:b/>
          <w:i/>
          <w:szCs w:val="22"/>
        </w:rPr>
        <w:t>(Lo subrayado no pertenece al documento original</w:t>
      </w:r>
      <w:r w:rsidRPr="00033E65">
        <w:rPr>
          <w:rFonts w:cs="ArialMT"/>
          <w:i/>
          <w:szCs w:val="22"/>
        </w:rPr>
        <w:t>). Las partes interesadas deberán pedir directamente este beneficio en las oficinas de la Defensa Pública de cada circuito judicial y se acreditará su aceptación en la primera resolución que de curso al proceso. Si se acredita que quien solicita la defensa técnica tiene recursos económicos suficientes para sufragar el costo de la asesoría legal, dicha dependencia requerirá su pago, a través de los mecanismos legales pertinentes.”.</w:t>
      </w:r>
    </w:p>
    <w:p w14:paraId="7BEA851F" w14:textId="77777777" w:rsidR="005046C5" w:rsidRPr="00033E65" w:rsidRDefault="005046C5" w:rsidP="005046C5">
      <w:pPr>
        <w:rPr>
          <w:szCs w:val="22"/>
        </w:rPr>
      </w:pPr>
      <w:r w:rsidRPr="00033E65">
        <w:rPr>
          <w:szCs w:val="22"/>
        </w:rPr>
        <w:t>Además, el artículo 45 impone la designación de abogados suplentes para evitar la suspensión de las audiencias:</w:t>
      </w:r>
    </w:p>
    <w:p w14:paraId="6F01E60D" w14:textId="77777777" w:rsidR="005046C5" w:rsidRPr="00033E65" w:rsidRDefault="005046C5" w:rsidP="005046C5">
      <w:pPr>
        <w:ind w:left="540" w:right="541"/>
        <w:rPr>
          <w:rFonts w:cs="Arial-BoldMT"/>
          <w:b/>
          <w:bCs/>
          <w:i/>
          <w:szCs w:val="22"/>
        </w:rPr>
      </w:pPr>
      <w:r w:rsidRPr="00033E65">
        <w:rPr>
          <w:rFonts w:cs="Arial-BoldMT"/>
          <w:b/>
          <w:bCs/>
          <w:i/>
          <w:szCs w:val="22"/>
        </w:rPr>
        <w:t>“ARTÍCULO 45.- Abogadas o abogados suplentes</w:t>
      </w:r>
    </w:p>
    <w:p w14:paraId="36E3813A" w14:textId="21C19A28" w:rsidR="005046C5" w:rsidRPr="00033E65" w:rsidRDefault="005046C5" w:rsidP="005046C5">
      <w:pPr>
        <w:ind w:left="540" w:right="541"/>
        <w:rPr>
          <w:rFonts w:cs="ArialMT"/>
          <w:i/>
          <w:szCs w:val="22"/>
        </w:rPr>
      </w:pPr>
      <w:r w:rsidRPr="00033E65">
        <w:rPr>
          <w:rFonts w:cs="ArialMT"/>
          <w:i/>
          <w:szCs w:val="22"/>
        </w:rPr>
        <w:t xml:space="preserve">Con el fin de evitar la posposición de audiencias, la persona abogada directora podrá designar a uno o dos suplentes, sin que ello implique costo adicional de honorarios para la parte, siempre y cuando la parte que representa así lo autorice en forma expresa, </w:t>
      </w:r>
      <w:r w:rsidRPr="00033E65">
        <w:rPr>
          <w:rFonts w:cs="ArialMT"/>
          <w:b/>
          <w:i/>
          <w:szCs w:val="22"/>
          <w:u w:val="single"/>
        </w:rPr>
        <w:t>sin que sea obligatoria tal designación</w:t>
      </w:r>
      <w:r w:rsidRPr="00033E65">
        <w:rPr>
          <w:rFonts w:cs="ArialMT"/>
          <w:i/>
          <w:szCs w:val="22"/>
        </w:rPr>
        <w:t>, (lo subrayado y resaltado no pertenece al original) quienes sean suplentes tendrán las mismas facultades de actuación en el proceso.”</w:t>
      </w:r>
      <w:r w:rsidR="008660E1" w:rsidRPr="00033E65">
        <w:rPr>
          <w:rFonts w:cs="ArialMT"/>
          <w:i/>
          <w:szCs w:val="22"/>
        </w:rPr>
        <w:t>.</w:t>
      </w:r>
    </w:p>
    <w:p w14:paraId="50E15554" w14:textId="77777777" w:rsidR="005046C5" w:rsidRPr="00033E65" w:rsidRDefault="005046C5" w:rsidP="005046C5">
      <w:pPr>
        <w:rPr>
          <w:szCs w:val="22"/>
        </w:rPr>
      </w:pPr>
      <w:r w:rsidRPr="00033E65">
        <w:rPr>
          <w:szCs w:val="22"/>
        </w:rPr>
        <w:t>Cabe indicar que, en el presente, la Defensa Pública brinda sus servicios a ambas partes en los procesos agrarios y no requiere de más plazas, según se amplió en el apartado anterior.</w:t>
      </w:r>
    </w:p>
    <w:p w14:paraId="6F934763" w14:textId="77777777" w:rsidR="005046C5" w:rsidRPr="00033E65" w:rsidRDefault="005046C5" w:rsidP="005046C5">
      <w:pPr>
        <w:rPr>
          <w:szCs w:val="22"/>
        </w:rPr>
      </w:pPr>
      <w:r w:rsidRPr="00033E65">
        <w:rPr>
          <w:szCs w:val="22"/>
        </w:rPr>
        <w:t xml:space="preserve">Como se hace mención en el apartado de </w:t>
      </w:r>
      <w:r w:rsidRPr="00033E65">
        <w:rPr>
          <w:i/>
          <w:szCs w:val="22"/>
        </w:rPr>
        <w:t>Antecedentes</w:t>
      </w:r>
      <w:r w:rsidRPr="00033E65">
        <w:rPr>
          <w:szCs w:val="22"/>
        </w:rPr>
        <w:t xml:space="preserve">, mediante oficio 7550-17 del 5 de mayo, de la Secretaría General de la Corte, se remite el acuerdo del Consejo Superior, sesión 15-17 del 31 de mayo, donde se dispuso: </w:t>
      </w:r>
    </w:p>
    <w:p w14:paraId="002692EF" w14:textId="1B43B88A" w:rsidR="005046C5" w:rsidRPr="00033E65" w:rsidRDefault="005046C5" w:rsidP="005046C5">
      <w:pPr>
        <w:ind w:left="426" w:right="616"/>
        <w:rPr>
          <w:i/>
          <w:szCs w:val="22"/>
        </w:rPr>
      </w:pPr>
      <w:r w:rsidRPr="00033E65">
        <w:rPr>
          <w:i/>
          <w:szCs w:val="22"/>
        </w:rPr>
        <w:lastRenderedPageBreak/>
        <w:t xml:space="preserve">“Acoger la solicitud de la Magistrada Escoto, en consecuencia, otorgar a la Jurisdicción Agraria el recurso de </w:t>
      </w:r>
      <w:r w:rsidRPr="00033E65">
        <w:rPr>
          <w:b/>
          <w:i/>
          <w:szCs w:val="22"/>
        </w:rPr>
        <w:t>7 plazas extraordinarias</w:t>
      </w:r>
      <w:r w:rsidRPr="00033E65">
        <w:rPr>
          <w:i/>
          <w:szCs w:val="22"/>
        </w:rPr>
        <w:t xml:space="preserve"> (la negrita no es del original) de Defensora o Defensor Público para garantizar al menos un profesional por cada Juzgado Agrario a nivel nacional (…)”</w:t>
      </w:r>
      <w:r w:rsidR="008660E1" w:rsidRPr="00033E65">
        <w:rPr>
          <w:i/>
          <w:szCs w:val="22"/>
        </w:rPr>
        <w:t>.</w:t>
      </w:r>
    </w:p>
    <w:p w14:paraId="62DF98F0" w14:textId="77777777" w:rsidR="005046C5" w:rsidRPr="00033E65" w:rsidRDefault="005046C5" w:rsidP="005046C5">
      <w:pPr>
        <w:rPr>
          <w:szCs w:val="22"/>
        </w:rPr>
      </w:pPr>
      <w:r w:rsidRPr="00033E65">
        <w:rPr>
          <w:szCs w:val="22"/>
        </w:rPr>
        <w:t>Posteriormente, mediante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siete plazas extraordinarias de Defensor Público para la atención de materia Agraria, por todo el período 2018 en apoyo del plan de descongestionamiento del Tribunal Agrario, y se estima la continuidad de las plazas de defensores para el período 2019.</w:t>
      </w:r>
    </w:p>
    <w:p w14:paraId="36FB1F48" w14:textId="161940CD" w:rsidR="005046C5" w:rsidRPr="00033E65" w:rsidRDefault="005046C5" w:rsidP="005046C5">
      <w:pPr>
        <w:rPr>
          <w:i/>
          <w:iCs/>
          <w:szCs w:val="22"/>
        </w:rPr>
      </w:pPr>
      <w:r w:rsidRPr="00033E65">
        <w:rPr>
          <w:szCs w:val="22"/>
        </w:rPr>
        <w:t xml:space="preserve">Por otro lado, </w:t>
      </w:r>
      <w:r w:rsidRPr="00033E65">
        <w:rPr>
          <w:rFonts w:cs="Arial"/>
          <w:szCs w:val="22"/>
          <w:lang w:val="es-ES" w:eastAsia="zh-CN"/>
        </w:rPr>
        <w:t>sesión extraordinaria 47-19 (Presupuesto 2020), celebrada el 23 de mayo del año 2020, “artículo VIII, informe 102-</w:t>
      </w:r>
      <w:r w:rsidRPr="00033E65">
        <w:rPr>
          <w:rFonts w:cs="Arial"/>
          <w:szCs w:val="22"/>
          <w:lang w:val="es-ES" w:eastAsia="zh-CN"/>
        </w:rPr>
        <w:softHyphen/>
        <w:t>CSP-19, se conoc</w:t>
      </w:r>
      <w:r w:rsidR="0068526D" w:rsidRPr="00033E65">
        <w:rPr>
          <w:rFonts w:cs="Arial"/>
          <w:szCs w:val="22"/>
          <w:lang w:val="es-ES" w:eastAsia="zh-CN"/>
        </w:rPr>
        <w:t>ió</w:t>
      </w:r>
      <w:r w:rsidRPr="00033E65">
        <w:rPr>
          <w:rFonts w:cs="Arial"/>
          <w:szCs w:val="22"/>
          <w:lang w:val="es-ES" w:eastAsia="zh-CN"/>
        </w:rPr>
        <w:t xml:space="preserve"> el consolidado de las plazas aprobadas para el 2020 por el Consejo Superior, donde las plazas extraordinarias de Defensora o Defensor Público se trasladan a plazas Ordinarias. </w:t>
      </w:r>
      <w:r w:rsidRPr="00033E65">
        <w:rPr>
          <w:rFonts w:cs="Arial"/>
          <w:i/>
          <w:iCs/>
          <w:szCs w:val="22"/>
          <w:lang w:val="es-ES" w:eastAsia="zh-CN"/>
        </w:rPr>
        <w:t>(</w:t>
      </w:r>
      <w:r w:rsidR="008660E1" w:rsidRPr="00033E65">
        <w:rPr>
          <w:rFonts w:cs="Arial"/>
          <w:i/>
          <w:iCs/>
          <w:szCs w:val="22"/>
          <w:lang w:val="es-ES" w:eastAsia="zh-CN"/>
        </w:rPr>
        <w:t>V</w:t>
      </w:r>
      <w:r w:rsidRPr="00033E65">
        <w:rPr>
          <w:rFonts w:cs="Arial"/>
          <w:i/>
          <w:iCs/>
          <w:szCs w:val="22"/>
          <w:lang w:val="es-ES" w:eastAsia="zh-CN"/>
        </w:rPr>
        <w:t xml:space="preserve">er anexo </w:t>
      </w:r>
      <w:r w:rsidR="00762F59" w:rsidRPr="00033E65">
        <w:rPr>
          <w:rFonts w:cs="Arial"/>
          <w:i/>
          <w:iCs/>
          <w:szCs w:val="22"/>
          <w:lang w:val="es-ES" w:eastAsia="zh-CN"/>
        </w:rPr>
        <w:t>7</w:t>
      </w:r>
      <w:r w:rsidRPr="00033E65">
        <w:rPr>
          <w:rFonts w:cs="Arial"/>
          <w:i/>
          <w:iCs/>
          <w:szCs w:val="22"/>
          <w:lang w:val="es-ES" w:eastAsia="zh-CN"/>
        </w:rPr>
        <w:t xml:space="preserve"> oficio 102-CPS-2019 Plazas Ordinarias y Extraordinarias)</w:t>
      </w:r>
      <w:r w:rsidR="008660E1" w:rsidRPr="00033E65">
        <w:rPr>
          <w:rFonts w:cs="Arial"/>
          <w:i/>
          <w:iCs/>
          <w:szCs w:val="22"/>
          <w:lang w:val="es-ES" w:eastAsia="zh-CN"/>
        </w:rPr>
        <w:t>.</w:t>
      </w:r>
    </w:p>
    <w:p w14:paraId="5AEBEB31" w14:textId="77777777" w:rsidR="005046C5" w:rsidRPr="00033E65" w:rsidRDefault="005046C5" w:rsidP="005046C5">
      <w:pPr>
        <w:rPr>
          <w:szCs w:val="22"/>
        </w:rPr>
      </w:pPr>
      <w:r w:rsidRPr="00033E65">
        <w:rPr>
          <w:szCs w:val="22"/>
        </w:rPr>
        <w:t xml:space="preserve">Por último, mediante oficio JEFDP-63-2019 del 5 de febrero del 2019, remite al Consejo Superior del Poder Judicial, lo dispuesto por esa Dirección, que de forma textual señala: </w:t>
      </w:r>
    </w:p>
    <w:p w14:paraId="27AA8F11" w14:textId="085D73EB" w:rsidR="005046C5" w:rsidRPr="00033E65" w:rsidRDefault="005046C5" w:rsidP="005046C5">
      <w:pPr>
        <w:rPr>
          <w:i/>
          <w:szCs w:val="22"/>
        </w:rPr>
      </w:pPr>
      <w:r w:rsidRPr="00033E65">
        <w:rPr>
          <w:i/>
          <w:szCs w:val="22"/>
        </w:rPr>
        <w:t>“(…) los defensores públicos de materia agraria, quienes como parte de su labor profesional ya han tramitado caso de población indígena y que como parte de su  formación académica en una mayoría de casos ya han sido capacitados en materia indígena por estudios universitarios de especialidad, asuman la representación de la población indígena en materia contenciosa administrativa,  lo cual, ante la carencia de recursos que enfrenta la institución, se solicita sea avalado por este Consejo Superior en su condición de superior administrativo (…)”</w:t>
      </w:r>
    </w:p>
    <w:p w14:paraId="1F7FF8E6" w14:textId="25768370" w:rsidR="001B55BB" w:rsidRPr="00033E65" w:rsidRDefault="001B55BB" w:rsidP="005046C5">
      <w:pPr>
        <w:rPr>
          <w:i/>
          <w:szCs w:val="22"/>
        </w:rPr>
      </w:pPr>
      <w:r w:rsidRPr="00033E65">
        <w:rPr>
          <w:i/>
          <w:szCs w:val="22"/>
        </w:rPr>
        <w:t>Actualmente se emite una declaración jurada de fe ante la Defensa Pública</w:t>
      </w:r>
      <w:r w:rsidR="009D06DC" w:rsidRPr="00033E65">
        <w:rPr>
          <w:i/>
          <w:szCs w:val="22"/>
        </w:rPr>
        <w:t xml:space="preserve"> y los datos son verificados de los que carecen de recurso económico.</w:t>
      </w:r>
      <w:r w:rsidR="008660E1" w:rsidRPr="00033E65">
        <w:rPr>
          <w:i/>
          <w:szCs w:val="22"/>
        </w:rPr>
        <w:t>”.</w:t>
      </w:r>
    </w:p>
    <w:p w14:paraId="553F57F7" w14:textId="4ACE815B" w:rsidR="005046C5" w:rsidRPr="00033E65" w:rsidRDefault="00554C4E" w:rsidP="00951D3E">
      <w:pPr>
        <w:pStyle w:val="Ttulo3"/>
      </w:pPr>
      <w:bookmarkStart w:id="161" w:name="_Toc37670471"/>
      <w:bookmarkStart w:id="162" w:name="_Toc132639528"/>
      <w:r>
        <w:t>4</w:t>
      </w:r>
      <w:r w:rsidR="000D6CD3" w:rsidRPr="00033E65">
        <w:t xml:space="preserve">.5 </w:t>
      </w:r>
      <w:r w:rsidR="005046C5" w:rsidRPr="00033E65">
        <w:t>Atención a las personas indígenas</w:t>
      </w:r>
      <w:bookmarkEnd w:id="161"/>
      <w:bookmarkEnd w:id="162"/>
    </w:p>
    <w:p w14:paraId="7A1E81EF" w14:textId="77777777" w:rsidR="005046C5" w:rsidRPr="00033E65" w:rsidRDefault="005046C5" w:rsidP="005046C5">
      <w:pPr>
        <w:rPr>
          <w:szCs w:val="22"/>
        </w:rPr>
      </w:pPr>
      <w:r w:rsidRPr="00033E65">
        <w:rPr>
          <w:szCs w:val="22"/>
        </w:rPr>
        <w:t>El Código Procesal Agrario incorpora normas referidas a procesos vinculados con personas indígenas para procurarles una tutela judicial efectiva, según se constató en varios artículos que se mencionan a continuación:</w:t>
      </w:r>
    </w:p>
    <w:p w14:paraId="7F6B9A8B" w14:textId="77777777" w:rsidR="005046C5" w:rsidRPr="00033E65" w:rsidRDefault="005046C5" w:rsidP="00845510">
      <w:pPr>
        <w:numPr>
          <w:ilvl w:val="0"/>
          <w:numId w:val="6"/>
        </w:numPr>
        <w:rPr>
          <w:szCs w:val="22"/>
        </w:rPr>
      </w:pPr>
      <w:r w:rsidRPr="00033E65">
        <w:rPr>
          <w:szCs w:val="22"/>
        </w:rPr>
        <w:t>El deber de considerar el derecho indígena, los dictámenes periciales culturales y sus formas de solución de conflictos, al momento de aplicar la normativa procesal (artículo 221);</w:t>
      </w:r>
    </w:p>
    <w:p w14:paraId="5E14B5EA" w14:textId="77777777" w:rsidR="005046C5" w:rsidRPr="00033E65" w:rsidRDefault="005046C5" w:rsidP="00845510">
      <w:pPr>
        <w:numPr>
          <w:ilvl w:val="0"/>
          <w:numId w:val="6"/>
        </w:numPr>
        <w:rPr>
          <w:szCs w:val="22"/>
        </w:rPr>
      </w:pPr>
      <w:r w:rsidRPr="00033E65">
        <w:rPr>
          <w:szCs w:val="22"/>
        </w:rPr>
        <w:t>La traducción de resoluciones y actuaciones a su idioma, así como el nombramiento de intérpretes con cargo al Poder Judicial (artículos 59 y 126);</w:t>
      </w:r>
    </w:p>
    <w:p w14:paraId="5B93AFBE" w14:textId="77777777" w:rsidR="005046C5" w:rsidRPr="00033E65" w:rsidRDefault="005046C5" w:rsidP="00845510">
      <w:pPr>
        <w:numPr>
          <w:ilvl w:val="0"/>
          <w:numId w:val="6"/>
        </w:numPr>
        <w:rPr>
          <w:szCs w:val="22"/>
        </w:rPr>
      </w:pPr>
      <w:r w:rsidRPr="00033E65">
        <w:rPr>
          <w:szCs w:val="22"/>
        </w:rPr>
        <w:t>La colaboración por parte del Poder Judicial o de las entidades públicas competentes, para cubrir los gastos derivados de la prueba en custodia (artículo 163).</w:t>
      </w:r>
    </w:p>
    <w:p w14:paraId="4BC9EEC7" w14:textId="77777777" w:rsidR="005046C5" w:rsidRPr="00033E65" w:rsidRDefault="005046C5" w:rsidP="00845510">
      <w:pPr>
        <w:numPr>
          <w:ilvl w:val="0"/>
          <w:numId w:val="6"/>
        </w:numPr>
        <w:rPr>
          <w:szCs w:val="22"/>
        </w:rPr>
      </w:pPr>
      <w:r w:rsidRPr="00033E65">
        <w:rPr>
          <w:szCs w:val="22"/>
        </w:rPr>
        <w:lastRenderedPageBreak/>
        <w:t>La puesta en práctica de los modelos alternativos para la solución de conflictos, conforme al derecho indígena, así como la especialización en derecho indígena de la defensa técnica legal gratuita (artículo 221); y</w:t>
      </w:r>
    </w:p>
    <w:p w14:paraId="1CDA3192" w14:textId="77777777" w:rsidR="005046C5" w:rsidRPr="00033E65" w:rsidRDefault="005046C5" w:rsidP="00845510">
      <w:pPr>
        <w:numPr>
          <w:ilvl w:val="0"/>
          <w:numId w:val="6"/>
        </w:numPr>
        <w:rPr>
          <w:szCs w:val="22"/>
        </w:rPr>
      </w:pPr>
      <w:r w:rsidRPr="00033E65">
        <w:rPr>
          <w:szCs w:val="22"/>
        </w:rPr>
        <w:t>La improcedencia de la ejecución provisional en los contratos y en bienes ubicados en territorios indígenas o pertenecientes a sus comunidades (artículo 299).</w:t>
      </w:r>
    </w:p>
    <w:p w14:paraId="6653A90B" w14:textId="0673FD71" w:rsidR="005046C5" w:rsidRPr="00033E65" w:rsidRDefault="005046C5" w:rsidP="00845510">
      <w:pPr>
        <w:numPr>
          <w:ilvl w:val="0"/>
          <w:numId w:val="6"/>
        </w:numPr>
        <w:rPr>
          <w:lang w:eastAsia="en-US"/>
        </w:rPr>
      </w:pPr>
      <w:r w:rsidRPr="00033E65">
        <w:rPr>
          <w:szCs w:val="22"/>
        </w:rPr>
        <w:t>Se le nombrará una persona intérprete, cuyo costo estará a cargo de quien lo requiera, salvo que se trate de una declaración de parte o testimonial. Si se trata de personas indígenas o patrocinadas por la defensa pública, la persona intérprete deberá ser suplida a cargo del Poder Judicial. Lo será también cuando se brinde permanentemente el servicio de traducción en el idioma correspondiente, en el circuito judicial al que pertenece el tribunal. (artículo 59)</w:t>
      </w:r>
      <w:r w:rsidR="00E624E5" w:rsidRPr="00033E65">
        <w:rPr>
          <w:szCs w:val="22"/>
        </w:rPr>
        <w:t xml:space="preserve"> </w:t>
      </w:r>
      <w:r w:rsidRPr="00033E65">
        <w:rPr>
          <w:bCs/>
          <w:szCs w:val="22"/>
        </w:rPr>
        <w:t xml:space="preserve">En la actualidad el Poder Judicial viene asumiendo los costos en los casos en que forme parte una persona indígena en materia Agraria, tal como se indica en el informe 634-PLA-RH-MI-2019 relacionado con el Impacto organizacional y presupuestario en el Poder Judicial, (Defensa Pública) a partir de la promulgación de la Ley 9593 de Acceso a la Justicia de los Pueblos Indígenas, </w:t>
      </w:r>
      <w:r w:rsidRPr="00033E65">
        <w:t>aprobado en la Sesión 22-19 de Corte Plena (Presupuesto 2020) celebrada el 6 de junio de 2019, Artículo IV; en el cual, se dispuso de manera textual:</w:t>
      </w:r>
    </w:p>
    <w:p w14:paraId="3289001C" w14:textId="4E9D1616" w:rsidR="005046C5" w:rsidRPr="00033E65" w:rsidRDefault="005046C5" w:rsidP="005046C5">
      <w:pPr>
        <w:ind w:left="708"/>
        <w:rPr>
          <w:i/>
          <w:iCs/>
        </w:rPr>
      </w:pPr>
      <w:r w:rsidRPr="00033E65">
        <w:rPr>
          <w:i/>
          <w:iCs/>
        </w:rPr>
        <w:t>“Aprobar por separado del Presupuesto Ordinario del Poder Judicial, los requerimientos correspondientes a la “Ley 9593. Acceso a la Justicia de los Pueblos Indígenas de Costa Rica” en la forma indicada. Así votaron las magistradas y los magistrados Cruz, Solís, Molinari, Aguirre, Sánchez, Olaso, Chacón, Ramírez, Solano, Hernández, Salazar Alvarado, Araya, las Suplentes y los Suplentes León Díaz, Aragón Cambronero, Blanco González, Zúñiga Morales, Segura Bonilla, Alfaro Vargas y Chacón Jiménez.”</w:t>
      </w:r>
      <w:r w:rsidR="008660E1" w:rsidRPr="00033E65">
        <w:rPr>
          <w:i/>
          <w:iCs/>
        </w:rPr>
        <w:t>.</w:t>
      </w:r>
    </w:p>
    <w:p w14:paraId="4A0AC719" w14:textId="0085EDB3" w:rsidR="005046C5" w:rsidRPr="004F391E" w:rsidRDefault="005046C5" w:rsidP="005046C5">
      <w:pPr>
        <w:rPr>
          <w:bCs/>
          <w:szCs w:val="22"/>
        </w:rPr>
      </w:pPr>
      <w:r w:rsidRPr="00033E65">
        <w:rPr>
          <w:bCs/>
          <w:szCs w:val="22"/>
        </w:rPr>
        <w:t>En el mismo se contempla la atención oportuna de los casos en donde se encuentre una persona indígena interviniente no solo en materia agraria si no en el resto de las materias jurisdiccionales.</w:t>
      </w:r>
      <w:r w:rsidR="00102AD3" w:rsidRPr="00033E65">
        <w:rPr>
          <w:bCs/>
          <w:szCs w:val="22"/>
        </w:rPr>
        <w:t xml:space="preserve"> </w:t>
      </w:r>
    </w:p>
    <w:p w14:paraId="1A84ED97" w14:textId="3F820FEE" w:rsidR="005046C5" w:rsidRPr="00033E65" w:rsidRDefault="00554C4E" w:rsidP="00951D3E">
      <w:pPr>
        <w:pStyle w:val="Ttulo3"/>
      </w:pPr>
      <w:bookmarkStart w:id="163" w:name="_Toc132639529"/>
      <w:r>
        <w:rPr>
          <w:bCs/>
          <w:szCs w:val="22"/>
        </w:rPr>
        <w:t>4</w:t>
      </w:r>
      <w:r w:rsidR="000D6CD3" w:rsidRPr="00033E65">
        <w:rPr>
          <w:bCs/>
          <w:szCs w:val="22"/>
        </w:rPr>
        <w:t>.6</w:t>
      </w:r>
      <w:r w:rsidR="005046C5" w:rsidRPr="00033E65">
        <w:rPr>
          <w:bCs/>
          <w:szCs w:val="22"/>
        </w:rPr>
        <w:t xml:space="preserve"> </w:t>
      </w:r>
      <w:r w:rsidR="005046C5" w:rsidRPr="00033E65">
        <w:t>Oralidad y tramitación electrónica</w:t>
      </w:r>
      <w:bookmarkEnd w:id="163"/>
    </w:p>
    <w:p w14:paraId="789B75B8" w14:textId="77777777" w:rsidR="005046C5" w:rsidRPr="00033E65" w:rsidRDefault="005046C5" w:rsidP="005046C5">
      <w:pPr>
        <w:rPr>
          <w:lang w:val="es-MX"/>
        </w:rPr>
      </w:pPr>
      <w:r w:rsidRPr="00033E65">
        <w:rPr>
          <w:lang w:val="es-MX"/>
        </w:rPr>
        <w:t>El Código Procesal Agrario introduce varias disposiciones relacionadas con la oralidad y la tramitación electrónica de los procesos agrarios, entre ellos lo indicado en el artículo 170 sobre la concentración de actos en audiencias orales; además el artículo 179 establece que cada Tribunal tendrá un registro de control de audiencias, lo que implicará para los Juzgados Agrarios llevar un orden en cuanto a las audiencias realizadas. De igual forma el artículo 180 se refiere al deber de registrar las audiencias en soportes aptos para la grabación y la reproducción de audio y video, o al menos en audio.</w:t>
      </w:r>
      <w:r w:rsidRPr="00033E65">
        <w:rPr>
          <w:lang w:val="es-MX"/>
        </w:rPr>
        <w:tab/>
      </w:r>
    </w:p>
    <w:p w14:paraId="7F001910" w14:textId="77777777" w:rsidR="005046C5" w:rsidRPr="00033E65" w:rsidRDefault="005046C5" w:rsidP="005046C5">
      <w:pPr>
        <w:rPr>
          <w:lang w:val="es-MX"/>
        </w:rPr>
      </w:pPr>
      <w:r w:rsidRPr="00033E65">
        <w:rPr>
          <w:lang w:val="es-MX"/>
        </w:rPr>
        <w:t>Además, el artículo 60 menciona lo relacionado a la formación del expediente electrónico, así como su consulta y conservación por esos medios.</w:t>
      </w:r>
    </w:p>
    <w:p w14:paraId="41CE7984" w14:textId="4296E8F9" w:rsidR="005046C5" w:rsidRPr="00033E65" w:rsidRDefault="005046C5" w:rsidP="005046C5">
      <w:pPr>
        <w:rPr>
          <w:szCs w:val="22"/>
        </w:rPr>
      </w:pPr>
      <w:r w:rsidRPr="00033E65">
        <w:rPr>
          <w:szCs w:val="22"/>
        </w:rPr>
        <w:t xml:space="preserve">Debido a que las audiencias se realizan fuera del despacho, todo el personal de la judicatura Agraria cuenta con equipo computo portátil, de acuerdo con el correo remitido por la Licda. </w:t>
      </w:r>
      <w:r w:rsidRPr="00033E65">
        <w:rPr>
          <w:szCs w:val="22"/>
        </w:rPr>
        <w:lastRenderedPageBreak/>
        <w:t>Fabiola Arancibia, de Tecnología de la Información</w:t>
      </w:r>
      <w:r w:rsidRPr="00033E65">
        <w:rPr>
          <w:i/>
          <w:iCs/>
          <w:szCs w:val="22"/>
        </w:rPr>
        <w:t xml:space="preserve"> (ver anexo </w:t>
      </w:r>
      <w:r w:rsidR="00762F59" w:rsidRPr="00033E65">
        <w:rPr>
          <w:i/>
          <w:iCs/>
          <w:szCs w:val="22"/>
        </w:rPr>
        <w:t>13</w:t>
      </w:r>
      <w:r w:rsidRPr="00033E65">
        <w:rPr>
          <w:i/>
          <w:iCs/>
          <w:szCs w:val="22"/>
        </w:rPr>
        <w:t>.</w:t>
      </w:r>
      <w:r w:rsidRPr="00033E65">
        <w:rPr>
          <w:i/>
          <w:iCs/>
          <w:szCs w:val="22"/>
          <w:lang w:eastAsia="es-CR"/>
        </w:rPr>
        <w:t xml:space="preserve"> Consulta sobre equipo de cómputo).</w:t>
      </w:r>
    </w:p>
    <w:p w14:paraId="29189CCA" w14:textId="77777777" w:rsidR="005046C5" w:rsidRPr="00033E65" w:rsidRDefault="005046C5" w:rsidP="005046C5">
      <w:pPr>
        <w:rPr>
          <w:szCs w:val="22"/>
        </w:rPr>
      </w:pPr>
      <w:r w:rsidRPr="00033E65">
        <w:rPr>
          <w:szCs w:val="22"/>
        </w:rPr>
        <w:t>Es importante indicar que los Juzgados Agrarios y el Tribunal Agrario ya funcionan de manera electrónica, pues a julio de 2017 se produjo el cierre de la brecha digital gracias a la colaboración de las Direcciones de Tecnología de la Información, Planificación y Ejecutiva. De ahí, que los procesos se tramitan, mediante el sistema de Escritorio Virtual. Por ello, no requiere costos adicionales para la implantación electrónica.</w:t>
      </w:r>
    </w:p>
    <w:p w14:paraId="3043B113" w14:textId="4BD85C58" w:rsidR="005046C5" w:rsidRPr="00033E65" w:rsidRDefault="00554C4E" w:rsidP="00951D3E">
      <w:pPr>
        <w:pStyle w:val="Ttulo3"/>
      </w:pPr>
      <w:bookmarkStart w:id="164" w:name="_Toc37670472"/>
      <w:bookmarkStart w:id="165" w:name="_Toc132639530"/>
      <w:r>
        <w:t>4</w:t>
      </w:r>
      <w:r w:rsidR="000D6CD3" w:rsidRPr="00033E65">
        <w:t xml:space="preserve">.7 </w:t>
      </w:r>
      <w:r w:rsidR="005046C5" w:rsidRPr="00033E65">
        <w:t xml:space="preserve">Fuentes de </w:t>
      </w:r>
      <w:r w:rsidR="008744F8" w:rsidRPr="00033E65">
        <w:t>F</w:t>
      </w:r>
      <w:r w:rsidR="005046C5" w:rsidRPr="00033E65">
        <w:t>inanciamiento</w:t>
      </w:r>
      <w:bookmarkEnd w:id="164"/>
      <w:bookmarkEnd w:id="165"/>
      <w:r w:rsidR="005046C5" w:rsidRPr="00033E65">
        <w:t xml:space="preserve"> </w:t>
      </w:r>
    </w:p>
    <w:p w14:paraId="2FECE884" w14:textId="77777777" w:rsidR="005046C5" w:rsidRPr="00033E65" w:rsidRDefault="005046C5" w:rsidP="005046C5">
      <w:pPr>
        <w:rPr>
          <w:szCs w:val="22"/>
          <w:lang w:eastAsia="en-US"/>
        </w:rPr>
      </w:pPr>
      <w:r w:rsidRPr="00033E65">
        <w:rPr>
          <w:szCs w:val="22"/>
        </w:rPr>
        <w:t>El Código Procesal Agrario, plantea dos opciones de financiamiento, como se detallan a continuación:</w:t>
      </w:r>
    </w:p>
    <w:p w14:paraId="2EA0D5CA" w14:textId="4470576B" w:rsidR="005046C5" w:rsidRPr="00033E65" w:rsidRDefault="005046C5" w:rsidP="00845510">
      <w:pPr>
        <w:numPr>
          <w:ilvl w:val="0"/>
          <w:numId w:val="7"/>
        </w:numPr>
        <w:rPr>
          <w:szCs w:val="22"/>
        </w:rPr>
      </w:pPr>
      <w:r w:rsidRPr="00033E65">
        <w:rPr>
          <w:szCs w:val="22"/>
        </w:rPr>
        <w:t xml:space="preserve">Los montos de las multas impuestas a las personas usuarias por su no asistencia de manera injustificada a las audiencias de prueba se impondrá una multa del 50% de un salario base, establecido según el artículo 2 de la </w:t>
      </w:r>
      <w:r w:rsidR="00490635" w:rsidRPr="00033E65">
        <w:rPr>
          <w:szCs w:val="22"/>
        </w:rPr>
        <w:t>Ley 7337</w:t>
      </w:r>
      <w:r w:rsidRPr="00033E65">
        <w:rPr>
          <w:szCs w:val="22"/>
        </w:rPr>
        <w:t>, de 5 de mayo de 1993; pasan a formar un fondo de financiamiento de la Jurisdicción Agraria. (artículo 72)</w:t>
      </w:r>
    </w:p>
    <w:p w14:paraId="6B3664F2" w14:textId="77777777" w:rsidR="005046C5" w:rsidRPr="00033E65" w:rsidRDefault="005046C5" w:rsidP="00845510">
      <w:pPr>
        <w:numPr>
          <w:ilvl w:val="0"/>
          <w:numId w:val="7"/>
        </w:numPr>
        <w:rPr>
          <w:szCs w:val="22"/>
        </w:rPr>
      </w:pPr>
      <w:r w:rsidRPr="00033E65">
        <w:rPr>
          <w:szCs w:val="22"/>
        </w:rPr>
        <w:t>Las sumas provenientes de las costas personales que deben cancelarse a las personas usuarias que han sido defendidas por defensores públicos agrarios, montos que se asignarán un 50% a fortalecer la Defensa Pública Agraria y otro 50% a la Jurisdicción Agraria. (artículo 47)</w:t>
      </w:r>
    </w:p>
    <w:p w14:paraId="20CB8B75" w14:textId="77777777" w:rsidR="005046C5" w:rsidRPr="00033E65" w:rsidRDefault="005046C5" w:rsidP="005046C5">
      <w:pPr>
        <w:rPr>
          <w:szCs w:val="22"/>
        </w:rPr>
      </w:pPr>
      <w:r w:rsidRPr="00033E65">
        <w:rPr>
          <w:szCs w:val="22"/>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3BB1BE94" w14:textId="77777777" w:rsidR="005046C5" w:rsidRPr="00033E65" w:rsidRDefault="005046C5" w:rsidP="005046C5">
      <w:pPr>
        <w:rPr>
          <w:szCs w:val="22"/>
        </w:rPr>
      </w:pPr>
      <w:r w:rsidRPr="00033E65">
        <w:rPr>
          <w:szCs w:val="22"/>
        </w:rPr>
        <w:t>Actualmente, la Defensa Pública cuenta con una plaza de Técnico Administrativo 2 para que dentro de sus funciones también asuma el manejo, registro, control contable, presupuestario y ejecución de los recursos que se generen producto de la Reforma Agraria, tal y como se realiza con la materia de Trabajo.</w:t>
      </w:r>
    </w:p>
    <w:p w14:paraId="28E8D887" w14:textId="651652E2" w:rsidR="007F195F" w:rsidRPr="00033E65" w:rsidRDefault="005046C5" w:rsidP="005046C5">
      <w:r w:rsidRPr="00033E65">
        <w:rPr>
          <w:szCs w:val="22"/>
        </w:rPr>
        <w:t xml:space="preserve">En el informe de fin de gestión Coordinación Proyecto de Implementación Reforma Procesal Agraria, de la Magistrada Damaris Vargas </w:t>
      </w:r>
      <w:r w:rsidRPr="00033E65">
        <w:rPr>
          <w:i/>
          <w:iCs/>
          <w:szCs w:val="22"/>
        </w:rPr>
        <w:t xml:space="preserve">(ver anexo </w:t>
      </w:r>
      <w:r w:rsidR="00762F59" w:rsidRPr="00033E65">
        <w:rPr>
          <w:i/>
          <w:iCs/>
          <w:szCs w:val="22"/>
        </w:rPr>
        <w:t>14</w:t>
      </w:r>
      <w:r w:rsidRPr="00033E65">
        <w:rPr>
          <w:i/>
          <w:iCs/>
          <w:szCs w:val="22"/>
        </w:rPr>
        <w:t xml:space="preserve"> Informe de Fin de Gestión Coordinación Proyecto de Implementación Reforma Procesal Agraria) </w:t>
      </w:r>
      <w:r w:rsidRPr="00033E65">
        <w:rPr>
          <w:szCs w:val="22"/>
        </w:rPr>
        <w:t>, expone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w:t>
      </w:r>
      <w:r w:rsidR="00F44BEC" w:rsidRPr="00033E65">
        <w:rPr>
          <w:szCs w:val="22"/>
        </w:rPr>
        <w:t xml:space="preserve">,  lo cual se confirmó con entrevista con la actual Jueza Gestora. </w:t>
      </w:r>
      <w:bookmarkStart w:id="166" w:name="_Toc37670473"/>
      <w:r w:rsidRPr="00033E65">
        <w:t xml:space="preserve">Economía </w:t>
      </w:r>
      <w:r w:rsidR="008744F8" w:rsidRPr="00033E65">
        <w:t>P</w:t>
      </w:r>
      <w:r w:rsidRPr="00033E65">
        <w:t>rocesal</w:t>
      </w:r>
      <w:bookmarkEnd w:id="166"/>
    </w:p>
    <w:p w14:paraId="01B15455" w14:textId="18829526" w:rsidR="004F391E" w:rsidRDefault="005046C5" w:rsidP="005046C5">
      <w:pPr>
        <w:rPr>
          <w:szCs w:val="22"/>
        </w:rPr>
      </w:pPr>
      <w:r w:rsidRPr="00033E65">
        <w:rPr>
          <w:szCs w:val="22"/>
        </w:rPr>
        <w:t>En el diagrama que se muestra a continuación se puede observar los pasos requeridos actualmente para la ejecución del proceso de atención de asuntos de la materia Agraria.</w:t>
      </w:r>
    </w:p>
    <w:p w14:paraId="64A091F8" w14:textId="77777777" w:rsidR="004F391E" w:rsidRDefault="004F391E">
      <w:pPr>
        <w:spacing w:before="0" w:after="160" w:line="259" w:lineRule="auto"/>
        <w:jc w:val="left"/>
        <w:rPr>
          <w:szCs w:val="22"/>
        </w:rPr>
      </w:pPr>
      <w:r>
        <w:rPr>
          <w:szCs w:val="22"/>
        </w:rPr>
        <w:br w:type="page"/>
      </w:r>
    </w:p>
    <w:p w14:paraId="0AFCFA5A" w14:textId="6C5E4A44" w:rsidR="005046C5" w:rsidRPr="00033E65" w:rsidRDefault="005046C5" w:rsidP="004F391E">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033E65">
        <w:rPr>
          <w:rFonts w:ascii="Book Antiqua" w:hAnsi="Book Antiqua"/>
          <w:bCs w:val="0"/>
          <w:iCs/>
          <w:color w:val="244061" w:themeColor="accent1" w:themeShade="80"/>
          <w:sz w:val="24"/>
          <w:szCs w:val="28"/>
          <w:lang w:val="es-CR"/>
        </w:rPr>
        <w:lastRenderedPageBreak/>
        <w:t xml:space="preserve">Figura </w:t>
      </w:r>
      <w:r w:rsidRPr="00033E65">
        <w:rPr>
          <w:rFonts w:ascii="Book Antiqua" w:hAnsi="Book Antiqua"/>
          <w:bCs w:val="0"/>
          <w:iCs/>
          <w:color w:val="244061" w:themeColor="accent1" w:themeShade="80"/>
          <w:sz w:val="24"/>
          <w:szCs w:val="28"/>
          <w:lang w:val="es-CR"/>
        </w:rPr>
        <w:fldChar w:fldCharType="begin"/>
      </w:r>
      <w:r w:rsidRPr="00033E65">
        <w:rPr>
          <w:rFonts w:ascii="Book Antiqua" w:hAnsi="Book Antiqua"/>
          <w:bCs w:val="0"/>
          <w:iCs/>
          <w:color w:val="244061" w:themeColor="accent1" w:themeShade="80"/>
          <w:sz w:val="24"/>
          <w:szCs w:val="28"/>
          <w:lang w:val="es-CR"/>
        </w:rPr>
        <w:instrText xml:space="preserve"> SEQ Diagrama \* ARABIC </w:instrText>
      </w:r>
      <w:r w:rsidRPr="00033E65">
        <w:rPr>
          <w:rFonts w:ascii="Book Antiqua" w:hAnsi="Book Antiqua"/>
          <w:bCs w:val="0"/>
          <w:iCs/>
          <w:color w:val="244061" w:themeColor="accent1" w:themeShade="80"/>
          <w:sz w:val="24"/>
          <w:szCs w:val="28"/>
          <w:lang w:val="es-CR"/>
        </w:rPr>
        <w:fldChar w:fldCharType="separate"/>
      </w:r>
      <w:r w:rsidR="000B4B78" w:rsidRPr="00033E65">
        <w:rPr>
          <w:rFonts w:ascii="Book Antiqua" w:hAnsi="Book Antiqua"/>
          <w:bCs w:val="0"/>
          <w:iCs/>
          <w:noProof/>
          <w:color w:val="244061" w:themeColor="accent1" w:themeShade="80"/>
          <w:sz w:val="24"/>
          <w:szCs w:val="28"/>
          <w:lang w:val="es-CR"/>
        </w:rPr>
        <w:t>1</w:t>
      </w:r>
      <w:r w:rsidRPr="00033E65">
        <w:rPr>
          <w:rFonts w:ascii="Book Antiqua" w:hAnsi="Book Antiqua"/>
          <w:bCs w:val="0"/>
          <w:iCs/>
          <w:color w:val="244061" w:themeColor="accent1" w:themeShade="80"/>
          <w:sz w:val="24"/>
          <w:szCs w:val="28"/>
          <w:lang w:val="es-CR"/>
        </w:rPr>
        <w:fldChar w:fldCharType="end"/>
      </w:r>
    </w:p>
    <w:p w14:paraId="261D0E63" w14:textId="77777777" w:rsidR="005046C5" w:rsidRPr="00033E65"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033E65">
        <w:rPr>
          <w:rFonts w:ascii="Book Antiqua" w:hAnsi="Book Antiqua"/>
          <w:bCs w:val="0"/>
          <w:iCs/>
          <w:color w:val="244061" w:themeColor="accent1" w:themeShade="80"/>
          <w:sz w:val="24"/>
          <w:szCs w:val="28"/>
          <w:lang w:val="es-CR"/>
        </w:rPr>
        <w:t>Flujograma del Proceso actual de tramitación de la materia Agraria</w:t>
      </w:r>
    </w:p>
    <w:p w14:paraId="43BDC592" w14:textId="77777777" w:rsidR="005046C5" w:rsidRPr="00033E65" w:rsidRDefault="005046C5" w:rsidP="005046C5">
      <w:pPr>
        <w:jc w:val="center"/>
      </w:pPr>
      <w:r w:rsidRPr="00033E65">
        <w:rPr>
          <w:noProof/>
          <w:lang w:eastAsia="es-CR"/>
        </w:rPr>
        <w:drawing>
          <wp:inline distT="0" distB="0" distL="0" distR="0" wp14:anchorId="046A50CB" wp14:editId="7DAA3D15">
            <wp:extent cx="4861560" cy="337566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3" cstate="print"/>
                    <a:srcRect/>
                    <a:stretch>
                      <a:fillRect/>
                    </a:stretch>
                  </pic:blipFill>
                  <pic:spPr bwMode="auto">
                    <a:xfrm>
                      <a:off x="0" y="0"/>
                      <a:ext cx="4861560" cy="3375660"/>
                    </a:xfrm>
                    <a:prstGeom prst="rect">
                      <a:avLst/>
                    </a:prstGeom>
                    <a:noFill/>
                    <a:ln w="9525">
                      <a:noFill/>
                      <a:miter lim="800000"/>
                      <a:headEnd/>
                      <a:tailEnd/>
                    </a:ln>
                  </pic:spPr>
                </pic:pic>
              </a:graphicData>
            </a:graphic>
          </wp:inline>
        </w:drawing>
      </w:r>
    </w:p>
    <w:p w14:paraId="625145EB" w14:textId="21AD7069" w:rsidR="005046C5" w:rsidRPr="00033E65" w:rsidRDefault="005046C5" w:rsidP="005046C5">
      <w:pPr>
        <w:ind w:left="567" w:right="616"/>
        <w:rPr>
          <w:b/>
          <w:i/>
          <w:sz w:val="18"/>
          <w:szCs w:val="18"/>
          <w:lang w:eastAsia="en-US"/>
        </w:rPr>
      </w:pPr>
      <w:r w:rsidRPr="00033E65">
        <w:rPr>
          <w:b/>
          <w:i/>
          <w:sz w:val="18"/>
          <w:szCs w:val="18"/>
          <w:lang w:eastAsia="en-US"/>
        </w:rPr>
        <w:t>Fuente: Subproceso de Modernización Institucional</w:t>
      </w:r>
      <w:r w:rsidR="00884004" w:rsidRPr="00033E65">
        <w:rPr>
          <w:b/>
          <w:i/>
          <w:sz w:val="18"/>
          <w:szCs w:val="18"/>
          <w:lang w:eastAsia="en-US"/>
        </w:rPr>
        <w:t>, área No Penal</w:t>
      </w:r>
    </w:p>
    <w:p w14:paraId="62F442A7" w14:textId="77777777" w:rsidR="005046C5" w:rsidRPr="00033E65" w:rsidRDefault="005046C5" w:rsidP="005046C5"/>
    <w:p w14:paraId="4FADEB4A" w14:textId="77777777" w:rsidR="005046C5" w:rsidRPr="00033E65" w:rsidRDefault="005046C5" w:rsidP="005046C5">
      <w:r w:rsidRPr="00033E65">
        <w:t>Con la implementación del Código Procesal Agrario surgen una serie de ajustes que vienen a reducir los tiempos de proceso y agilización de los trámites, a continuación, se detallan algunos de los principales cambios:</w:t>
      </w:r>
    </w:p>
    <w:p w14:paraId="5E2861EE" w14:textId="77777777" w:rsidR="005046C5" w:rsidRPr="00033E65" w:rsidRDefault="005046C5" w:rsidP="00845510">
      <w:pPr>
        <w:pStyle w:val="Prrafodelista"/>
        <w:numPr>
          <w:ilvl w:val="0"/>
          <w:numId w:val="8"/>
        </w:numPr>
        <w:contextualSpacing w:val="0"/>
      </w:pPr>
      <w:r w:rsidRPr="00033E65">
        <w:t xml:space="preserve">La declaración de las incompetencias se podrá declarar de oficio en el Juzgado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4E41BE74" w14:textId="77777777" w:rsidR="005046C5" w:rsidRPr="00033E65" w:rsidRDefault="005046C5" w:rsidP="00845510">
      <w:pPr>
        <w:pStyle w:val="Prrafodelista"/>
        <w:numPr>
          <w:ilvl w:val="0"/>
          <w:numId w:val="8"/>
        </w:numPr>
        <w:contextualSpacing w:val="0"/>
      </w:pPr>
      <w:r w:rsidRPr="00033E65">
        <w:t>Otro aspecto importante que permite agilidad en el proceso, serán las audiencias previas que se deben realizar en el sitio (artículo 173 del CPA), esto va a permitir que en esa audiencia se concentren varias acciones (conciliaciones, medidas cautelares, defensas previas, incidentes, ampliaciones, entre otras) del proceso, permitiendo agilizar el proceso.</w:t>
      </w:r>
    </w:p>
    <w:p w14:paraId="4B343D8F" w14:textId="77777777" w:rsidR="005046C5" w:rsidRPr="00033E65" w:rsidRDefault="005046C5" w:rsidP="00845510">
      <w:pPr>
        <w:pStyle w:val="Prrafodelista"/>
        <w:numPr>
          <w:ilvl w:val="0"/>
          <w:numId w:val="8"/>
        </w:numPr>
        <w:contextualSpacing w:val="0"/>
      </w:pPr>
      <w:bookmarkStart w:id="167" w:name="_Hlk862116"/>
      <w:r w:rsidRPr="00033E65">
        <w:t xml:space="preserve">Actualmente la legislación establece que las sentencias se deben de dictar de forma </w:t>
      </w:r>
      <w:bookmarkEnd w:id="167"/>
      <w:r w:rsidRPr="00033E65">
        <w:t xml:space="preserve">escrita y estableciendo un plazo para la elaboración, con la implementación del CPA establece que las sentencias se dicten de forma oral al momento del juicio o audiencia </w:t>
      </w:r>
      <w:r w:rsidRPr="00033E65">
        <w:lastRenderedPageBreak/>
        <w:t xml:space="preserve">(artículo 79), esto va a permitir agilizar los procesos y beneficiar a la persona usuaria, incluso que la Apelación sea presentada de forma siguiente al dictado de la sentencia. </w:t>
      </w:r>
    </w:p>
    <w:p w14:paraId="2E2A737D" w14:textId="77777777" w:rsidR="005046C5" w:rsidRPr="00033E65" w:rsidRDefault="005046C5" w:rsidP="005046C5">
      <w:r w:rsidRPr="00033E65">
        <w:t>Por razones de seguridad e integridad del Tribunal y demás asistentes a la audiencia u otras razones referidas al tiempo y el lugar donde se realice la audiencia, la sentencia podrá emitirse en el plazo de cinco días. En supuestos de excepcional complejidad, su dictado íntegro se podrá realizar en el plazo de veintidós días hábiles. El tribunal deberá exponer el fundamento de la decisión.</w:t>
      </w:r>
    </w:p>
    <w:p w14:paraId="2D9D4266" w14:textId="77777777" w:rsidR="005046C5" w:rsidRPr="00033E65" w:rsidRDefault="005046C5" w:rsidP="005046C5">
      <w:r w:rsidRPr="00033E65">
        <w:t xml:space="preserve">En seguida se muestra el nuevo proceso que se plantea en el Código Procesal Agrario (CPA), donde se estima que impulsará una tramitación más simple y expedita, gracias al uso de la conciliación y la oralidad. </w:t>
      </w:r>
    </w:p>
    <w:p w14:paraId="0509218B" w14:textId="3376CFE2" w:rsidR="005046C5" w:rsidRPr="00033E65"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033E65">
        <w:rPr>
          <w:rFonts w:ascii="Book Antiqua" w:hAnsi="Book Antiqua"/>
          <w:bCs w:val="0"/>
          <w:iCs/>
          <w:color w:val="244061" w:themeColor="accent1" w:themeShade="80"/>
          <w:sz w:val="24"/>
          <w:szCs w:val="28"/>
          <w:lang w:val="es-CR"/>
        </w:rPr>
        <w:t xml:space="preserve">Figura </w:t>
      </w:r>
      <w:r w:rsidRPr="00033E65">
        <w:rPr>
          <w:rFonts w:ascii="Book Antiqua" w:hAnsi="Book Antiqua"/>
          <w:bCs w:val="0"/>
          <w:iCs/>
          <w:color w:val="244061" w:themeColor="accent1" w:themeShade="80"/>
          <w:sz w:val="24"/>
          <w:szCs w:val="28"/>
          <w:lang w:val="es-CR"/>
        </w:rPr>
        <w:fldChar w:fldCharType="begin"/>
      </w:r>
      <w:r w:rsidRPr="00033E65">
        <w:rPr>
          <w:rFonts w:ascii="Book Antiqua" w:hAnsi="Book Antiqua"/>
          <w:bCs w:val="0"/>
          <w:iCs/>
          <w:color w:val="244061" w:themeColor="accent1" w:themeShade="80"/>
          <w:sz w:val="24"/>
          <w:szCs w:val="28"/>
          <w:lang w:val="es-CR"/>
        </w:rPr>
        <w:instrText xml:space="preserve"> SEQ Diagrama \* ARABIC </w:instrText>
      </w:r>
      <w:r w:rsidRPr="00033E65">
        <w:rPr>
          <w:rFonts w:ascii="Book Antiqua" w:hAnsi="Book Antiqua"/>
          <w:bCs w:val="0"/>
          <w:iCs/>
          <w:color w:val="244061" w:themeColor="accent1" w:themeShade="80"/>
          <w:sz w:val="24"/>
          <w:szCs w:val="28"/>
          <w:lang w:val="es-CR"/>
        </w:rPr>
        <w:fldChar w:fldCharType="separate"/>
      </w:r>
      <w:r w:rsidR="000B4B78" w:rsidRPr="00033E65">
        <w:rPr>
          <w:rFonts w:ascii="Book Antiqua" w:hAnsi="Book Antiqua"/>
          <w:bCs w:val="0"/>
          <w:iCs/>
          <w:noProof/>
          <w:color w:val="244061" w:themeColor="accent1" w:themeShade="80"/>
          <w:sz w:val="24"/>
          <w:szCs w:val="28"/>
          <w:lang w:val="es-CR"/>
        </w:rPr>
        <w:t>2</w:t>
      </w:r>
      <w:r w:rsidRPr="00033E65">
        <w:rPr>
          <w:rFonts w:ascii="Book Antiqua" w:hAnsi="Book Antiqua"/>
          <w:bCs w:val="0"/>
          <w:iCs/>
          <w:color w:val="244061" w:themeColor="accent1" w:themeShade="80"/>
          <w:sz w:val="24"/>
          <w:szCs w:val="28"/>
          <w:lang w:val="es-CR"/>
        </w:rPr>
        <w:fldChar w:fldCharType="end"/>
      </w:r>
    </w:p>
    <w:p w14:paraId="4A5886D8" w14:textId="77777777" w:rsidR="005046C5" w:rsidRPr="00033E65"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033E65">
        <w:rPr>
          <w:rFonts w:ascii="Book Antiqua" w:hAnsi="Book Antiqua"/>
          <w:bCs w:val="0"/>
          <w:iCs/>
          <w:color w:val="244061" w:themeColor="accent1" w:themeShade="80"/>
          <w:sz w:val="24"/>
          <w:szCs w:val="28"/>
          <w:lang w:val="es-CR"/>
        </w:rPr>
        <w:t>Flujograma del Nuevo Proceso según el Proyecto de Código Procesal Agrario</w:t>
      </w:r>
    </w:p>
    <w:p w14:paraId="4139F2E5" w14:textId="77777777" w:rsidR="005046C5" w:rsidRPr="00033E65" w:rsidRDefault="005046C5" w:rsidP="005046C5">
      <w:pPr>
        <w:jc w:val="center"/>
      </w:pPr>
      <w:r w:rsidRPr="00033E65">
        <w:object w:dxaOrig="13313" w:dyaOrig="9558" w14:anchorId="06F637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6pt;height:258pt" o:ole="">
            <v:imagedata r:id="rId14" o:title=""/>
          </v:shape>
          <o:OLEObject Type="Embed" ProgID="Visio.Drawing.11" ShapeID="_x0000_i1025" DrawAspect="Content" ObjectID="_1745989759" r:id="rId15"/>
        </w:object>
      </w:r>
    </w:p>
    <w:p w14:paraId="672820A4" w14:textId="4404412E" w:rsidR="005046C5" w:rsidRPr="00033E65" w:rsidRDefault="005046C5" w:rsidP="005046C5">
      <w:pPr>
        <w:rPr>
          <w:b/>
          <w:i/>
          <w:sz w:val="18"/>
          <w:szCs w:val="18"/>
          <w:lang w:eastAsia="en-US"/>
        </w:rPr>
      </w:pPr>
      <w:r w:rsidRPr="00033E65">
        <w:rPr>
          <w:b/>
          <w:i/>
          <w:sz w:val="18"/>
          <w:szCs w:val="18"/>
          <w:lang w:eastAsia="en-US"/>
        </w:rPr>
        <w:t>Fuente: Subproceso de Modernización Institucional</w:t>
      </w:r>
      <w:r w:rsidR="00884004" w:rsidRPr="00033E65">
        <w:rPr>
          <w:b/>
          <w:i/>
          <w:sz w:val="18"/>
          <w:szCs w:val="18"/>
          <w:lang w:eastAsia="en-US"/>
        </w:rPr>
        <w:t xml:space="preserve">, área </w:t>
      </w:r>
      <w:r w:rsidR="006343AE" w:rsidRPr="00033E65">
        <w:rPr>
          <w:b/>
          <w:i/>
          <w:sz w:val="18"/>
          <w:szCs w:val="18"/>
          <w:lang w:eastAsia="en-US"/>
        </w:rPr>
        <w:t>No Penal.</w:t>
      </w:r>
    </w:p>
    <w:p w14:paraId="096E1536" w14:textId="24D6837B" w:rsidR="005046C5" w:rsidRPr="00033E65" w:rsidRDefault="005046C5" w:rsidP="005046C5">
      <w:r w:rsidRPr="00033E65">
        <w:t>Importante mencionar, que se espera que, con este nuevo proceso agrario, los tiempos de respuesta en el dictado de la resolución disminuyan considerablemente; principalmente por incorporar la fase de conciliación que se desarrolla en las actividades de la audiencia preliminar.</w:t>
      </w:r>
    </w:p>
    <w:p w14:paraId="60E6186C" w14:textId="23C15D17" w:rsidR="00BB1180" w:rsidRPr="00033E65" w:rsidRDefault="00554C4E" w:rsidP="00554C4E">
      <w:pPr>
        <w:pStyle w:val="Ttulo2"/>
        <w:numPr>
          <w:ilvl w:val="0"/>
          <w:numId w:val="0"/>
        </w:numPr>
      </w:pPr>
      <w:bookmarkStart w:id="168" w:name="_Toc132639531"/>
      <w:r>
        <w:lastRenderedPageBreak/>
        <w:t xml:space="preserve">5. </w:t>
      </w:r>
      <w:r w:rsidR="00BB1180" w:rsidRPr="00033E65">
        <w:t xml:space="preserve">Análisis de </w:t>
      </w:r>
      <w:r w:rsidR="008744F8" w:rsidRPr="00033E65">
        <w:t>C</w:t>
      </w:r>
      <w:r w:rsidR="00BB1180" w:rsidRPr="00033E65">
        <w:t xml:space="preserve">argas de </w:t>
      </w:r>
      <w:r w:rsidR="008744F8" w:rsidRPr="00033E65">
        <w:t>T</w:t>
      </w:r>
      <w:r w:rsidR="00BB1180" w:rsidRPr="00033E65">
        <w:t xml:space="preserve">rabajo </w:t>
      </w:r>
      <w:bookmarkEnd w:id="152"/>
      <w:r w:rsidR="00BB1180" w:rsidRPr="00033E65">
        <w:t>Juzgados Especializados Agrarios</w:t>
      </w:r>
      <w:bookmarkEnd w:id="168"/>
    </w:p>
    <w:p w14:paraId="7643CFE8" w14:textId="3ECA6796" w:rsidR="00BB1180" w:rsidRPr="00033E65" w:rsidRDefault="00BB1180" w:rsidP="00BB1180">
      <w:r w:rsidRPr="00033E65">
        <w:t>Tomando en consideración el impacto del nuevo Código Procesal Agrario para el 202</w:t>
      </w:r>
      <w:r w:rsidR="008973C8" w:rsidRPr="00033E65">
        <w:t>3</w:t>
      </w:r>
      <w:r w:rsidRPr="00033E65">
        <w:t>, es importante realizar un análisis de las cargas de trabajo (casos entrados nuevos + casos reentrados) durante el periodo 2016 – 20</w:t>
      </w:r>
      <w:r w:rsidR="008973C8" w:rsidRPr="00033E65">
        <w:t>2</w:t>
      </w:r>
      <w:r w:rsidR="00D10BE6" w:rsidRPr="00033E65">
        <w:t>2</w:t>
      </w:r>
      <w:r w:rsidRPr="00033E65">
        <w:t xml:space="preserve">, con el personal existente en cada una de las dependencias especializadas del país, el cual se resume en el siguiente cuadro: </w:t>
      </w:r>
    </w:p>
    <w:p w14:paraId="228BEDF8" w14:textId="558B06D0" w:rsidR="00BB1180" w:rsidRPr="00033E65" w:rsidRDefault="00BB1180"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Cuadro </w:t>
      </w:r>
      <w:r w:rsidR="00165232" w:rsidRPr="00033E65">
        <w:rPr>
          <w:rFonts w:eastAsia="Times New Roman" w:cs="Arial"/>
          <w:iCs/>
          <w:spacing w:val="0"/>
          <w:szCs w:val="28"/>
          <w:lang w:val="es-CR" w:eastAsia="es-ES"/>
        </w:rPr>
        <w:t>8</w:t>
      </w:r>
    </w:p>
    <w:p w14:paraId="6D351224" w14:textId="27070EC5" w:rsidR="00BB1180" w:rsidRPr="00033E65" w:rsidRDefault="00BB1180" w:rsidP="003F0A3A">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Análisis comparativo de la cantidad carga trabajo (entrados + reentrados), en Despachos Especializados Agrarios 2016-20</w:t>
      </w:r>
      <w:r w:rsidR="008973C8" w:rsidRPr="00033E65">
        <w:rPr>
          <w:rFonts w:eastAsia="Times New Roman" w:cs="Arial"/>
          <w:spacing w:val="0"/>
          <w:lang w:val="es-CR" w:eastAsia="es-ES"/>
        </w:rPr>
        <w:t>2</w:t>
      </w:r>
      <w:r w:rsidR="030C13D2" w:rsidRPr="00033E65">
        <w:rPr>
          <w:rFonts w:eastAsia="Times New Roman" w:cs="Arial"/>
          <w:spacing w:val="0"/>
          <w:lang w:val="es-CR" w:eastAsia="es-ES"/>
        </w:rPr>
        <w:t>2</w:t>
      </w:r>
    </w:p>
    <w:p w14:paraId="277064B3" w14:textId="77777777" w:rsidR="00DD5CC8" w:rsidRPr="00033E65" w:rsidRDefault="00DD5CC8" w:rsidP="003F0A3A">
      <w:pPr>
        <w:pStyle w:val="Ttulo"/>
        <w:spacing w:before="0" w:after="0"/>
        <w:jc w:val="center"/>
        <w:rPr>
          <w:rFonts w:eastAsia="Times New Roman" w:cs="Arial"/>
          <w:iCs/>
          <w:spacing w:val="0"/>
          <w:szCs w:val="28"/>
          <w:lang w:val="es-CR" w:eastAsia="es-ES"/>
        </w:rPr>
      </w:pPr>
    </w:p>
    <w:tbl>
      <w:tblPr>
        <w:tblW w:w="11798" w:type="dxa"/>
        <w:jc w:val="center"/>
        <w:tblLayout w:type="fixed"/>
        <w:tblCellMar>
          <w:left w:w="70" w:type="dxa"/>
          <w:right w:w="70" w:type="dxa"/>
        </w:tblCellMar>
        <w:tblLook w:val="04A0" w:firstRow="1" w:lastRow="0" w:firstColumn="1" w:lastColumn="0" w:noHBand="0" w:noVBand="1"/>
      </w:tblPr>
      <w:tblGrid>
        <w:gridCol w:w="3969"/>
        <w:gridCol w:w="1418"/>
        <w:gridCol w:w="1585"/>
        <w:gridCol w:w="1701"/>
        <w:gridCol w:w="1417"/>
        <w:gridCol w:w="1701"/>
        <w:gridCol w:w="7"/>
      </w:tblGrid>
      <w:tr w:rsidR="0060735A" w:rsidRPr="00033E65" w14:paraId="3AFF24C9" w14:textId="77777777" w:rsidTr="00274042">
        <w:trPr>
          <w:gridAfter w:val="1"/>
          <w:wAfter w:w="7" w:type="dxa"/>
          <w:trHeight w:val="20"/>
          <w:tblHeader/>
          <w:jc w:val="center"/>
        </w:trPr>
        <w:tc>
          <w:tcPr>
            <w:tcW w:w="3969" w:type="dxa"/>
            <w:tcBorders>
              <w:top w:val="double" w:sz="6" w:space="0" w:color="44546A"/>
              <w:left w:val="double" w:sz="6" w:space="0" w:color="44546A"/>
              <w:bottom w:val="double" w:sz="6" w:space="0" w:color="44546A"/>
              <w:right w:val="double" w:sz="6" w:space="0" w:color="44546A"/>
            </w:tcBorders>
            <w:shd w:val="clear" w:color="auto" w:fill="0673A5"/>
            <w:noWrap/>
            <w:vAlign w:val="center"/>
            <w:hideMark/>
          </w:tcPr>
          <w:p w14:paraId="73F69FF9" w14:textId="77777777" w:rsidR="00DD5CC8" w:rsidRPr="00033E65" w:rsidRDefault="00DD5CC8" w:rsidP="00DD5CC8">
            <w:pPr>
              <w:spacing w:before="0" w:after="0"/>
              <w:jc w:val="center"/>
              <w:rPr>
                <w:b/>
                <w:bCs/>
                <w:color w:val="FFFFFF"/>
                <w:szCs w:val="22"/>
                <w:lang w:eastAsia="es-CR"/>
              </w:rPr>
            </w:pPr>
            <w:r w:rsidRPr="00033E65">
              <w:rPr>
                <w:b/>
                <w:bCs/>
                <w:color w:val="FFFFFF"/>
                <w:szCs w:val="22"/>
                <w:lang w:eastAsia="es-CR"/>
              </w:rPr>
              <w:t>Despacho</w:t>
            </w:r>
          </w:p>
        </w:tc>
        <w:tc>
          <w:tcPr>
            <w:tcW w:w="1418" w:type="dxa"/>
            <w:tcBorders>
              <w:top w:val="double" w:sz="6" w:space="0" w:color="44546A"/>
              <w:left w:val="nil"/>
              <w:bottom w:val="double" w:sz="6" w:space="0" w:color="44546A"/>
              <w:right w:val="double" w:sz="6" w:space="0" w:color="44546A"/>
            </w:tcBorders>
            <w:shd w:val="clear" w:color="auto" w:fill="0673A5"/>
            <w:vAlign w:val="center"/>
            <w:hideMark/>
          </w:tcPr>
          <w:p w14:paraId="57640FFD" w14:textId="77777777" w:rsidR="00DD5CC8" w:rsidRPr="00033E65" w:rsidRDefault="00DD5CC8" w:rsidP="00DD5CC8">
            <w:pPr>
              <w:spacing w:before="0" w:after="0"/>
              <w:jc w:val="center"/>
              <w:rPr>
                <w:b/>
                <w:bCs/>
                <w:color w:val="FFFFFF"/>
                <w:szCs w:val="22"/>
                <w:lang w:eastAsia="es-CR"/>
              </w:rPr>
            </w:pPr>
            <w:r w:rsidRPr="00033E65">
              <w:rPr>
                <w:b/>
                <w:bCs/>
                <w:color w:val="FFFFFF"/>
                <w:szCs w:val="22"/>
                <w:lang w:eastAsia="es-CR"/>
              </w:rPr>
              <w:t>Entrada + reentrado Promedio Mensual</w:t>
            </w:r>
          </w:p>
        </w:tc>
        <w:tc>
          <w:tcPr>
            <w:tcW w:w="1585" w:type="dxa"/>
            <w:tcBorders>
              <w:top w:val="double" w:sz="6" w:space="0" w:color="44546A"/>
              <w:left w:val="nil"/>
              <w:bottom w:val="double" w:sz="6" w:space="0" w:color="44546A"/>
              <w:right w:val="double" w:sz="6" w:space="0" w:color="44546A"/>
            </w:tcBorders>
            <w:shd w:val="clear" w:color="auto" w:fill="0673A5"/>
            <w:vAlign w:val="center"/>
            <w:hideMark/>
          </w:tcPr>
          <w:p w14:paraId="34C6328E" w14:textId="77777777" w:rsidR="00DD5CC8" w:rsidRPr="00033E65" w:rsidRDefault="00DD5CC8" w:rsidP="00DD5CC8">
            <w:pPr>
              <w:spacing w:before="0" w:after="0"/>
              <w:jc w:val="center"/>
              <w:rPr>
                <w:b/>
                <w:bCs/>
                <w:color w:val="FFFFFF"/>
                <w:szCs w:val="22"/>
                <w:lang w:eastAsia="es-CR"/>
              </w:rPr>
            </w:pPr>
            <w:r w:rsidRPr="00033E65">
              <w:rPr>
                <w:b/>
                <w:bCs/>
                <w:color w:val="FFFFFF"/>
                <w:szCs w:val="22"/>
                <w:lang w:eastAsia="es-CR"/>
              </w:rPr>
              <w:t>Cantidad Jueza o Juez</w:t>
            </w:r>
          </w:p>
        </w:tc>
        <w:tc>
          <w:tcPr>
            <w:tcW w:w="1701" w:type="dxa"/>
            <w:tcBorders>
              <w:top w:val="double" w:sz="6" w:space="0" w:color="44546A"/>
              <w:left w:val="nil"/>
              <w:bottom w:val="double" w:sz="6" w:space="0" w:color="44546A"/>
              <w:right w:val="double" w:sz="6" w:space="0" w:color="44546A"/>
            </w:tcBorders>
            <w:shd w:val="clear" w:color="auto" w:fill="0673A5"/>
            <w:vAlign w:val="center"/>
            <w:hideMark/>
          </w:tcPr>
          <w:p w14:paraId="328E3CAA" w14:textId="77777777" w:rsidR="00DD5CC8" w:rsidRPr="00033E65" w:rsidRDefault="00DD5CC8" w:rsidP="00DD5CC8">
            <w:pPr>
              <w:spacing w:before="0" w:after="0"/>
              <w:jc w:val="center"/>
              <w:rPr>
                <w:b/>
                <w:bCs/>
                <w:color w:val="FFFFFF"/>
                <w:szCs w:val="22"/>
                <w:lang w:eastAsia="es-CR"/>
              </w:rPr>
            </w:pPr>
            <w:r w:rsidRPr="00033E65">
              <w:rPr>
                <w:b/>
                <w:bCs/>
                <w:color w:val="FFFFFF"/>
                <w:szCs w:val="22"/>
                <w:lang w:eastAsia="es-CR"/>
              </w:rPr>
              <w:t>Entrada Promedio Mensual por Jueza o Juez</w:t>
            </w:r>
          </w:p>
        </w:tc>
        <w:tc>
          <w:tcPr>
            <w:tcW w:w="1417" w:type="dxa"/>
            <w:tcBorders>
              <w:top w:val="double" w:sz="6" w:space="0" w:color="44546A"/>
              <w:left w:val="nil"/>
              <w:bottom w:val="double" w:sz="6" w:space="0" w:color="44546A"/>
              <w:right w:val="double" w:sz="6" w:space="0" w:color="44546A"/>
            </w:tcBorders>
            <w:shd w:val="clear" w:color="auto" w:fill="0673A5"/>
            <w:vAlign w:val="center"/>
            <w:hideMark/>
          </w:tcPr>
          <w:p w14:paraId="15BA1FC0" w14:textId="77777777" w:rsidR="00DD5CC8" w:rsidRPr="00033E65" w:rsidRDefault="00DD5CC8" w:rsidP="00DD5CC8">
            <w:pPr>
              <w:spacing w:before="0" w:after="0"/>
              <w:jc w:val="center"/>
              <w:rPr>
                <w:b/>
                <w:bCs/>
                <w:color w:val="FFFFFF"/>
                <w:szCs w:val="22"/>
                <w:lang w:eastAsia="es-CR"/>
              </w:rPr>
            </w:pPr>
            <w:r w:rsidRPr="00033E65">
              <w:rPr>
                <w:b/>
                <w:bCs/>
                <w:color w:val="FFFFFF"/>
                <w:szCs w:val="22"/>
                <w:lang w:eastAsia="es-CR"/>
              </w:rPr>
              <w:t>Cantidad Técnica o Técnico</w:t>
            </w:r>
          </w:p>
        </w:tc>
        <w:tc>
          <w:tcPr>
            <w:tcW w:w="1701" w:type="dxa"/>
            <w:tcBorders>
              <w:top w:val="double" w:sz="6" w:space="0" w:color="44546A"/>
              <w:left w:val="nil"/>
              <w:bottom w:val="double" w:sz="6" w:space="0" w:color="44546A"/>
              <w:right w:val="double" w:sz="6" w:space="0" w:color="44546A"/>
            </w:tcBorders>
            <w:shd w:val="clear" w:color="auto" w:fill="0673A5"/>
            <w:vAlign w:val="center"/>
            <w:hideMark/>
          </w:tcPr>
          <w:p w14:paraId="2060C1FF" w14:textId="77777777" w:rsidR="00DD5CC8" w:rsidRPr="00033E65" w:rsidRDefault="00DD5CC8" w:rsidP="00DD5CC8">
            <w:pPr>
              <w:spacing w:before="0" w:after="0"/>
              <w:jc w:val="center"/>
              <w:rPr>
                <w:b/>
                <w:bCs/>
                <w:color w:val="FFFFFF"/>
                <w:szCs w:val="22"/>
                <w:lang w:eastAsia="es-CR"/>
              </w:rPr>
            </w:pPr>
            <w:r w:rsidRPr="00033E65">
              <w:rPr>
                <w:b/>
                <w:bCs/>
                <w:color w:val="FFFFFF"/>
                <w:szCs w:val="22"/>
                <w:lang w:eastAsia="es-CR"/>
              </w:rPr>
              <w:t>Entrada Promedio Mensual por Técnica o Técnico</w:t>
            </w:r>
          </w:p>
        </w:tc>
      </w:tr>
      <w:tr w:rsidR="0060735A" w:rsidRPr="00033E65" w14:paraId="33CD3369" w14:textId="77777777" w:rsidTr="00274042">
        <w:trPr>
          <w:gridAfter w:val="1"/>
          <w:wAfter w:w="7" w:type="dxa"/>
          <w:trHeight w:val="20"/>
          <w:jc w:val="center"/>
        </w:trPr>
        <w:tc>
          <w:tcPr>
            <w:tcW w:w="3969" w:type="dxa"/>
            <w:tcBorders>
              <w:top w:val="nil"/>
              <w:left w:val="double" w:sz="6" w:space="0" w:color="44546A"/>
              <w:bottom w:val="double" w:sz="6" w:space="0" w:color="44546A"/>
              <w:right w:val="nil"/>
            </w:tcBorders>
            <w:shd w:val="clear" w:color="auto" w:fill="auto"/>
            <w:vAlign w:val="center"/>
            <w:hideMark/>
          </w:tcPr>
          <w:p w14:paraId="693301FE" w14:textId="77777777" w:rsidR="00DD5CC8" w:rsidRPr="00033E65" w:rsidRDefault="00DD5CC8" w:rsidP="00DD5CC8">
            <w:pPr>
              <w:spacing w:before="0" w:after="0"/>
              <w:rPr>
                <w:color w:val="000000"/>
                <w:szCs w:val="22"/>
                <w:lang w:eastAsia="es-CR"/>
              </w:rPr>
            </w:pPr>
            <w:r w:rsidRPr="00033E65">
              <w:rPr>
                <w:color w:val="000000"/>
                <w:szCs w:val="22"/>
                <w:lang w:eastAsia="es-CR"/>
              </w:rPr>
              <w:t>Juzgado Agrario del Segundo Circuito Judicial de San José (Goicoechea)</w:t>
            </w:r>
          </w:p>
        </w:tc>
        <w:tc>
          <w:tcPr>
            <w:tcW w:w="1418" w:type="dxa"/>
            <w:tcBorders>
              <w:top w:val="nil"/>
              <w:left w:val="double" w:sz="6" w:space="0" w:color="44546A"/>
              <w:bottom w:val="double" w:sz="6" w:space="0" w:color="44546A"/>
              <w:right w:val="double" w:sz="6" w:space="0" w:color="44546A"/>
            </w:tcBorders>
            <w:shd w:val="clear" w:color="auto" w:fill="auto"/>
            <w:noWrap/>
            <w:vAlign w:val="center"/>
            <w:hideMark/>
          </w:tcPr>
          <w:p w14:paraId="64E05858" w14:textId="094A376B" w:rsidR="00DD5CC8" w:rsidRPr="00033E65" w:rsidRDefault="7D2ABEFC" w:rsidP="0024182A">
            <w:pPr>
              <w:spacing w:before="0" w:after="0"/>
              <w:jc w:val="center"/>
              <w:rPr>
                <w:color w:val="000000"/>
                <w:lang w:eastAsia="es-CR"/>
              </w:rPr>
            </w:pPr>
            <w:r w:rsidRPr="00033E65">
              <w:rPr>
                <w:color w:val="000000" w:themeColor="text1"/>
                <w:lang w:eastAsia="es-CR"/>
              </w:rPr>
              <w:t>37</w:t>
            </w:r>
          </w:p>
        </w:tc>
        <w:tc>
          <w:tcPr>
            <w:tcW w:w="1585" w:type="dxa"/>
            <w:tcBorders>
              <w:top w:val="nil"/>
              <w:left w:val="nil"/>
              <w:bottom w:val="double" w:sz="6" w:space="0" w:color="44546A"/>
              <w:right w:val="double" w:sz="6" w:space="0" w:color="44546A"/>
            </w:tcBorders>
            <w:shd w:val="clear" w:color="auto" w:fill="auto"/>
            <w:noWrap/>
            <w:vAlign w:val="center"/>
            <w:hideMark/>
          </w:tcPr>
          <w:p w14:paraId="0DAA1777"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5152EE7F" w14:textId="4EAE4169" w:rsidR="00DD5CC8" w:rsidRPr="00033E65" w:rsidRDefault="0AADD870" w:rsidP="0024182A">
            <w:pPr>
              <w:spacing w:before="0" w:after="0"/>
              <w:jc w:val="center"/>
              <w:rPr>
                <w:rFonts w:eastAsia="Book Antiqua" w:cs="Book Antiqua"/>
                <w:szCs w:val="22"/>
              </w:rPr>
            </w:pPr>
            <w:r w:rsidRPr="00033E65">
              <w:rPr>
                <w:color w:val="000000" w:themeColor="text1"/>
                <w:lang w:eastAsia="es-CR"/>
              </w:rPr>
              <w:t>18</w:t>
            </w:r>
          </w:p>
        </w:tc>
        <w:tc>
          <w:tcPr>
            <w:tcW w:w="1417" w:type="dxa"/>
            <w:tcBorders>
              <w:top w:val="nil"/>
              <w:left w:val="nil"/>
              <w:bottom w:val="double" w:sz="6" w:space="0" w:color="44546A"/>
              <w:right w:val="double" w:sz="6" w:space="0" w:color="44546A"/>
            </w:tcBorders>
            <w:shd w:val="clear" w:color="auto" w:fill="auto"/>
            <w:noWrap/>
            <w:vAlign w:val="center"/>
            <w:hideMark/>
          </w:tcPr>
          <w:p w14:paraId="759455CD"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56AC873E" w14:textId="174832A9" w:rsidR="00DD5CC8" w:rsidRPr="00033E65" w:rsidRDefault="00B37B1B" w:rsidP="0024182A">
            <w:pPr>
              <w:spacing w:before="0" w:after="0"/>
              <w:jc w:val="center"/>
              <w:rPr>
                <w:rFonts w:eastAsia="Book Antiqua" w:cs="Book Antiqua"/>
                <w:szCs w:val="22"/>
              </w:rPr>
            </w:pPr>
            <w:r w:rsidRPr="00033E65">
              <w:rPr>
                <w:color w:val="000000" w:themeColor="text1"/>
                <w:lang w:eastAsia="es-CR"/>
              </w:rPr>
              <w:t>18</w:t>
            </w:r>
          </w:p>
        </w:tc>
      </w:tr>
      <w:tr w:rsidR="0060735A" w:rsidRPr="00033E65" w14:paraId="54313CE2" w14:textId="77777777" w:rsidTr="00274042">
        <w:trPr>
          <w:gridAfter w:val="1"/>
          <w:wAfter w:w="7" w:type="dxa"/>
          <w:trHeight w:val="20"/>
          <w:jc w:val="center"/>
        </w:trPr>
        <w:tc>
          <w:tcPr>
            <w:tcW w:w="3969" w:type="dxa"/>
            <w:tcBorders>
              <w:top w:val="nil"/>
              <w:left w:val="double" w:sz="6" w:space="0" w:color="44546A"/>
              <w:bottom w:val="double" w:sz="6" w:space="0" w:color="44546A"/>
              <w:right w:val="nil"/>
            </w:tcBorders>
            <w:shd w:val="clear" w:color="auto" w:fill="auto"/>
            <w:vAlign w:val="center"/>
            <w:hideMark/>
          </w:tcPr>
          <w:p w14:paraId="623A0D79" w14:textId="77777777" w:rsidR="00DD5CC8" w:rsidRPr="00033E65" w:rsidRDefault="00DD5CC8" w:rsidP="00DD5CC8">
            <w:pPr>
              <w:spacing w:before="0" w:after="0"/>
              <w:rPr>
                <w:color w:val="000000"/>
                <w:szCs w:val="22"/>
                <w:lang w:eastAsia="es-CR"/>
              </w:rPr>
            </w:pPr>
            <w:r w:rsidRPr="00033E65">
              <w:rPr>
                <w:color w:val="000000"/>
                <w:szCs w:val="22"/>
                <w:lang w:eastAsia="es-CR"/>
              </w:rPr>
              <w:t>Juzgado Agrario del Primer Circuito Judicial de Alajuela (Alajuela)</w:t>
            </w:r>
          </w:p>
        </w:tc>
        <w:tc>
          <w:tcPr>
            <w:tcW w:w="1418" w:type="dxa"/>
            <w:tcBorders>
              <w:top w:val="nil"/>
              <w:left w:val="double" w:sz="6" w:space="0" w:color="44546A"/>
              <w:bottom w:val="double" w:sz="6" w:space="0" w:color="44546A"/>
              <w:right w:val="double" w:sz="6" w:space="0" w:color="44546A"/>
            </w:tcBorders>
            <w:shd w:val="clear" w:color="auto" w:fill="auto"/>
            <w:noWrap/>
            <w:vAlign w:val="center"/>
            <w:hideMark/>
          </w:tcPr>
          <w:p w14:paraId="6823BBFD" w14:textId="44C74624" w:rsidR="00DD5CC8" w:rsidRPr="00033E65" w:rsidRDefault="4A3E880F" w:rsidP="0024182A">
            <w:pPr>
              <w:spacing w:before="0" w:after="0"/>
              <w:jc w:val="center"/>
              <w:rPr>
                <w:color w:val="000000"/>
                <w:lang w:eastAsia="es-CR"/>
              </w:rPr>
            </w:pPr>
            <w:r w:rsidRPr="00033E65">
              <w:rPr>
                <w:color w:val="000000" w:themeColor="text1"/>
                <w:lang w:eastAsia="es-CR"/>
              </w:rPr>
              <w:t>25</w:t>
            </w:r>
          </w:p>
        </w:tc>
        <w:tc>
          <w:tcPr>
            <w:tcW w:w="1585" w:type="dxa"/>
            <w:tcBorders>
              <w:top w:val="nil"/>
              <w:left w:val="nil"/>
              <w:bottom w:val="double" w:sz="6" w:space="0" w:color="44546A"/>
              <w:right w:val="double" w:sz="6" w:space="0" w:color="44546A"/>
            </w:tcBorders>
            <w:shd w:val="clear" w:color="auto" w:fill="auto"/>
            <w:noWrap/>
            <w:vAlign w:val="center"/>
            <w:hideMark/>
          </w:tcPr>
          <w:p w14:paraId="3DEFBB5E"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30F3D28D" w14:textId="177BF881" w:rsidR="00DD5CC8" w:rsidRPr="00033E65" w:rsidRDefault="530FB533" w:rsidP="0024182A">
            <w:pPr>
              <w:spacing w:before="0" w:after="0"/>
              <w:jc w:val="center"/>
              <w:rPr>
                <w:rFonts w:eastAsia="Book Antiqua" w:cs="Book Antiqua"/>
                <w:szCs w:val="22"/>
              </w:rPr>
            </w:pPr>
            <w:r w:rsidRPr="00033E65">
              <w:rPr>
                <w:color w:val="000000" w:themeColor="text1"/>
                <w:lang w:eastAsia="es-CR"/>
              </w:rPr>
              <w:t>13</w:t>
            </w:r>
          </w:p>
        </w:tc>
        <w:tc>
          <w:tcPr>
            <w:tcW w:w="1417" w:type="dxa"/>
            <w:tcBorders>
              <w:top w:val="nil"/>
              <w:left w:val="nil"/>
              <w:bottom w:val="double" w:sz="6" w:space="0" w:color="44546A"/>
              <w:right w:val="double" w:sz="6" w:space="0" w:color="44546A"/>
            </w:tcBorders>
            <w:shd w:val="clear" w:color="auto" w:fill="auto"/>
            <w:noWrap/>
            <w:vAlign w:val="center"/>
            <w:hideMark/>
          </w:tcPr>
          <w:p w14:paraId="14E1370E"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3</w:t>
            </w:r>
          </w:p>
        </w:tc>
        <w:tc>
          <w:tcPr>
            <w:tcW w:w="1701" w:type="dxa"/>
            <w:tcBorders>
              <w:top w:val="nil"/>
              <w:left w:val="nil"/>
              <w:bottom w:val="double" w:sz="6" w:space="0" w:color="44546A"/>
              <w:right w:val="double" w:sz="6" w:space="0" w:color="44546A"/>
            </w:tcBorders>
            <w:shd w:val="clear" w:color="auto" w:fill="auto"/>
            <w:noWrap/>
            <w:vAlign w:val="center"/>
            <w:hideMark/>
          </w:tcPr>
          <w:p w14:paraId="1F09C0AC" w14:textId="303F87CC" w:rsidR="00DD5CC8" w:rsidRPr="00033E65" w:rsidRDefault="008B73D7" w:rsidP="0024182A">
            <w:pPr>
              <w:spacing w:before="0" w:after="0"/>
              <w:jc w:val="center"/>
              <w:rPr>
                <w:rFonts w:eastAsia="Book Antiqua" w:cs="Book Antiqua"/>
                <w:szCs w:val="22"/>
              </w:rPr>
            </w:pPr>
            <w:r w:rsidRPr="00033E65">
              <w:rPr>
                <w:color w:val="000000" w:themeColor="text1"/>
                <w:lang w:eastAsia="es-CR"/>
              </w:rPr>
              <w:t>8</w:t>
            </w:r>
          </w:p>
        </w:tc>
      </w:tr>
      <w:tr w:rsidR="0060735A" w:rsidRPr="00033E65" w14:paraId="43431075" w14:textId="77777777" w:rsidTr="00274042">
        <w:trPr>
          <w:gridAfter w:val="1"/>
          <w:wAfter w:w="7" w:type="dxa"/>
          <w:trHeight w:val="20"/>
          <w:jc w:val="center"/>
        </w:trPr>
        <w:tc>
          <w:tcPr>
            <w:tcW w:w="3969" w:type="dxa"/>
            <w:tcBorders>
              <w:top w:val="nil"/>
              <w:left w:val="double" w:sz="6" w:space="0" w:color="44546A"/>
              <w:bottom w:val="double" w:sz="6" w:space="0" w:color="44546A"/>
              <w:right w:val="nil"/>
            </w:tcBorders>
            <w:shd w:val="clear" w:color="auto" w:fill="auto"/>
            <w:vAlign w:val="center"/>
            <w:hideMark/>
          </w:tcPr>
          <w:p w14:paraId="7FF97EFE" w14:textId="77777777" w:rsidR="00DD5CC8" w:rsidRPr="00033E65" w:rsidRDefault="00DD5CC8" w:rsidP="00DD5CC8">
            <w:pPr>
              <w:spacing w:before="0" w:after="0"/>
              <w:rPr>
                <w:color w:val="000000"/>
                <w:szCs w:val="22"/>
                <w:lang w:eastAsia="es-CR"/>
              </w:rPr>
            </w:pPr>
            <w:r w:rsidRPr="00033E65">
              <w:rPr>
                <w:color w:val="000000"/>
                <w:szCs w:val="22"/>
                <w:lang w:eastAsia="es-CR"/>
              </w:rPr>
              <w:t>Juzgado Agrario del Segundo Circuito Judicial de Alajuela (San Carlos)</w:t>
            </w:r>
          </w:p>
        </w:tc>
        <w:tc>
          <w:tcPr>
            <w:tcW w:w="1418" w:type="dxa"/>
            <w:tcBorders>
              <w:top w:val="nil"/>
              <w:left w:val="double" w:sz="6" w:space="0" w:color="44546A"/>
              <w:bottom w:val="double" w:sz="6" w:space="0" w:color="44546A"/>
              <w:right w:val="double" w:sz="6" w:space="0" w:color="44546A"/>
            </w:tcBorders>
            <w:shd w:val="clear" w:color="auto" w:fill="auto"/>
            <w:noWrap/>
            <w:vAlign w:val="center"/>
            <w:hideMark/>
          </w:tcPr>
          <w:p w14:paraId="2189CEC3" w14:textId="32597FD2" w:rsidR="00DD5CC8" w:rsidRPr="00033E65" w:rsidRDefault="32DCA5DF" w:rsidP="0024182A">
            <w:pPr>
              <w:spacing w:before="0" w:after="0"/>
              <w:jc w:val="center"/>
              <w:rPr>
                <w:color w:val="000000"/>
                <w:lang w:eastAsia="es-CR"/>
              </w:rPr>
            </w:pPr>
            <w:r w:rsidRPr="00033E65">
              <w:rPr>
                <w:color w:val="000000" w:themeColor="text1"/>
                <w:lang w:eastAsia="es-CR"/>
              </w:rPr>
              <w:t>46</w:t>
            </w:r>
          </w:p>
        </w:tc>
        <w:tc>
          <w:tcPr>
            <w:tcW w:w="1585" w:type="dxa"/>
            <w:tcBorders>
              <w:top w:val="nil"/>
              <w:left w:val="nil"/>
              <w:bottom w:val="double" w:sz="6" w:space="0" w:color="44546A"/>
              <w:right w:val="double" w:sz="6" w:space="0" w:color="44546A"/>
            </w:tcBorders>
            <w:shd w:val="clear" w:color="auto" w:fill="auto"/>
            <w:noWrap/>
            <w:vAlign w:val="center"/>
            <w:hideMark/>
          </w:tcPr>
          <w:p w14:paraId="3ECDC550"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771769EC"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23</w:t>
            </w:r>
          </w:p>
        </w:tc>
        <w:tc>
          <w:tcPr>
            <w:tcW w:w="1417" w:type="dxa"/>
            <w:tcBorders>
              <w:top w:val="nil"/>
              <w:left w:val="nil"/>
              <w:bottom w:val="double" w:sz="6" w:space="0" w:color="44546A"/>
              <w:right w:val="double" w:sz="6" w:space="0" w:color="44546A"/>
            </w:tcBorders>
            <w:shd w:val="clear" w:color="auto" w:fill="auto"/>
            <w:noWrap/>
            <w:vAlign w:val="center"/>
            <w:hideMark/>
          </w:tcPr>
          <w:p w14:paraId="58477719"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3</w:t>
            </w:r>
          </w:p>
        </w:tc>
        <w:tc>
          <w:tcPr>
            <w:tcW w:w="1701" w:type="dxa"/>
            <w:tcBorders>
              <w:top w:val="nil"/>
              <w:left w:val="nil"/>
              <w:bottom w:val="double" w:sz="6" w:space="0" w:color="44546A"/>
              <w:right w:val="double" w:sz="6" w:space="0" w:color="44546A"/>
            </w:tcBorders>
            <w:shd w:val="clear" w:color="auto" w:fill="auto"/>
            <w:noWrap/>
            <w:vAlign w:val="center"/>
            <w:hideMark/>
          </w:tcPr>
          <w:p w14:paraId="48B0D75E" w14:textId="76531737" w:rsidR="00DD5CC8" w:rsidRPr="00033E65" w:rsidRDefault="5183BF34" w:rsidP="0024182A">
            <w:pPr>
              <w:spacing w:before="0" w:after="0"/>
              <w:jc w:val="center"/>
              <w:rPr>
                <w:rFonts w:eastAsia="Book Antiqua" w:cs="Book Antiqua"/>
                <w:szCs w:val="22"/>
              </w:rPr>
            </w:pPr>
            <w:r w:rsidRPr="00033E65">
              <w:rPr>
                <w:color w:val="000000" w:themeColor="text1"/>
                <w:lang w:eastAsia="es-CR"/>
              </w:rPr>
              <w:t>15</w:t>
            </w:r>
          </w:p>
        </w:tc>
      </w:tr>
      <w:tr w:rsidR="0060735A" w:rsidRPr="00033E65" w14:paraId="07110529" w14:textId="77777777" w:rsidTr="00274042">
        <w:trPr>
          <w:gridAfter w:val="1"/>
          <w:wAfter w:w="7" w:type="dxa"/>
          <w:trHeight w:val="20"/>
          <w:jc w:val="center"/>
        </w:trPr>
        <w:tc>
          <w:tcPr>
            <w:tcW w:w="3969" w:type="dxa"/>
            <w:tcBorders>
              <w:top w:val="nil"/>
              <w:left w:val="double" w:sz="6" w:space="0" w:color="44546A"/>
              <w:bottom w:val="double" w:sz="6" w:space="0" w:color="44546A"/>
              <w:right w:val="nil"/>
            </w:tcBorders>
            <w:shd w:val="clear" w:color="auto" w:fill="auto"/>
            <w:vAlign w:val="center"/>
            <w:hideMark/>
          </w:tcPr>
          <w:p w14:paraId="7EDB3423" w14:textId="77777777" w:rsidR="00DD5CC8" w:rsidRPr="00033E65" w:rsidRDefault="00DD5CC8" w:rsidP="00DD5CC8">
            <w:pPr>
              <w:spacing w:before="0" w:after="0"/>
              <w:rPr>
                <w:color w:val="000000"/>
                <w:szCs w:val="22"/>
                <w:lang w:eastAsia="es-CR"/>
              </w:rPr>
            </w:pPr>
            <w:r w:rsidRPr="00033E65">
              <w:rPr>
                <w:color w:val="000000"/>
                <w:szCs w:val="22"/>
                <w:lang w:eastAsia="es-CR"/>
              </w:rPr>
              <w:t>Juzgado Agrario del Tercer Circuito Judicial de Alajuela (San Ramón)</w:t>
            </w:r>
          </w:p>
        </w:tc>
        <w:tc>
          <w:tcPr>
            <w:tcW w:w="1418" w:type="dxa"/>
            <w:tcBorders>
              <w:top w:val="nil"/>
              <w:left w:val="double" w:sz="6" w:space="0" w:color="44546A"/>
              <w:bottom w:val="double" w:sz="6" w:space="0" w:color="44546A"/>
              <w:right w:val="double" w:sz="6" w:space="0" w:color="44546A"/>
            </w:tcBorders>
            <w:shd w:val="clear" w:color="auto" w:fill="auto"/>
            <w:noWrap/>
            <w:vAlign w:val="center"/>
            <w:hideMark/>
          </w:tcPr>
          <w:p w14:paraId="3A6C288A" w14:textId="76590A2C" w:rsidR="00DD5CC8" w:rsidRPr="00033E65" w:rsidRDefault="0588F31E" w:rsidP="0024182A">
            <w:pPr>
              <w:spacing w:before="0" w:after="0"/>
              <w:jc w:val="center"/>
              <w:rPr>
                <w:rFonts w:eastAsia="Book Antiqua" w:cs="Book Antiqua"/>
                <w:szCs w:val="22"/>
              </w:rPr>
            </w:pPr>
            <w:r w:rsidRPr="00033E65">
              <w:rPr>
                <w:color w:val="000000" w:themeColor="text1"/>
                <w:lang w:eastAsia="es-CR"/>
              </w:rPr>
              <w:t>27</w:t>
            </w:r>
          </w:p>
        </w:tc>
        <w:tc>
          <w:tcPr>
            <w:tcW w:w="1585" w:type="dxa"/>
            <w:tcBorders>
              <w:top w:val="nil"/>
              <w:left w:val="nil"/>
              <w:bottom w:val="double" w:sz="6" w:space="0" w:color="44546A"/>
              <w:right w:val="double" w:sz="6" w:space="0" w:color="44546A"/>
            </w:tcBorders>
            <w:shd w:val="clear" w:color="auto" w:fill="auto"/>
            <w:noWrap/>
            <w:vAlign w:val="center"/>
            <w:hideMark/>
          </w:tcPr>
          <w:p w14:paraId="625BF97E"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7D7F3BEC"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14</w:t>
            </w:r>
          </w:p>
        </w:tc>
        <w:tc>
          <w:tcPr>
            <w:tcW w:w="1417" w:type="dxa"/>
            <w:tcBorders>
              <w:top w:val="nil"/>
              <w:left w:val="nil"/>
              <w:bottom w:val="double" w:sz="6" w:space="0" w:color="44546A"/>
              <w:right w:val="double" w:sz="6" w:space="0" w:color="44546A"/>
            </w:tcBorders>
            <w:shd w:val="clear" w:color="auto" w:fill="auto"/>
            <w:noWrap/>
            <w:vAlign w:val="center"/>
            <w:hideMark/>
          </w:tcPr>
          <w:p w14:paraId="152AD52F"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274116B6"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14</w:t>
            </w:r>
          </w:p>
        </w:tc>
      </w:tr>
      <w:tr w:rsidR="0060735A" w:rsidRPr="00033E65" w14:paraId="60D1A81B" w14:textId="77777777" w:rsidTr="00274042">
        <w:trPr>
          <w:gridAfter w:val="1"/>
          <w:wAfter w:w="7" w:type="dxa"/>
          <w:trHeight w:val="20"/>
          <w:jc w:val="center"/>
        </w:trPr>
        <w:tc>
          <w:tcPr>
            <w:tcW w:w="3969" w:type="dxa"/>
            <w:tcBorders>
              <w:top w:val="nil"/>
              <w:left w:val="double" w:sz="6" w:space="0" w:color="44546A"/>
              <w:bottom w:val="double" w:sz="6" w:space="0" w:color="44546A"/>
              <w:right w:val="nil"/>
            </w:tcBorders>
            <w:shd w:val="clear" w:color="auto" w:fill="auto"/>
            <w:vAlign w:val="center"/>
            <w:hideMark/>
          </w:tcPr>
          <w:p w14:paraId="32FF9C7C" w14:textId="77777777" w:rsidR="00DD5CC8" w:rsidRPr="00033E65" w:rsidRDefault="00DD5CC8" w:rsidP="00DD5CC8">
            <w:pPr>
              <w:spacing w:before="0" w:after="0"/>
              <w:rPr>
                <w:color w:val="000000"/>
                <w:szCs w:val="22"/>
                <w:lang w:eastAsia="es-CR"/>
              </w:rPr>
            </w:pPr>
            <w:r w:rsidRPr="00033E65">
              <w:rPr>
                <w:color w:val="000000"/>
                <w:szCs w:val="22"/>
                <w:lang w:eastAsia="es-CR"/>
              </w:rPr>
              <w:t xml:space="preserve">Juzgado Agrario del Circuito Judicial de Cartago </w:t>
            </w:r>
          </w:p>
        </w:tc>
        <w:tc>
          <w:tcPr>
            <w:tcW w:w="1418" w:type="dxa"/>
            <w:tcBorders>
              <w:top w:val="nil"/>
              <w:left w:val="double" w:sz="6" w:space="0" w:color="44546A"/>
              <w:bottom w:val="double" w:sz="6" w:space="0" w:color="44546A"/>
              <w:right w:val="double" w:sz="6" w:space="0" w:color="44546A"/>
            </w:tcBorders>
            <w:shd w:val="clear" w:color="auto" w:fill="auto"/>
            <w:noWrap/>
            <w:vAlign w:val="center"/>
            <w:hideMark/>
          </w:tcPr>
          <w:p w14:paraId="1323096E" w14:textId="53F9FFC6" w:rsidR="00DD5CC8" w:rsidRPr="00033E65" w:rsidRDefault="20E1AB45" w:rsidP="0024182A">
            <w:pPr>
              <w:spacing w:before="0" w:after="0"/>
              <w:jc w:val="center"/>
              <w:rPr>
                <w:rFonts w:eastAsia="Book Antiqua" w:cs="Book Antiqua"/>
                <w:szCs w:val="22"/>
              </w:rPr>
            </w:pPr>
            <w:r w:rsidRPr="00033E65">
              <w:rPr>
                <w:color w:val="000000" w:themeColor="text1"/>
                <w:lang w:eastAsia="es-CR"/>
              </w:rPr>
              <w:t>32</w:t>
            </w:r>
          </w:p>
        </w:tc>
        <w:tc>
          <w:tcPr>
            <w:tcW w:w="1585" w:type="dxa"/>
            <w:tcBorders>
              <w:top w:val="nil"/>
              <w:left w:val="nil"/>
              <w:bottom w:val="double" w:sz="6" w:space="0" w:color="44546A"/>
              <w:right w:val="double" w:sz="6" w:space="0" w:color="44546A"/>
            </w:tcBorders>
            <w:shd w:val="clear" w:color="auto" w:fill="auto"/>
            <w:noWrap/>
            <w:vAlign w:val="center"/>
            <w:hideMark/>
          </w:tcPr>
          <w:p w14:paraId="422D8645"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6784DF94" w14:textId="3C7D331D" w:rsidR="00DD5CC8" w:rsidRPr="00033E65" w:rsidRDefault="6026CC99" w:rsidP="0024182A">
            <w:pPr>
              <w:spacing w:before="0" w:after="0"/>
              <w:jc w:val="center"/>
              <w:rPr>
                <w:rFonts w:eastAsia="Book Antiqua" w:cs="Book Antiqua"/>
                <w:szCs w:val="22"/>
              </w:rPr>
            </w:pPr>
            <w:r w:rsidRPr="00033E65">
              <w:rPr>
                <w:color w:val="000000" w:themeColor="text1"/>
                <w:lang w:eastAsia="es-CR"/>
              </w:rPr>
              <w:t>16</w:t>
            </w:r>
          </w:p>
        </w:tc>
        <w:tc>
          <w:tcPr>
            <w:tcW w:w="1417" w:type="dxa"/>
            <w:tcBorders>
              <w:top w:val="nil"/>
              <w:left w:val="nil"/>
              <w:bottom w:val="double" w:sz="6" w:space="0" w:color="44546A"/>
              <w:right w:val="double" w:sz="6" w:space="0" w:color="44546A"/>
            </w:tcBorders>
            <w:shd w:val="clear" w:color="auto" w:fill="auto"/>
            <w:noWrap/>
            <w:vAlign w:val="center"/>
            <w:hideMark/>
          </w:tcPr>
          <w:p w14:paraId="6F821AC9"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3</w:t>
            </w:r>
          </w:p>
        </w:tc>
        <w:tc>
          <w:tcPr>
            <w:tcW w:w="1701" w:type="dxa"/>
            <w:tcBorders>
              <w:top w:val="nil"/>
              <w:left w:val="nil"/>
              <w:bottom w:val="double" w:sz="6" w:space="0" w:color="44546A"/>
              <w:right w:val="double" w:sz="6" w:space="0" w:color="44546A"/>
            </w:tcBorders>
            <w:shd w:val="clear" w:color="auto" w:fill="auto"/>
            <w:noWrap/>
            <w:vAlign w:val="center"/>
            <w:hideMark/>
          </w:tcPr>
          <w:p w14:paraId="6D4A920B" w14:textId="0591D3B0" w:rsidR="00DD5CC8" w:rsidRPr="00033E65" w:rsidRDefault="00980CEF" w:rsidP="0024182A">
            <w:pPr>
              <w:spacing w:before="0" w:after="0"/>
              <w:jc w:val="center"/>
              <w:rPr>
                <w:rFonts w:eastAsia="Book Antiqua" w:cs="Book Antiqua"/>
                <w:szCs w:val="22"/>
              </w:rPr>
            </w:pPr>
            <w:r w:rsidRPr="00033E65">
              <w:rPr>
                <w:color w:val="000000" w:themeColor="text1"/>
                <w:lang w:eastAsia="es-CR"/>
              </w:rPr>
              <w:t>11</w:t>
            </w:r>
          </w:p>
        </w:tc>
      </w:tr>
      <w:tr w:rsidR="0060735A" w:rsidRPr="00033E65" w14:paraId="157B2B0D" w14:textId="77777777" w:rsidTr="00274042">
        <w:trPr>
          <w:gridAfter w:val="1"/>
          <w:wAfter w:w="7" w:type="dxa"/>
          <w:trHeight w:val="20"/>
          <w:jc w:val="center"/>
        </w:trPr>
        <w:tc>
          <w:tcPr>
            <w:tcW w:w="3969" w:type="dxa"/>
            <w:tcBorders>
              <w:top w:val="nil"/>
              <w:left w:val="double" w:sz="6" w:space="0" w:color="44546A"/>
              <w:bottom w:val="double" w:sz="6" w:space="0" w:color="44546A"/>
              <w:right w:val="nil"/>
            </w:tcBorders>
            <w:shd w:val="clear" w:color="auto" w:fill="auto"/>
            <w:vAlign w:val="center"/>
            <w:hideMark/>
          </w:tcPr>
          <w:p w14:paraId="662AF43D" w14:textId="77777777" w:rsidR="00DD5CC8" w:rsidRPr="00033E65" w:rsidRDefault="00DD5CC8" w:rsidP="00DD5CC8">
            <w:pPr>
              <w:spacing w:before="0" w:after="0"/>
              <w:rPr>
                <w:color w:val="000000"/>
                <w:szCs w:val="22"/>
                <w:lang w:eastAsia="es-CR"/>
              </w:rPr>
            </w:pPr>
            <w:r w:rsidRPr="00033E65">
              <w:rPr>
                <w:color w:val="000000"/>
                <w:szCs w:val="22"/>
                <w:lang w:eastAsia="es-CR"/>
              </w:rPr>
              <w:t xml:space="preserve">Juzgado Agrario de Puntarenas </w:t>
            </w:r>
          </w:p>
        </w:tc>
        <w:tc>
          <w:tcPr>
            <w:tcW w:w="1418" w:type="dxa"/>
            <w:tcBorders>
              <w:top w:val="nil"/>
              <w:left w:val="double" w:sz="6" w:space="0" w:color="44546A"/>
              <w:bottom w:val="double" w:sz="6" w:space="0" w:color="44546A"/>
              <w:right w:val="double" w:sz="6" w:space="0" w:color="44546A"/>
            </w:tcBorders>
            <w:shd w:val="clear" w:color="auto" w:fill="auto"/>
            <w:noWrap/>
            <w:vAlign w:val="center"/>
            <w:hideMark/>
          </w:tcPr>
          <w:p w14:paraId="18E8BF99" w14:textId="0BF7570A" w:rsidR="00DD5CC8" w:rsidRPr="00033E65" w:rsidRDefault="4DD52B77" w:rsidP="0024182A">
            <w:pPr>
              <w:spacing w:before="0" w:after="0"/>
              <w:jc w:val="center"/>
              <w:rPr>
                <w:rFonts w:eastAsia="Book Antiqua" w:cs="Book Antiqua"/>
                <w:szCs w:val="22"/>
              </w:rPr>
            </w:pPr>
            <w:r w:rsidRPr="00033E65">
              <w:rPr>
                <w:color w:val="000000" w:themeColor="text1"/>
                <w:lang w:eastAsia="es-CR"/>
              </w:rPr>
              <w:t>36</w:t>
            </w:r>
          </w:p>
        </w:tc>
        <w:tc>
          <w:tcPr>
            <w:tcW w:w="1585" w:type="dxa"/>
            <w:tcBorders>
              <w:top w:val="nil"/>
              <w:left w:val="nil"/>
              <w:bottom w:val="double" w:sz="6" w:space="0" w:color="44546A"/>
              <w:right w:val="double" w:sz="6" w:space="0" w:color="44546A"/>
            </w:tcBorders>
            <w:shd w:val="clear" w:color="auto" w:fill="auto"/>
            <w:noWrap/>
            <w:vAlign w:val="center"/>
            <w:hideMark/>
          </w:tcPr>
          <w:p w14:paraId="340B1897"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28BB21B0"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18</w:t>
            </w:r>
          </w:p>
        </w:tc>
        <w:tc>
          <w:tcPr>
            <w:tcW w:w="1417" w:type="dxa"/>
            <w:tcBorders>
              <w:top w:val="nil"/>
              <w:left w:val="nil"/>
              <w:bottom w:val="double" w:sz="6" w:space="0" w:color="44546A"/>
              <w:right w:val="double" w:sz="6" w:space="0" w:color="44546A"/>
            </w:tcBorders>
            <w:shd w:val="clear" w:color="auto" w:fill="auto"/>
            <w:noWrap/>
            <w:vAlign w:val="center"/>
            <w:hideMark/>
          </w:tcPr>
          <w:p w14:paraId="2E0825B2"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099ADF74" w14:textId="4168E5AD" w:rsidR="00DD5CC8" w:rsidRPr="00033E65" w:rsidRDefault="008570A4" w:rsidP="0024182A">
            <w:pPr>
              <w:spacing w:before="0" w:after="0"/>
              <w:jc w:val="center"/>
              <w:rPr>
                <w:rFonts w:eastAsia="Book Antiqua" w:cs="Book Antiqua"/>
                <w:szCs w:val="22"/>
              </w:rPr>
            </w:pPr>
            <w:r w:rsidRPr="00033E65">
              <w:rPr>
                <w:color w:val="000000" w:themeColor="text1"/>
                <w:lang w:eastAsia="es-CR"/>
              </w:rPr>
              <w:t>18</w:t>
            </w:r>
          </w:p>
        </w:tc>
      </w:tr>
      <w:tr w:rsidR="0060735A" w:rsidRPr="00033E65" w14:paraId="0C818A76" w14:textId="77777777" w:rsidTr="00274042">
        <w:trPr>
          <w:gridAfter w:val="1"/>
          <w:wAfter w:w="7" w:type="dxa"/>
          <w:trHeight w:val="20"/>
          <w:jc w:val="center"/>
        </w:trPr>
        <w:tc>
          <w:tcPr>
            <w:tcW w:w="3969" w:type="dxa"/>
            <w:tcBorders>
              <w:top w:val="nil"/>
              <w:left w:val="double" w:sz="6" w:space="0" w:color="44546A"/>
              <w:bottom w:val="double" w:sz="6" w:space="0" w:color="44546A"/>
              <w:right w:val="nil"/>
            </w:tcBorders>
            <w:shd w:val="clear" w:color="auto" w:fill="auto"/>
            <w:vAlign w:val="center"/>
            <w:hideMark/>
          </w:tcPr>
          <w:p w14:paraId="312F5742" w14:textId="5006859A" w:rsidR="00DD5CC8" w:rsidRPr="00033E65" w:rsidRDefault="00DD5CC8" w:rsidP="00DD5CC8">
            <w:pPr>
              <w:spacing w:before="0" w:after="0"/>
              <w:rPr>
                <w:color w:val="000000"/>
                <w:szCs w:val="22"/>
                <w:lang w:eastAsia="es-CR"/>
              </w:rPr>
            </w:pPr>
            <w:bookmarkStart w:id="169" w:name="_Hlk129793478"/>
            <w:r w:rsidRPr="00033E65">
              <w:rPr>
                <w:color w:val="000000"/>
                <w:szCs w:val="22"/>
                <w:lang w:eastAsia="es-CR"/>
              </w:rPr>
              <w:t>Juzgado Agrario del Primer Circuito Judicial de la Zona Sur (Pérez Zeledón)</w:t>
            </w:r>
            <w:bookmarkEnd w:id="169"/>
          </w:p>
        </w:tc>
        <w:tc>
          <w:tcPr>
            <w:tcW w:w="1418" w:type="dxa"/>
            <w:tcBorders>
              <w:top w:val="nil"/>
              <w:left w:val="double" w:sz="6" w:space="0" w:color="44546A"/>
              <w:bottom w:val="double" w:sz="6" w:space="0" w:color="44546A"/>
              <w:right w:val="double" w:sz="6" w:space="0" w:color="44546A"/>
            </w:tcBorders>
            <w:shd w:val="clear" w:color="auto" w:fill="auto"/>
            <w:noWrap/>
            <w:vAlign w:val="center"/>
            <w:hideMark/>
          </w:tcPr>
          <w:p w14:paraId="00334809" w14:textId="47728012" w:rsidR="00DD5CC8" w:rsidRPr="00033E65" w:rsidRDefault="274450FF" w:rsidP="0024182A">
            <w:pPr>
              <w:spacing w:before="0" w:after="0"/>
              <w:jc w:val="center"/>
              <w:rPr>
                <w:rFonts w:eastAsia="Book Antiqua" w:cs="Book Antiqua"/>
                <w:szCs w:val="22"/>
              </w:rPr>
            </w:pPr>
            <w:r w:rsidRPr="00033E65">
              <w:rPr>
                <w:color w:val="000000" w:themeColor="text1"/>
                <w:lang w:eastAsia="es-CR"/>
              </w:rPr>
              <w:t>26</w:t>
            </w:r>
          </w:p>
        </w:tc>
        <w:tc>
          <w:tcPr>
            <w:tcW w:w="1585" w:type="dxa"/>
            <w:tcBorders>
              <w:top w:val="nil"/>
              <w:left w:val="nil"/>
              <w:bottom w:val="double" w:sz="6" w:space="0" w:color="44546A"/>
              <w:right w:val="double" w:sz="6" w:space="0" w:color="44546A"/>
            </w:tcBorders>
            <w:shd w:val="clear" w:color="auto" w:fill="auto"/>
            <w:noWrap/>
            <w:vAlign w:val="center"/>
            <w:hideMark/>
          </w:tcPr>
          <w:p w14:paraId="4A5F3891"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1</w:t>
            </w:r>
          </w:p>
        </w:tc>
        <w:tc>
          <w:tcPr>
            <w:tcW w:w="1701" w:type="dxa"/>
            <w:tcBorders>
              <w:top w:val="nil"/>
              <w:left w:val="nil"/>
              <w:bottom w:val="double" w:sz="6" w:space="0" w:color="44546A"/>
              <w:right w:val="double" w:sz="6" w:space="0" w:color="44546A"/>
            </w:tcBorders>
            <w:shd w:val="clear" w:color="auto" w:fill="auto"/>
            <w:noWrap/>
            <w:vAlign w:val="center"/>
            <w:hideMark/>
          </w:tcPr>
          <w:p w14:paraId="4209EE77" w14:textId="22364155" w:rsidR="00DD5CC8" w:rsidRPr="00033E65" w:rsidRDefault="006B2C26" w:rsidP="0024182A">
            <w:pPr>
              <w:spacing w:before="0" w:after="0"/>
              <w:jc w:val="center"/>
              <w:rPr>
                <w:rFonts w:eastAsia="Book Antiqua" w:cs="Book Antiqua"/>
                <w:szCs w:val="22"/>
              </w:rPr>
            </w:pPr>
            <w:r w:rsidRPr="00033E65">
              <w:rPr>
                <w:color w:val="000000" w:themeColor="text1"/>
                <w:lang w:eastAsia="es-CR"/>
              </w:rPr>
              <w:t>26</w:t>
            </w:r>
          </w:p>
        </w:tc>
        <w:tc>
          <w:tcPr>
            <w:tcW w:w="1417" w:type="dxa"/>
            <w:tcBorders>
              <w:top w:val="nil"/>
              <w:left w:val="nil"/>
              <w:bottom w:val="double" w:sz="6" w:space="0" w:color="44546A"/>
              <w:right w:val="double" w:sz="6" w:space="0" w:color="44546A"/>
            </w:tcBorders>
            <w:shd w:val="clear" w:color="auto" w:fill="auto"/>
            <w:noWrap/>
            <w:vAlign w:val="center"/>
            <w:hideMark/>
          </w:tcPr>
          <w:p w14:paraId="120E20A7"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43075CD7" w14:textId="6B481E9D" w:rsidR="00DD5CC8" w:rsidRPr="00033E65" w:rsidRDefault="008570A4" w:rsidP="0024182A">
            <w:pPr>
              <w:spacing w:before="0" w:after="0"/>
              <w:jc w:val="center"/>
              <w:rPr>
                <w:rFonts w:eastAsia="Book Antiqua" w:cs="Book Antiqua"/>
                <w:szCs w:val="22"/>
              </w:rPr>
            </w:pPr>
            <w:r w:rsidRPr="00033E65">
              <w:rPr>
                <w:color w:val="000000" w:themeColor="text1"/>
                <w:lang w:eastAsia="es-CR"/>
              </w:rPr>
              <w:t>13</w:t>
            </w:r>
          </w:p>
        </w:tc>
      </w:tr>
      <w:tr w:rsidR="0060735A" w:rsidRPr="00033E65" w14:paraId="08A6FE6B" w14:textId="77777777" w:rsidTr="00274042">
        <w:trPr>
          <w:gridAfter w:val="1"/>
          <w:wAfter w:w="7" w:type="dxa"/>
          <w:trHeight w:val="20"/>
          <w:jc w:val="center"/>
        </w:trPr>
        <w:tc>
          <w:tcPr>
            <w:tcW w:w="3969" w:type="dxa"/>
            <w:tcBorders>
              <w:top w:val="nil"/>
              <w:left w:val="double" w:sz="6" w:space="0" w:color="44546A"/>
              <w:bottom w:val="double" w:sz="6" w:space="0" w:color="44546A"/>
              <w:right w:val="nil"/>
            </w:tcBorders>
            <w:shd w:val="clear" w:color="auto" w:fill="auto"/>
            <w:vAlign w:val="center"/>
            <w:hideMark/>
          </w:tcPr>
          <w:p w14:paraId="60A988FD" w14:textId="77777777" w:rsidR="00DD5CC8" w:rsidRPr="00033E65" w:rsidRDefault="00DD5CC8" w:rsidP="00DD5CC8">
            <w:pPr>
              <w:spacing w:before="0" w:after="0"/>
              <w:rPr>
                <w:color w:val="000000"/>
                <w:szCs w:val="22"/>
                <w:lang w:eastAsia="es-CR"/>
              </w:rPr>
            </w:pPr>
            <w:r w:rsidRPr="00033E65">
              <w:rPr>
                <w:color w:val="000000"/>
                <w:szCs w:val="22"/>
                <w:lang w:eastAsia="es-CR"/>
              </w:rPr>
              <w:t>Juzgado Agrario del Segundo Circuito Judicial de la Zona Sur (Corredores)</w:t>
            </w:r>
          </w:p>
        </w:tc>
        <w:tc>
          <w:tcPr>
            <w:tcW w:w="1418" w:type="dxa"/>
            <w:tcBorders>
              <w:top w:val="nil"/>
              <w:left w:val="double" w:sz="6" w:space="0" w:color="44546A"/>
              <w:bottom w:val="double" w:sz="6" w:space="0" w:color="44546A"/>
              <w:right w:val="double" w:sz="6" w:space="0" w:color="44546A"/>
            </w:tcBorders>
            <w:shd w:val="clear" w:color="auto" w:fill="auto"/>
            <w:noWrap/>
            <w:vAlign w:val="center"/>
            <w:hideMark/>
          </w:tcPr>
          <w:p w14:paraId="62F92D9F" w14:textId="3B598515" w:rsidR="00DD5CC8" w:rsidRPr="00033E65" w:rsidRDefault="09DB3A85" w:rsidP="0024182A">
            <w:pPr>
              <w:spacing w:before="0" w:after="0"/>
              <w:jc w:val="center"/>
              <w:rPr>
                <w:rFonts w:eastAsia="Book Antiqua" w:cs="Book Antiqua"/>
                <w:szCs w:val="22"/>
              </w:rPr>
            </w:pPr>
            <w:r w:rsidRPr="00033E65">
              <w:rPr>
                <w:color w:val="000000" w:themeColor="text1"/>
                <w:lang w:eastAsia="es-CR"/>
              </w:rPr>
              <w:t>34</w:t>
            </w:r>
          </w:p>
        </w:tc>
        <w:tc>
          <w:tcPr>
            <w:tcW w:w="1585" w:type="dxa"/>
            <w:tcBorders>
              <w:top w:val="nil"/>
              <w:left w:val="nil"/>
              <w:bottom w:val="double" w:sz="6" w:space="0" w:color="44546A"/>
              <w:right w:val="double" w:sz="6" w:space="0" w:color="44546A"/>
            </w:tcBorders>
            <w:shd w:val="clear" w:color="auto" w:fill="auto"/>
            <w:noWrap/>
            <w:vAlign w:val="center"/>
            <w:hideMark/>
          </w:tcPr>
          <w:p w14:paraId="0C581331"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29E4FDE4" w14:textId="653D521D" w:rsidR="00DD5CC8" w:rsidRPr="00033E65" w:rsidRDefault="000F74B3" w:rsidP="0024182A">
            <w:pPr>
              <w:spacing w:before="0" w:after="0"/>
              <w:jc w:val="center"/>
              <w:rPr>
                <w:rFonts w:eastAsia="Book Antiqua" w:cs="Book Antiqua"/>
                <w:szCs w:val="22"/>
              </w:rPr>
            </w:pPr>
            <w:r w:rsidRPr="00033E65">
              <w:rPr>
                <w:color w:val="000000" w:themeColor="text1"/>
                <w:lang w:eastAsia="es-CR"/>
              </w:rPr>
              <w:t>17</w:t>
            </w:r>
          </w:p>
        </w:tc>
        <w:tc>
          <w:tcPr>
            <w:tcW w:w="1417" w:type="dxa"/>
            <w:tcBorders>
              <w:top w:val="nil"/>
              <w:left w:val="nil"/>
              <w:bottom w:val="double" w:sz="6" w:space="0" w:color="44546A"/>
              <w:right w:val="double" w:sz="6" w:space="0" w:color="44546A"/>
            </w:tcBorders>
            <w:shd w:val="clear" w:color="auto" w:fill="auto"/>
            <w:noWrap/>
            <w:vAlign w:val="center"/>
            <w:hideMark/>
          </w:tcPr>
          <w:p w14:paraId="50ECEB6B" w14:textId="77777777" w:rsidR="00DD5CC8" w:rsidRPr="00033E65" w:rsidRDefault="00DD5CC8" w:rsidP="0024182A">
            <w:pPr>
              <w:spacing w:before="0" w:after="0"/>
              <w:jc w:val="center"/>
              <w:rPr>
                <w:color w:val="000000"/>
                <w:szCs w:val="22"/>
                <w:lang w:eastAsia="es-CR"/>
              </w:rPr>
            </w:pPr>
            <w:r w:rsidRPr="00033E65">
              <w:rPr>
                <w:color w:val="000000"/>
                <w:szCs w:val="22"/>
                <w:lang w:eastAsia="es-CR"/>
              </w:rPr>
              <w:t>3</w:t>
            </w:r>
          </w:p>
        </w:tc>
        <w:tc>
          <w:tcPr>
            <w:tcW w:w="1701" w:type="dxa"/>
            <w:tcBorders>
              <w:top w:val="nil"/>
              <w:left w:val="nil"/>
              <w:bottom w:val="double" w:sz="6" w:space="0" w:color="44546A"/>
              <w:right w:val="double" w:sz="6" w:space="0" w:color="44546A"/>
            </w:tcBorders>
            <w:shd w:val="clear" w:color="auto" w:fill="auto"/>
            <w:noWrap/>
            <w:vAlign w:val="center"/>
            <w:hideMark/>
          </w:tcPr>
          <w:p w14:paraId="2C104EAD" w14:textId="470FF2F3" w:rsidR="00DD5CC8" w:rsidRPr="00033E65" w:rsidRDefault="0AF318F0" w:rsidP="0024182A">
            <w:pPr>
              <w:spacing w:before="0" w:after="0"/>
              <w:jc w:val="center"/>
              <w:rPr>
                <w:rFonts w:eastAsia="Book Antiqua" w:cs="Book Antiqua"/>
                <w:szCs w:val="22"/>
              </w:rPr>
            </w:pPr>
            <w:r w:rsidRPr="00033E65">
              <w:rPr>
                <w:color w:val="000000" w:themeColor="text1"/>
                <w:lang w:eastAsia="es-CR"/>
              </w:rPr>
              <w:t>1</w:t>
            </w:r>
            <w:r w:rsidR="00594C3C" w:rsidRPr="00033E65">
              <w:rPr>
                <w:color w:val="000000" w:themeColor="text1"/>
                <w:lang w:eastAsia="es-CR"/>
              </w:rPr>
              <w:t>2</w:t>
            </w:r>
          </w:p>
        </w:tc>
      </w:tr>
      <w:tr w:rsidR="0060735A" w:rsidRPr="00033E65" w14:paraId="34C2F2E9" w14:textId="77777777" w:rsidTr="00274042">
        <w:trPr>
          <w:gridAfter w:val="1"/>
          <w:wAfter w:w="7" w:type="dxa"/>
          <w:trHeight w:val="20"/>
          <w:jc w:val="center"/>
        </w:trPr>
        <w:tc>
          <w:tcPr>
            <w:tcW w:w="3969" w:type="dxa"/>
            <w:tcBorders>
              <w:top w:val="nil"/>
              <w:left w:val="double" w:sz="6" w:space="0" w:color="44546A"/>
              <w:bottom w:val="double" w:sz="6" w:space="0" w:color="44546A"/>
              <w:right w:val="nil"/>
            </w:tcBorders>
            <w:shd w:val="clear" w:color="auto" w:fill="auto"/>
            <w:vAlign w:val="center"/>
            <w:hideMark/>
          </w:tcPr>
          <w:p w14:paraId="097B11DC" w14:textId="77777777" w:rsidR="00DD5CC8" w:rsidRPr="00033E65" w:rsidRDefault="00DD5CC8" w:rsidP="00DD5CC8">
            <w:pPr>
              <w:spacing w:before="0" w:after="0"/>
              <w:rPr>
                <w:color w:val="000000"/>
                <w:szCs w:val="22"/>
                <w:lang w:eastAsia="es-CR"/>
              </w:rPr>
            </w:pPr>
            <w:r w:rsidRPr="00033E65">
              <w:rPr>
                <w:color w:val="000000"/>
                <w:szCs w:val="22"/>
                <w:lang w:eastAsia="es-CR"/>
              </w:rPr>
              <w:t>Juzgado Agrario del Primer Circuito Judicial de Guanacaste (Liberia)</w:t>
            </w:r>
          </w:p>
        </w:tc>
        <w:tc>
          <w:tcPr>
            <w:tcW w:w="1418" w:type="dxa"/>
            <w:tcBorders>
              <w:top w:val="nil"/>
              <w:left w:val="double" w:sz="6" w:space="0" w:color="44546A"/>
              <w:bottom w:val="double" w:sz="6" w:space="0" w:color="44546A"/>
              <w:right w:val="double" w:sz="6" w:space="0" w:color="44546A"/>
            </w:tcBorders>
            <w:shd w:val="clear" w:color="auto" w:fill="auto"/>
            <w:noWrap/>
            <w:vAlign w:val="center"/>
            <w:hideMark/>
          </w:tcPr>
          <w:p w14:paraId="5168E73C" w14:textId="0AC03EB7" w:rsidR="00DD5CC8" w:rsidRPr="00033E65" w:rsidRDefault="66341E89" w:rsidP="00DD5CC8">
            <w:pPr>
              <w:spacing w:before="0" w:after="0"/>
              <w:jc w:val="center"/>
              <w:rPr>
                <w:rFonts w:eastAsia="Book Antiqua" w:cs="Book Antiqua"/>
                <w:szCs w:val="22"/>
              </w:rPr>
            </w:pPr>
            <w:r w:rsidRPr="00033E65">
              <w:rPr>
                <w:color w:val="000000" w:themeColor="text1"/>
                <w:lang w:eastAsia="es-CR"/>
              </w:rPr>
              <w:t>37</w:t>
            </w:r>
          </w:p>
        </w:tc>
        <w:tc>
          <w:tcPr>
            <w:tcW w:w="1585" w:type="dxa"/>
            <w:tcBorders>
              <w:top w:val="nil"/>
              <w:left w:val="nil"/>
              <w:bottom w:val="double" w:sz="6" w:space="0" w:color="44546A"/>
              <w:right w:val="double" w:sz="6" w:space="0" w:color="44546A"/>
            </w:tcBorders>
            <w:shd w:val="clear" w:color="auto" w:fill="auto"/>
            <w:noWrap/>
            <w:vAlign w:val="center"/>
            <w:hideMark/>
          </w:tcPr>
          <w:p w14:paraId="407BB91F" w14:textId="77777777" w:rsidR="00DD5CC8" w:rsidRPr="00033E65" w:rsidRDefault="00DD5CC8" w:rsidP="00DD5CC8">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6579A94F" w14:textId="77777777" w:rsidR="00DD5CC8" w:rsidRPr="00033E65" w:rsidRDefault="00DD5CC8" w:rsidP="00DD5CC8">
            <w:pPr>
              <w:spacing w:before="0" w:after="0"/>
              <w:jc w:val="center"/>
              <w:rPr>
                <w:color w:val="000000"/>
                <w:szCs w:val="22"/>
                <w:lang w:eastAsia="es-CR"/>
              </w:rPr>
            </w:pPr>
            <w:r w:rsidRPr="00033E65">
              <w:rPr>
                <w:color w:val="000000"/>
                <w:szCs w:val="22"/>
                <w:lang w:eastAsia="es-CR"/>
              </w:rPr>
              <w:t>19</w:t>
            </w:r>
          </w:p>
        </w:tc>
        <w:tc>
          <w:tcPr>
            <w:tcW w:w="1417" w:type="dxa"/>
            <w:tcBorders>
              <w:top w:val="nil"/>
              <w:left w:val="nil"/>
              <w:bottom w:val="double" w:sz="6" w:space="0" w:color="44546A"/>
              <w:right w:val="double" w:sz="6" w:space="0" w:color="44546A"/>
            </w:tcBorders>
            <w:shd w:val="clear" w:color="auto" w:fill="auto"/>
            <w:noWrap/>
            <w:vAlign w:val="center"/>
            <w:hideMark/>
          </w:tcPr>
          <w:p w14:paraId="07612DBE" w14:textId="77777777" w:rsidR="00DD5CC8" w:rsidRPr="00033E65" w:rsidRDefault="00DD5CC8" w:rsidP="00DD5CC8">
            <w:pPr>
              <w:spacing w:before="0" w:after="0"/>
              <w:jc w:val="center"/>
              <w:rPr>
                <w:color w:val="000000"/>
                <w:szCs w:val="22"/>
                <w:lang w:eastAsia="es-CR"/>
              </w:rPr>
            </w:pPr>
            <w:r w:rsidRPr="00033E65">
              <w:rPr>
                <w:color w:val="000000"/>
                <w:szCs w:val="22"/>
                <w:lang w:eastAsia="es-CR"/>
              </w:rPr>
              <w:t>4</w:t>
            </w:r>
          </w:p>
        </w:tc>
        <w:tc>
          <w:tcPr>
            <w:tcW w:w="1701" w:type="dxa"/>
            <w:tcBorders>
              <w:top w:val="nil"/>
              <w:left w:val="nil"/>
              <w:bottom w:val="double" w:sz="6" w:space="0" w:color="44546A"/>
              <w:right w:val="double" w:sz="6" w:space="0" w:color="44546A"/>
            </w:tcBorders>
            <w:shd w:val="clear" w:color="auto" w:fill="auto"/>
            <w:noWrap/>
            <w:vAlign w:val="center"/>
            <w:hideMark/>
          </w:tcPr>
          <w:p w14:paraId="36249709" w14:textId="68542F06" w:rsidR="00DD5CC8" w:rsidRPr="00033E65" w:rsidRDefault="0218CFB9" w:rsidP="00DD5CC8">
            <w:pPr>
              <w:spacing w:before="0" w:after="0"/>
              <w:jc w:val="center"/>
              <w:rPr>
                <w:rFonts w:eastAsia="Book Antiqua" w:cs="Book Antiqua"/>
                <w:szCs w:val="22"/>
              </w:rPr>
            </w:pPr>
            <w:r w:rsidRPr="00033E65">
              <w:rPr>
                <w:color w:val="000000" w:themeColor="text1"/>
                <w:lang w:eastAsia="es-CR"/>
              </w:rPr>
              <w:t>1</w:t>
            </w:r>
            <w:r w:rsidR="00E31ED9" w:rsidRPr="00033E65">
              <w:rPr>
                <w:color w:val="000000" w:themeColor="text1"/>
                <w:lang w:eastAsia="es-CR"/>
              </w:rPr>
              <w:t>0</w:t>
            </w:r>
          </w:p>
        </w:tc>
      </w:tr>
      <w:tr w:rsidR="0060735A" w:rsidRPr="00033E65" w14:paraId="7D5D16E4" w14:textId="77777777" w:rsidTr="00274042">
        <w:trPr>
          <w:gridAfter w:val="1"/>
          <w:wAfter w:w="7" w:type="dxa"/>
          <w:trHeight w:val="20"/>
          <w:jc w:val="center"/>
        </w:trPr>
        <w:tc>
          <w:tcPr>
            <w:tcW w:w="3969" w:type="dxa"/>
            <w:tcBorders>
              <w:top w:val="nil"/>
              <w:left w:val="double" w:sz="6" w:space="0" w:color="44546A"/>
              <w:bottom w:val="double" w:sz="6" w:space="0" w:color="44546A"/>
              <w:right w:val="nil"/>
            </w:tcBorders>
            <w:shd w:val="clear" w:color="auto" w:fill="auto"/>
            <w:vAlign w:val="center"/>
            <w:hideMark/>
          </w:tcPr>
          <w:p w14:paraId="35EDA8CA" w14:textId="77777777" w:rsidR="00DD5CC8" w:rsidRPr="00033E65" w:rsidRDefault="00DD5CC8" w:rsidP="00DD5CC8">
            <w:pPr>
              <w:spacing w:before="0" w:after="0"/>
              <w:rPr>
                <w:color w:val="000000"/>
                <w:szCs w:val="22"/>
                <w:lang w:eastAsia="es-CR"/>
              </w:rPr>
            </w:pPr>
            <w:r w:rsidRPr="00033E65">
              <w:rPr>
                <w:color w:val="000000"/>
                <w:szCs w:val="22"/>
                <w:lang w:eastAsia="es-CR"/>
              </w:rPr>
              <w:t>Juzgado Agrario del Segundo Circuito Judicial de Guanacaste (Santa Cruz)</w:t>
            </w:r>
          </w:p>
        </w:tc>
        <w:tc>
          <w:tcPr>
            <w:tcW w:w="1418" w:type="dxa"/>
            <w:tcBorders>
              <w:top w:val="nil"/>
              <w:left w:val="double" w:sz="6" w:space="0" w:color="44546A"/>
              <w:bottom w:val="double" w:sz="6" w:space="0" w:color="44546A"/>
              <w:right w:val="double" w:sz="6" w:space="0" w:color="44546A"/>
            </w:tcBorders>
            <w:shd w:val="clear" w:color="auto" w:fill="auto"/>
            <w:noWrap/>
            <w:vAlign w:val="center"/>
            <w:hideMark/>
          </w:tcPr>
          <w:p w14:paraId="7971268B" w14:textId="39E0B9D2" w:rsidR="00DD5CC8" w:rsidRPr="00033E65" w:rsidRDefault="70E09CDC" w:rsidP="00DD5CC8">
            <w:pPr>
              <w:spacing w:before="0" w:after="0"/>
              <w:jc w:val="center"/>
              <w:rPr>
                <w:rFonts w:eastAsia="Book Antiqua" w:cs="Book Antiqua"/>
                <w:szCs w:val="22"/>
              </w:rPr>
            </w:pPr>
            <w:r w:rsidRPr="00033E65">
              <w:rPr>
                <w:color w:val="000000" w:themeColor="text1"/>
                <w:lang w:eastAsia="es-CR"/>
              </w:rPr>
              <w:t>53</w:t>
            </w:r>
          </w:p>
        </w:tc>
        <w:tc>
          <w:tcPr>
            <w:tcW w:w="1585" w:type="dxa"/>
            <w:tcBorders>
              <w:top w:val="nil"/>
              <w:left w:val="nil"/>
              <w:bottom w:val="double" w:sz="6" w:space="0" w:color="44546A"/>
              <w:right w:val="double" w:sz="6" w:space="0" w:color="44546A"/>
            </w:tcBorders>
            <w:shd w:val="clear" w:color="auto" w:fill="auto"/>
            <w:noWrap/>
            <w:vAlign w:val="center"/>
            <w:hideMark/>
          </w:tcPr>
          <w:p w14:paraId="04E0A88C" w14:textId="77777777" w:rsidR="00DD5CC8" w:rsidRPr="00033E65" w:rsidRDefault="00DD5CC8" w:rsidP="00DD5CC8">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39AEB4B0" w14:textId="28397D47" w:rsidR="00DD5CC8" w:rsidRPr="00033E65" w:rsidRDefault="4039C77F" w:rsidP="00DD5CC8">
            <w:pPr>
              <w:spacing w:before="0" w:after="0"/>
              <w:jc w:val="center"/>
              <w:rPr>
                <w:rFonts w:eastAsia="Book Antiqua" w:cs="Book Antiqua"/>
                <w:szCs w:val="22"/>
              </w:rPr>
            </w:pPr>
            <w:r w:rsidRPr="00033E65">
              <w:rPr>
                <w:color w:val="000000" w:themeColor="text1"/>
                <w:lang w:eastAsia="es-CR"/>
              </w:rPr>
              <w:t>26</w:t>
            </w:r>
          </w:p>
        </w:tc>
        <w:tc>
          <w:tcPr>
            <w:tcW w:w="1417" w:type="dxa"/>
            <w:tcBorders>
              <w:top w:val="nil"/>
              <w:left w:val="nil"/>
              <w:bottom w:val="double" w:sz="6" w:space="0" w:color="44546A"/>
              <w:right w:val="double" w:sz="6" w:space="0" w:color="44546A"/>
            </w:tcBorders>
            <w:shd w:val="clear" w:color="auto" w:fill="auto"/>
            <w:noWrap/>
            <w:vAlign w:val="center"/>
            <w:hideMark/>
          </w:tcPr>
          <w:p w14:paraId="7E5695C1" w14:textId="77777777" w:rsidR="00DD5CC8" w:rsidRPr="00033E65" w:rsidRDefault="00DD5CC8" w:rsidP="00DD5CC8">
            <w:pPr>
              <w:spacing w:before="0" w:after="0"/>
              <w:jc w:val="center"/>
              <w:rPr>
                <w:color w:val="000000"/>
                <w:szCs w:val="22"/>
                <w:lang w:eastAsia="es-CR"/>
              </w:rPr>
            </w:pPr>
            <w:r w:rsidRPr="00033E65">
              <w:rPr>
                <w:color w:val="000000"/>
                <w:szCs w:val="22"/>
                <w:lang w:eastAsia="es-CR"/>
              </w:rPr>
              <w:t>4</w:t>
            </w:r>
          </w:p>
        </w:tc>
        <w:tc>
          <w:tcPr>
            <w:tcW w:w="1701" w:type="dxa"/>
            <w:tcBorders>
              <w:top w:val="nil"/>
              <w:left w:val="nil"/>
              <w:bottom w:val="double" w:sz="6" w:space="0" w:color="44546A"/>
              <w:right w:val="double" w:sz="6" w:space="0" w:color="44546A"/>
            </w:tcBorders>
            <w:shd w:val="clear" w:color="auto" w:fill="auto"/>
            <w:noWrap/>
            <w:vAlign w:val="center"/>
            <w:hideMark/>
          </w:tcPr>
          <w:p w14:paraId="5ABC1ACD" w14:textId="7A145A2E" w:rsidR="00DD5CC8" w:rsidRPr="00033E65" w:rsidRDefault="0965E3BE" w:rsidP="00DD5CC8">
            <w:pPr>
              <w:spacing w:before="0" w:after="0"/>
              <w:jc w:val="center"/>
              <w:rPr>
                <w:rFonts w:eastAsia="Book Antiqua" w:cs="Book Antiqua"/>
                <w:szCs w:val="22"/>
              </w:rPr>
            </w:pPr>
            <w:r w:rsidRPr="00033E65">
              <w:rPr>
                <w:color w:val="000000" w:themeColor="text1"/>
                <w:lang w:eastAsia="es-CR"/>
              </w:rPr>
              <w:t>13</w:t>
            </w:r>
          </w:p>
        </w:tc>
      </w:tr>
      <w:tr w:rsidR="0060735A" w:rsidRPr="00033E65" w14:paraId="7A0FEDDC" w14:textId="77777777" w:rsidTr="00274042">
        <w:trPr>
          <w:gridAfter w:val="1"/>
          <w:wAfter w:w="7" w:type="dxa"/>
          <w:trHeight w:val="20"/>
          <w:jc w:val="center"/>
        </w:trPr>
        <w:tc>
          <w:tcPr>
            <w:tcW w:w="3969" w:type="dxa"/>
            <w:tcBorders>
              <w:top w:val="nil"/>
              <w:left w:val="double" w:sz="6" w:space="0" w:color="44546A"/>
              <w:bottom w:val="double" w:sz="6" w:space="0" w:color="44546A"/>
              <w:right w:val="nil"/>
            </w:tcBorders>
            <w:shd w:val="clear" w:color="auto" w:fill="auto"/>
            <w:vAlign w:val="center"/>
            <w:hideMark/>
          </w:tcPr>
          <w:p w14:paraId="774422A9" w14:textId="77777777" w:rsidR="00DD5CC8" w:rsidRPr="00033E65" w:rsidRDefault="00DD5CC8" w:rsidP="00DD5CC8">
            <w:pPr>
              <w:spacing w:before="0" w:after="0"/>
              <w:rPr>
                <w:color w:val="000000"/>
                <w:szCs w:val="22"/>
                <w:lang w:eastAsia="es-CR"/>
              </w:rPr>
            </w:pPr>
            <w:r w:rsidRPr="00033E65">
              <w:rPr>
                <w:color w:val="000000"/>
                <w:szCs w:val="22"/>
                <w:lang w:eastAsia="es-CR"/>
              </w:rPr>
              <w:t>Juzgado Agrario del Primer Circuito Judicial de la Zona Atlántica (Limón)</w:t>
            </w:r>
          </w:p>
        </w:tc>
        <w:tc>
          <w:tcPr>
            <w:tcW w:w="1418" w:type="dxa"/>
            <w:tcBorders>
              <w:top w:val="nil"/>
              <w:left w:val="double" w:sz="6" w:space="0" w:color="44546A"/>
              <w:bottom w:val="double" w:sz="6" w:space="0" w:color="44546A"/>
              <w:right w:val="double" w:sz="6" w:space="0" w:color="44546A"/>
            </w:tcBorders>
            <w:shd w:val="clear" w:color="auto" w:fill="auto"/>
            <w:noWrap/>
            <w:vAlign w:val="center"/>
            <w:hideMark/>
          </w:tcPr>
          <w:p w14:paraId="0BF294B9" w14:textId="1DD367B1" w:rsidR="00DD5CC8" w:rsidRPr="00033E65" w:rsidRDefault="4E589B76" w:rsidP="00DD5CC8">
            <w:pPr>
              <w:spacing w:before="0" w:after="0"/>
              <w:jc w:val="center"/>
              <w:rPr>
                <w:rFonts w:eastAsia="Book Antiqua" w:cs="Book Antiqua"/>
                <w:szCs w:val="22"/>
              </w:rPr>
            </w:pPr>
            <w:r w:rsidRPr="00033E65">
              <w:rPr>
                <w:color w:val="000000" w:themeColor="text1"/>
                <w:lang w:eastAsia="es-CR"/>
              </w:rPr>
              <w:t>47</w:t>
            </w:r>
          </w:p>
        </w:tc>
        <w:tc>
          <w:tcPr>
            <w:tcW w:w="1585" w:type="dxa"/>
            <w:tcBorders>
              <w:top w:val="nil"/>
              <w:left w:val="nil"/>
              <w:bottom w:val="double" w:sz="6" w:space="0" w:color="44546A"/>
              <w:right w:val="double" w:sz="6" w:space="0" w:color="44546A"/>
            </w:tcBorders>
            <w:shd w:val="clear" w:color="auto" w:fill="auto"/>
            <w:noWrap/>
            <w:vAlign w:val="center"/>
            <w:hideMark/>
          </w:tcPr>
          <w:p w14:paraId="74404343" w14:textId="77777777" w:rsidR="00DD5CC8" w:rsidRPr="00033E65" w:rsidRDefault="00DD5CC8" w:rsidP="00DD5CC8">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60615B2C" w14:textId="54D0BE5E" w:rsidR="00DD5CC8" w:rsidRPr="00033E65" w:rsidRDefault="012F05D2" w:rsidP="00DD5CC8">
            <w:pPr>
              <w:spacing w:before="0" w:after="0"/>
              <w:jc w:val="center"/>
              <w:rPr>
                <w:rFonts w:eastAsia="Book Antiqua" w:cs="Book Antiqua"/>
                <w:szCs w:val="22"/>
              </w:rPr>
            </w:pPr>
            <w:r w:rsidRPr="00033E65">
              <w:rPr>
                <w:color w:val="000000" w:themeColor="text1"/>
                <w:lang w:eastAsia="es-CR"/>
              </w:rPr>
              <w:t>24</w:t>
            </w:r>
          </w:p>
        </w:tc>
        <w:tc>
          <w:tcPr>
            <w:tcW w:w="1417" w:type="dxa"/>
            <w:tcBorders>
              <w:top w:val="nil"/>
              <w:left w:val="nil"/>
              <w:bottom w:val="double" w:sz="6" w:space="0" w:color="44546A"/>
              <w:right w:val="double" w:sz="6" w:space="0" w:color="44546A"/>
            </w:tcBorders>
            <w:shd w:val="clear" w:color="auto" w:fill="auto"/>
            <w:noWrap/>
            <w:vAlign w:val="center"/>
            <w:hideMark/>
          </w:tcPr>
          <w:p w14:paraId="11F38E50" w14:textId="77777777" w:rsidR="00DD5CC8" w:rsidRPr="00033E65" w:rsidRDefault="00DD5CC8" w:rsidP="00DD5CC8">
            <w:pPr>
              <w:spacing w:before="0" w:after="0"/>
              <w:jc w:val="center"/>
              <w:rPr>
                <w:color w:val="000000"/>
                <w:szCs w:val="22"/>
                <w:lang w:eastAsia="es-CR"/>
              </w:rPr>
            </w:pPr>
            <w:r w:rsidRPr="00033E65">
              <w:rPr>
                <w:color w:val="000000"/>
                <w:szCs w:val="22"/>
                <w:lang w:eastAsia="es-CR"/>
              </w:rPr>
              <w:t>4</w:t>
            </w:r>
          </w:p>
        </w:tc>
        <w:tc>
          <w:tcPr>
            <w:tcW w:w="1701" w:type="dxa"/>
            <w:tcBorders>
              <w:top w:val="nil"/>
              <w:left w:val="nil"/>
              <w:bottom w:val="double" w:sz="6" w:space="0" w:color="44546A"/>
              <w:right w:val="double" w:sz="6" w:space="0" w:color="44546A"/>
            </w:tcBorders>
            <w:shd w:val="clear" w:color="auto" w:fill="auto"/>
            <w:noWrap/>
            <w:vAlign w:val="center"/>
            <w:hideMark/>
          </w:tcPr>
          <w:p w14:paraId="47A7590C" w14:textId="71573BAD" w:rsidR="00DD5CC8" w:rsidRPr="00033E65" w:rsidRDefault="008F598F" w:rsidP="00DD5CC8">
            <w:pPr>
              <w:spacing w:before="0" w:after="0"/>
              <w:jc w:val="center"/>
              <w:rPr>
                <w:rFonts w:eastAsia="Book Antiqua" w:cs="Book Antiqua"/>
                <w:szCs w:val="22"/>
              </w:rPr>
            </w:pPr>
            <w:r w:rsidRPr="00033E65">
              <w:rPr>
                <w:color w:val="000000" w:themeColor="text1"/>
                <w:lang w:eastAsia="es-CR"/>
              </w:rPr>
              <w:t>12</w:t>
            </w:r>
          </w:p>
        </w:tc>
      </w:tr>
      <w:tr w:rsidR="0060735A" w:rsidRPr="00033E65" w14:paraId="5F5E495A" w14:textId="77777777" w:rsidTr="00274042">
        <w:trPr>
          <w:gridAfter w:val="1"/>
          <w:wAfter w:w="7" w:type="dxa"/>
          <w:trHeight w:val="20"/>
          <w:jc w:val="center"/>
        </w:trPr>
        <w:tc>
          <w:tcPr>
            <w:tcW w:w="3969" w:type="dxa"/>
            <w:tcBorders>
              <w:top w:val="nil"/>
              <w:left w:val="double" w:sz="6" w:space="0" w:color="44546A"/>
              <w:bottom w:val="double" w:sz="6" w:space="0" w:color="44546A"/>
              <w:right w:val="nil"/>
            </w:tcBorders>
            <w:shd w:val="clear" w:color="auto" w:fill="auto"/>
            <w:vAlign w:val="bottom"/>
            <w:hideMark/>
          </w:tcPr>
          <w:p w14:paraId="5024FC38" w14:textId="77777777" w:rsidR="00DD5CC8" w:rsidRPr="00033E65" w:rsidRDefault="00DD5CC8" w:rsidP="00DD5CC8">
            <w:pPr>
              <w:spacing w:before="0" w:after="0"/>
              <w:jc w:val="left"/>
              <w:rPr>
                <w:color w:val="000000"/>
                <w:szCs w:val="22"/>
                <w:lang w:eastAsia="es-CR"/>
              </w:rPr>
            </w:pPr>
            <w:r w:rsidRPr="00033E65">
              <w:rPr>
                <w:color w:val="000000"/>
                <w:szCs w:val="22"/>
                <w:lang w:eastAsia="es-CR"/>
              </w:rPr>
              <w:t>Juzgado Agrario del Segundo Circuito Judicial de la Zona Atlántica (Guápiles)</w:t>
            </w:r>
          </w:p>
        </w:tc>
        <w:tc>
          <w:tcPr>
            <w:tcW w:w="1418" w:type="dxa"/>
            <w:tcBorders>
              <w:top w:val="nil"/>
              <w:left w:val="double" w:sz="6" w:space="0" w:color="44546A"/>
              <w:bottom w:val="double" w:sz="6" w:space="0" w:color="44546A"/>
              <w:right w:val="double" w:sz="6" w:space="0" w:color="44546A"/>
            </w:tcBorders>
            <w:shd w:val="clear" w:color="auto" w:fill="auto"/>
            <w:noWrap/>
            <w:vAlign w:val="center"/>
            <w:hideMark/>
          </w:tcPr>
          <w:p w14:paraId="35ECCE61" w14:textId="0ED4AB31" w:rsidR="00DD5CC8" w:rsidRPr="00033E65" w:rsidRDefault="7347E2EB" w:rsidP="00DD5CC8">
            <w:pPr>
              <w:spacing w:before="0" w:after="0"/>
              <w:jc w:val="center"/>
              <w:rPr>
                <w:rFonts w:eastAsia="Book Antiqua" w:cs="Book Antiqua"/>
                <w:szCs w:val="22"/>
              </w:rPr>
            </w:pPr>
            <w:r w:rsidRPr="00033E65">
              <w:rPr>
                <w:color w:val="000000" w:themeColor="text1"/>
                <w:lang w:eastAsia="es-CR"/>
              </w:rPr>
              <w:t>38</w:t>
            </w:r>
          </w:p>
        </w:tc>
        <w:tc>
          <w:tcPr>
            <w:tcW w:w="1585" w:type="dxa"/>
            <w:tcBorders>
              <w:top w:val="nil"/>
              <w:left w:val="nil"/>
              <w:bottom w:val="double" w:sz="6" w:space="0" w:color="44546A"/>
              <w:right w:val="double" w:sz="6" w:space="0" w:color="44546A"/>
            </w:tcBorders>
            <w:shd w:val="clear" w:color="auto" w:fill="auto"/>
            <w:noWrap/>
            <w:vAlign w:val="center"/>
            <w:hideMark/>
          </w:tcPr>
          <w:p w14:paraId="58B63781" w14:textId="77777777" w:rsidR="00DD5CC8" w:rsidRPr="00033E65" w:rsidRDefault="00DD5CC8" w:rsidP="00DD5CC8">
            <w:pPr>
              <w:spacing w:before="0" w:after="0"/>
              <w:jc w:val="center"/>
              <w:rPr>
                <w:color w:val="000000"/>
                <w:szCs w:val="22"/>
                <w:lang w:eastAsia="es-CR"/>
              </w:rPr>
            </w:pPr>
            <w:r w:rsidRPr="00033E65">
              <w:rPr>
                <w:color w:val="000000"/>
                <w:szCs w:val="22"/>
                <w:lang w:eastAsia="es-CR"/>
              </w:rPr>
              <w:t>2</w:t>
            </w:r>
          </w:p>
        </w:tc>
        <w:tc>
          <w:tcPr>
            <w:tcW w:w="1701" w:type="dxa"/>
            <w:tcBorders>
              <w:top w:val="nil"/>
              <w:left w:val="nil"/>
              <w:bottom w:val="double" w:sz="6" w:space="0" w:color="44546A"/>
              <w:right w:val="double" w:sz="6" w:space="0" w:color="44546A"/>
            </w:tcBorders>
            <w:shd w:val="clear" w:color="auto" w:fill="auto"/>
            <w:noWrap/>
            <w:vAlign w:val="center"/>
            <w:hideMark/>
          </w:tcPr>
          <w:p w14:paraId="617C28A7" w14:textId="459F8258" w:rsidR="00DD5CC8" w:rsidRPr="00033E65" w:rsidRDefault="66683E21" w:rsidP="00DD5CC8">
            <w:pPr>
              <w:spacing w:before="0" w:after="0"/>
              <w:jc w:val="center"/>
              <w:rPr>
                <w:rFonts w:eastAsia="Book Antiqua" w:cs="Book Antiqua"/>
                <w:szCs w:val="22"/>
              </w:rPr>
            </w:pPr>
            <w:r w:rsidRPr="00033E65">
              <w:rPr>
                <w:color w:val="000000" w:themeColor="text1"/>
                <w:lang w:eastAsia="es-CR"/>
              </w:rPr>
              <w:t>19</w:t>
            </w:r>
          </w:p>
        </w:tc>
        <w:tc>
          <w:tcPr>
            <w:tcW w:w="1417" w:type="dxa"/>
            <w:tcBorders>
              <w:top w:val="nil"/>
              <w:left w:val="nil"/>
              <w:bottom w:val="double" w:sz="6" w:space="0" w:color="44546A"/>
              <w:right w:val="double" w:sz="6" w:space="0" w:color="44546A"/>
            </w:tcBorders>
            <w:shd w:val="clear" w:color="auto" w:fill="auto"/>
            <w:noWrap/>
            <w:vAlign w:val="center"/>
            <w:hideMark/>
          </w:tcPr>
          <w:p w14:paraId="733071DF" w14:textId="77777777" w:rsidR="00DD5CC8" w:rsidRPr="00033E65" w:rsidRDefault="00DD5CC8" w:rsidP="00DD5CC8">
            <w:pPr>
              <w:spacing w:before="0" w:after="0"/>
              <w:jc w:val="center"/>
              <w:rPr>
                <w:color w:val="000000"/>
                <w:szCs w:val="22"/>
                <w:lang w:eastAsia="es-CR"/>
              </w:rPr>
            </w:pPr>
            <w:r w:rsidRPr="00033E65">
              <w:rPr>
                <w:color w:val="000000"/>
                <w:szCs w:val="22"/>
                <w:lang w:eastAsia="es-CR"/>
              </w:rPr>
              <w:t>5</w:t>
            </w:r>
          </w:p>
        </w:tc>
        <w:tc>
          <w:tcPr>
            <w:tcW w:w="1701" w:type="dxa"/>
            <w:tcBorders>
              <w:top w:val="nil"/>
              <w:left w:val="nil"/>
              <w:bottom w:val="double" w:sz="6" w:space="0" w:color="44546A"/>
              <w:right w:val="double" w:sz="6" w:space="0" w:color="44546A"/>
            </w:tcBorders>
            <w:shd w:val="clear" w:color="auto" w:fill="auto"/>
            <w:noWrap/>
            <w:vAlign w:val="center"/>
            <w:hideMark/>
          </w:tcPr>
          <w:p w14:paraId="248D64BC" w14:textId="77ECAB97" w:rsidR="00DD5CC8" w:rsidRPr="00033E65" w:rsidRDefault="00744CAE" w:rsidP="00DD5CC8">
            <w:pPr>
              <w:spacing w:before="0" w:after="0"/>
              <w:jc w:val="center"/>
              <w:rPr>
                <w:color w:val="000000"/>
                <w:lang w:eastAsia="es-CR"/>
              </w:rPr>
            </w:pPr>
            <w:r w:rsidRPr="00033E65">
              <w:rPr>
                <w:color w:val="000000" w:themeColor="text1"/>
                <w:lang w:eastAsia="es-CR"/>
              </w:rPr>
              <w:t>8</w:t>
            </w:r>
          </w:p>
        </w:tc>
      </w:tr>
      <w:tr w:rsidR="00C73F7F" w:rsidRPr="00033E65" w14:paraId="039A809C" w14:textId="77777777" w:rsidTr="00274042">
        <w:trPr>
          <w:gridAfter w:val="1"/>
          <w:wAfter w:w="7" w:type="dxa"/>
          <w:trHeight w:val="20"/>
          <w:jc w:val="center"/>
        </w:trPr>
        <w:tc>
          <w:tcPr>
            <w:tcW w:w="3969" w:type="dxa"/>
            <w:tcBorders>
              <w:top w:val="nil"/>
              <w:left w:val="double" w:sz="6" w:space="0" w:color="44546A"/>
              <w:bottom w:val="double" w:sz="6" w:space="0" w:color="44546A"/>
              <w:right w:val="nil"/>
            </w:tcBorders>
            <w:shd w:val="clear" w:color="auto" w:fill="auto"/>
            <w:vAlign w:val="center"/>
          </w:tcPr>
          <w:p w14:paraId="49714FFC" w14:textId="0AC5978F" w:rsidR="00C73F7F" w:rsidRPr="00033E65" w:rsidRDefault="00C73F7F" w:rsidP="004536F3">
            <w:pPr>
              <w:spacing w:before="0" w:after="0"/>
              <w:jc w:val="left"/>
              <w:rPr>
                <w:color w:val="000000"/>
                <w:szCs w:val="22"/>
                <w:lang w:eastAsia="es-CR"/>
              </w:rPr>
            </w:pPr>
            <w:r w:rsidRPr="00033E65">
              <w:rPr>
                <w:color w:val="000000"/>
                <w:szCs w:val="22"/>
                <w:lang w:eastAsia="es-CR"/>
              </w:rPr>
              <w:t>Juzgado Agrario de Jicaral</w:t>
            </w:r>
            <w:r w:rsidR="00B96936" w:rsidRPr="00033E65">
              <w:rPr>
                <w:color w:val="000000"/>
                <w:szCs w:val="22"/>
                <w:lang w:eastAsia="es-CR"/>
              </w:rPr>
              <w:t>*</w:t>
            </w:r>
          </w:p>
        </w:tc>
        <w:tc>
          <w:tcPr>
            <w:tcW w:w="1418" w:type="dxa"/>
            <w:tcBorders>
              <w:top w:val="nil"/>
              <w:left w:val="double" w:sz="6" w:space="0" w:color="44546A"/>
              <w:bottom w:val="double" w:sz="6" w:space="0" w:color="44546A"/>
              <w:right w:val="double" w:sz="6" w:space="0" w:color="44546A"/>
            </w:tcBorders>
            <w:shd w:val="clear" w:color="auto" w:fill="auto"/>
            <w:noWrap/>
            <w:vAlign w:val="center"/>
          </w:tcPr>
          <w:p w14:paraId="1B16479F" w14:textId="5757FAE5" w:rsidR="00C73F7F" w:rsidRPr="00033E65" w:rsidRDefault="004C30A3" w:rsidP="004536F3">
            <w:pPr>
              <w:spacing w:before="0" w:after="0"/>
              <w:jc w:val="center"/>
              <w:rPr>
                <w:color w:val="000000" w:themeColor="text1"/>
                <w:lang w:eastAsia="es-CR"/>
              </w:rPr>
            </w:pPr>
            <w:r w:rsidRPr="00033E65">
              <w:rPr>
                <w:color w:val="000000" w:themeColor="text1"/>
                <w:lang w:eastAsia="es-CR"/>
              </w:rPr>
              <w:t>16</w:t>
            </w:r>
          </w:p>
        </w:tc>
        <w:tc>
          <w:tcPr>
            <w:tcW w:w="1585" w:type="dxa"/>
            <w:tcBorders>
              <w:top w:val="nil"/>
              <w:left w:val="nil"/>
              <w:bottom w:val="double" w:sz="6" w:space="0" w:color="44546A"/>
              <w:right w:val="double" w:sz="6" w:space="0" w:color="44546A"/>
            </w:tcBorders>
            <w:shd w:val="clear" w:color="auto" w:fill="auto"/>
            <w:noWrap/>
            <w:vAlign w:val="center"/>
          </w:tcPr>
          <w:p w14:paraId="40C666C5" w14:textId="15F52EAF" w:rsidR="00C73F7F" w:rsidRPr="00033E65" w:rsidRDefault="00E56C44" w:rsidP="004536F3">
            <w:pPr>
              <w:spacing w:before="0" w:after="0"/>
              <w:jc w:val="center"/>
              <w:rPr>
                <w:color w:val="000000"/>
                <w:szCs w:val="22"/>
                <w:lang w:eastAsia="es-CR"/>
              </w:rPr>
            </w:pPr>
            <w:r w:rsidRPr="00033E65">
              <w:rPr>
                <w:color w:val="000000"/>
                <w:szCs w:val="22"/>
                <w:lang w:eastAsia="es-CR"/>
              </w:rPr>
              <w:t>1</w:t>
            </w:r>
          </w:p>
        </w:tc>
        <w:tc>
          <w:tcPr>
            <w:tcW w:w="1701" w:type="dxa"/>
            <w:tcBorders>
              <w:top w:val="nil"/>
              <w:left w:val="nil"/>
              <w:bottom w:val="double" w:sz="6" w:space="0" w:color="44546A"/>
              <w:right w:val="double" w:sz="6" w:space="0" w:color="44546A"/>
            </w:tcBorders>
            <w:shd w:val="clear" w:color="auto" w:fill="auto"/>
            <w:noWrap/>
            <w:vAlign w:val="center"/>
          </w:tcPr>
          <w:p w14:paraId="16615C66" w14:textId="1D9A697C" w:rsidR="00C73F7F" w:rsidRPr="00033E65" w:rsidRDefault="004C30A3" w:rsidP="004536F3">
            <w:pPr>
              <w:spacing w:before="0" w:after="0"/>
              <w:jc w:val="center"/>
              <w:rPr>
                <w:color w:val="000000" w:themeColor="text1"/>
                <w:lang w:eastAsia="es-CR"/>
              </w:rPr>
            </w:pPr>
            <w:r w:rsidRPr="00033E65">
              <w:rPr>
                <w:color w:val="000000" w:themeColor="text1"/>
                <w:lang w:eastAsia="es-CR"/>
              </w:rPr>
              <w:t>16</w:t>
            </w:r>
          </w:p>
        </w:tc>
        <w:tc>
          <w:tcPr>
            <w:tcW w:w="1417" w:type="dxa"/>
            <w:tcBorders>
              <w:top w:val="nil"/>
              <w:left w:val="nil"/>
              <w:bottom w:val="double" w:sz="6" w:space="0" w:color="44546A"/>
              <w:right w:val="double" w:sz="6" w:space="0" w:color="44546A"/>
            </w:tcBorders>
            <w:shd w:val="clear" w:color="auto" w:fill="auto"/>
            <w:noWrap/>
            <w:vAlign w:val="center"/>
          </w:tcPr>
          <w:p w14:paraId="30227DD0" w14:textId="4BD72357" w:rsidR="00C73F7F" w:rsidRPr="00033E65" w:rsidRDefault="00E56C44" w:rsidP="004536F3">
            <w:pPr>
              <w:spacing w:before="0" w:after="0"/>
              <w:jc w:val="center"/>
              <w:rPr>
                <w:color w:val="000000"/>
                <w:szCs w:val="22"/>
                <w:lang w:eastAsia="es-CR"/>
              </w:rPr>
            </w:pPr>
            <w:r w:rsidRPr="00033E65">
              <w:rPr>
                <w:color w:val="000000"/>
                <w:szCs w:val="22"/>
                <w:lang w:eastAsia="es-CR"/>
              </w:rPr>
              <w:t>1</w:t>
            </w:r>
          </w:p>
        </w:tc>
        <w:tc>
          <w:tcPr>
            <w:tcW w:w="1701" w:type="dxa"/>
            <w:tcBorders>
              <w:top w:val="nil"/>
              <w:left w:val="nil"/>
              <w:bottom w:val="double" w:sz="6" w:space="0" w:color="44546A"/>
              <w:right w:val="double" w:sz="6" w:space="0" w:color="44546A"/>
            </w:tcBorders>
            <w:shd w:val="clear" w:color="auto" w:fill="auto"/>
            <w:noWrap/>
            <w:vAlign w:val="center"/>
          </w:tcPr>
          <w:p w14:paraId="3641565A" w14:textId="125E7F3C" w:rsidR="00C73F7F" w:rsidRPr="00033E65" w:rsidRDefault="004C30A3" w:rsidP="004536F3">
            <w:pPr>
              <w:spacing w:before="0" w:after="0"/>
              <w:jc w:val="center"/>
              <w:rPr>
                <w:color w:val="000000" w:themeColor="text1"/>
                <w:lang w:eastAsia="es-CR"/>
              </w:rPr>
            </w:pPr>
            <w:r w:rsidRPr="00033E65">
              <w:rPr>
                <w:color w:val="000000" w:themeColor="text1"/>
                <w:lang w:eastAsia="es-CR"/>
              </w:rPr>
              <w:t>16</w:t>
            </w:r>
          </w:p>
        </w:tc>
      </w:tr>
      <w:tr w:rsidR="00DD5CC8" w:rsidRPr="00033E65" w14:paraId="50F581D8" w14:textId="77777777" w:rsidTr="00274042">
        <w:trPr>
          <w:trHeight w:val="20"/>
          <w:jc w:val="center"/>
        </w:trPr>
        <w:tc>
          <w:tcPr>
            <w:tcW w:w="11798" w:type="dxa"/>
            <w:gridSpan w:val="7"/>
            <w:tcBorders>
              <w:top w:val="double" w:sz="6" w:space="0" w:color="44546A"/>
              <w:left w:val="nil"/>
              <w:bottom w:val="nil"/>
              <w:right w:val="nil"/>
            </w:tcBorders>
            <w:shd w:val="clear" w:color="auto" w:fill="auto"/>
            <w:noWrap/>
            <w:vAlign w:val="bottom"/>
            <w:hideMark/>
          </w:tcPr>
          <w:p w14:paraId="2C564265" w14:textId="2B4EA71C" w:rsidR="00DD5CC8" w:rsidRPr="00033E65" w:rsidRDefault="00DD5CC8" w:rsidP="00DD5CC8">
            <w:pPr>
              <w:spacing w:before="0" w:after="0"/>
              <w:rPr>
                <w:color w:val="000000"/>
                <w:sz w:val="20"/>
                <w:lang w:eastAsia="en-US"/>
              </w:rPr>
            </w:pPr>
            <w:r w:rsidRPr="00033E65">
              <w:rPr>
                <w:color w:val="000000"/>
                <w:sz w:val="20"/>
                <w:lang w:eastAsia="en-US"/>
              </w:rPr>
              <w:lastRenderedPageBreak/>
              <w:t>Fuente: Subproceso de Modernización Institucional</w:t>
            </w:r>
            <w:r w:rsidR="0060735A" w:rsidRPr="00033E65">
              <w:rPr>
                <w:color w:val="000000"/>
                <w:sz w:val="20"/>
                <w:lang w:eastAsia="en-US"/>
              </w:rPr>
              <w:t xml:space="preserve">, área </w:t>
            </w:r>
            <w:r w:rsidR="00346B45" w:rsidRPr="00033E65">
              <w:rPr>
                <w:color w:val="000000"/>
                <w:sz w:val="20"/>
                <w:lang w:eastAsia="en-US"/>
              </w:rPr>
              <w:t>N</w:t>
            </w:r>
            <w:r w:rsidR="0060735A" w:rsidRPr="00033E65">
              <w:rPr>
                <w:color w:val="000000"/>
                <w:sz w:val="20"/>
                <w:lang w:eastAsia="en-US"/>
              </w:rPr>
              <w:t>o Penal</w:t>
            </w:r>
            <w:r w:rsidRPr="00033E65">
              <w:rPr>
                <w:color w:val="000000"/>
                <w:sz w:val="20"/>
                <w:lang w:eastAsia="en-US"/>
              </w:rPr>
              <w:t xml:space="preserve"> con base en </w:t>
            </w:r>
            <w:r w:rsidR="00F02467" w:rsidRPr="00033E65">
              <w:rPr>
                <w:color w:val="000000"/>
                <w:sz w:val="20"/>
                <w:lang w:eastAsia="en-US"/>
              </w:rPr>
              <w:t>el Balance General</w:t>
            </w:r>
            <w:r w:rsidR="004208A0" w:rsidRPr="00033E65">
              <w:rPr>
                <w:color w:val="000000"/>
                <w:sz w:val="20"/>
                <w:lang w:eastAsia="en-US"/>
              </w:rPr>
              <w:t xml:space="preserve"> Interactivo</w:t>
            </w:r>
            <w:r w:rsidRPr="00033E65" w:rsidDel="00F02467">
              <w:rPr>
                <w:color w:val="000000"/>
                <w:sz w:val="20"/>
                <w:lang w:eastAsia="en-US"/>
              </w:rPr>
              <w:t xml:space="preserve"> </w:t>
            </w:r>
            <w:r w:rsidR="00A7755C" w:rsidRPr="00033E65">
              <w:rPr>
                <w:color w:val="000000"/>
                <w:sz w:val="20"/>
                <w:lang w:eastAsia="en-US"/>
              </w:rPr>
              <w:t xml:space="preserve">de </w:t>
            </w:r>
            <w:r w:rsidR="002D1671" w:rsidRPr="00033E65">
              <w:rPr>
                <w:color w:val="000000"/>
                <w:sz w:val="20"/>
                <w:lang w:eastAsia="en-US"/>
              </w:rPr>
              <w:t xml:space="preserve">la </w:t>
            </w:r>
            <w:r w:rsidR="00A7755C" w:rsidRPr="00033E65">
              <w:rPr>
                <w:color w:val="000000"/>
                <w:sz w:val="20"/>
                <w:lang w:eastAsia="en-US"/>
              </w:rPr>
              <w:t>página web de la Dirección de Planificación</w:t>
            </w:r>
            <w:r w:rsidRPr="00033E65">
              <w:rPr>
                <w:color w:val="000000"/>
                <w:sz w:val="20"/>
                <w:lang w:eastAsia="en-US"/>
              </w:rPr>
              <w:t xml:space="preserve"> </w:t>
            </w:r>
          </w:p>
          <w:p w14:paraId="3F30DF5B" w14:textId="1D4FED14" w:rsidR="00DD5CC8" w:rsidRPr="00033E65" w:rsidRDefault="002F3B0B" w:rsidP="00DD5CC8">
            <w:pPr>
              <w:spacing w:before="0" w:after="0"/>
              <w:rPr>
                <w:i/>
                <w:color w:val="000000"/>
                <w:sz w:val="20"/>
                <w:lang w:eastAsia="es-CR"/>
              </w:rPr>
            </w:pPr>
            <w:r w:rsidRPr="00033E65">
              <w:rPr>
                <w:i/>
                <w:color w:val="000000"/>
                <w:sz w:val="20"/>
                <w:lang w:eastAsia="en-US"/>
              </w:rPr>
              <w:t xml:space="preserve">(*) Para el caso del Juzgado Agrario de Jicaral se contempla </w:t>
            </w:r>
            <w:r w:rsidR="003E76E5" w:rsidRPr="00033E65">
              <w:rPr>
                <w:i/>
                <w:iCs/>
                <w:color w:val="000000"/>
                <w:sz w:val="20"/>
                <w:lang w:eastAsia="en-US"/>
              </w:rPr>
              <w:t>el plazo de mayo 2021 a diciembre 2022 que es el tiempo de existencia que mantiene.</w:t>
            </w:r>
          </w:p>
        </w:tc>
      </w:tr>
    </w:tbl>
    <w:p w14:paraId="57B85CDB" w14:textId="0C67AD2F" w:rsidR="00DD5CC8" w:rsidRPr="00033E65" w:rsidRDefault="00DD5CC8" w:rsidP="007F3ABA">
      <w:pPr>
        <w:pStyle w:val="Ttulo"/>
        <w:spacing w:before="0" w:after="0"/>
        <w:rPr>
          <w:rFonts w:eastAsia="Times New Roman" w:cs="Arial"/>
          <w:iCs/>
          <w:spacing w:val="0"/>
          <w:szCs w:val="28"/>
          <w:lang w:val="es-CR" w:eastAsia="es-ES"/>
        </w:rPr>
      </w:pPr>
    </w:p>
    <w:p w14:paraId="4721419E" w14:textId="21DA73EF" w:rsidR="0071643B" w:rsidRPr="00033E65" w:rsidRDefault="005665E9" w:rsidP="0071643B">
      <w:r w:rsidRPr="00033E65">
        <w:t>D</w:t>
      </w:r>
      <w:r w:rsidR="00F25853" w:rsidRPr="00033E65">
        <w:t>urante el periodo 2016 al 202</w:t>
      </w:r>
      <w:r w:rsidR="009E0E2F" w:rsidRPr="00033E65">
        <w:t>2</w:t>
      </w:r>
      <w:r w:rsidR="007C3182" w:rsidRPr="00033E65">
        <w:t xml:space="preserve"> existe disparidad en cuanto a cargas de trabajo ingresadas en los Juzgados especializados, la cual registra una entrada promedio mensual por persona juzgadora de </w:t>
      </w:r>
      <w:r w:rsidR="00A10820" w:rsidRPr="00033E65">
        <w:rPr>
          <w:b/>
          <w:bCs/>
        </w:rPr>
        <w:t>19</w:t>
      </w:r>
      <w:r w:rsidR="007C3182" w:rsidRPr="00033E65">
        <w:t xml:space="preserve"> casos y una entrada promedio mensual por persona técnica judicial de </w:t>
      </w:r>
      <w:r w:rsidR="007F3ABA" w:rsidRPr="00033E65">
        <w:rPr>
          <w:b/>
        </w:rPr>
        <w:t>13</w:t>
      </w:r>
      <w:r w:rsidR="007C3182" w:rsidRPr="00033E65">
        <w:t xml:space="preserve"> asuntos. </w:t>
      </w:r>
    </w:p>
    <w:p w14:paraId="61DF218A" w14:textId="4E84EF1C" w:rsidR="007C3182" w:rsidRPr="00033E65" w:rsidRDefault="007C3182" w:rsidP="007C3182">
      <w:r w:rsidRPr="00033E65">
        <w:t>El Juzgado Agrario del Segundo Circuito Judicial de Guanacaste, ubicado en el cantón de Santa Cruz</w:t>
      </w:r>
      <w:r w:rsidR="00356D9E" w:rsidRPr="00033E65">
        <w:t xml:space="preserve"> y el Juzgado Agrario del Primer Circuito Judicial de la Zona Sur (Pérez Zeledón)</w:t>
      </w:r>
      <w:r w:rsidR="006D7D14" w:rsidRPr="00033E65">
        <w:t xml:space="preserve"> </w:t>
      </w:r>
      <w:r w:rsidR="00356D9E" w:rsidRPr="00033E65">
        <w:t>son los</w:t>
      </w:r>
      <w:r w:rsidRPr="00033E65">
        <w:t xml:space="preserve"> Despacho que más carga de trabajo recibe</w:t>
      </w:r>
      <w:r w:rsidR="00356D9E" w:rsidRPr="00033E65">
        <w:t>n</w:t>
      </w:r>
      <w:r w:rsidRPr="00033E65">
        <w:t xml:space="preserve"> por plaza de Jueza o Juez, con un pr</w:t>
      </w:r>
      <w:r w:rsidR="001936C4" w:rsidRPr="00033E65">
        <w:t>omedio de 2</w:t>
      </w:r>
      <w:r w:rsidR="00356D9E" w:rsidRPr="00033E65">
        <w:t>6</w:t>
      </w:r>
      <w:r w:rsidRPr="00033E65">
        <w:t xml:space="preserve"> casos al mes, seguido del Juzgado Agrario del Primer Circuito Judicial de la Zona Atlántica, sede Limón, que presenta una carga de trabajo de 2</w:t>
      </w:r>
      <w:r w:rsidR="00404309" w:rsidRPr="00033E65">
        <w:t>4</w:t>
      </w:r>
      <w:r w:rsidRPr="00033E65">
        <w:t xml:space="preserve"> casos mensuales. </w:t>
      </w:r>
    </w:p>
    <w:p w14:paraId="48168E7D" w14:textId="6EC34A29" w:rsidR="007C3182" w:rsidRPr="00033E65" w:rsidRDefault="007C3182" w:rsidP="007C3182">
      <w:r w:rsidRPr="00033E65">
        <w:t>También se encuentra el Juzgado Agrario del Segundo Circuito Judicial de Alajuela (San Carlos)</w:t>
      </w:r>
      <w:r w:rsidR="00CC37F1" w:rsidRPr="00033E65">
        <w:t>, con una carga de trabajo de 23</w:t>
      </w:r>
      <w:r w:rsidRPr="00033E65">
        <w:t xml:space="preserve"> casos entrados por persona juzgadora de forma mensual. Se suman también los Juzgados ubicados en Pérez Zeledón y </w:t>
      </w:r>
      <w:r w:rsidR="00245C01" w:rsidRPr="00033E65">
        <w:t>Pococí</w:t>
      </w:r>
      <w:r w:rsidR="00CC37F1" w:rsidRPr="00033E65">
        <w:t xml:space="preserve"> con 21</w:t>
      </w:r>
      <w:r w:rsidRPr="00033E65">
        <w:t xml:space="preserve"> casos al mes, quienes se ubican cerca del promedio. </w:t>
      </w:r>
    </w:p>
    <w:p w14:paraId="246525B5" w14:textId="592432F7" w:rsidR="007C3182" w:rsidRPr="00033E65" w:rsidRDefault="007C3182" w:rsidP="007C3182">
      <w:r w:rsidRPr="00033E65">
        <w:t>Por lo anterior estos tres Despachos</w:t>
      </w:r>
      <w:r w:rsidR="004F2A90" w:rsidRPr="00033E65">
        <w:t xml:space="preserve"> (</w:t>
      </w:r>
      <w:bookmarkStart w:id="170" w:name="_Hlk130296591"/>
      <w:r w:rsidR="004F2A90" w:rsidRPr="00033E65">
        <w:t xml:space="preserve">Santa Cruz, </w:t>
      </w:r>
      <w:r w:rsidR="00105233" w:rsidRPr="00033E65">
        <w:t xml:space="preserve">Pérez Zeledón </w:t>
      </w:r>
      <w:r w:rsidR="004F2A90" w:rsidRPr="00033E65">
        <w:t xml:space="preserve">y </w:t>
      </w:r>
      <w:r w:rsidR="00105233" w:rsidRPr="00033E65">
        <w:t>Limón</w:t>
      </w:r>
      <w:r w:rsidR="004F2A90" w:rsidRPr="00033E65">
        <w:t>)</w:t>
      </w:r>
      <w:r w:rsidRPr="00033E65">
        <w:t xml:space="preserve"> actualmente son considerados como los de mayor ingreso por plaza de Jueza o Juez, ya que,</w:t>
      </w:r>
      <w:r w:rsidR="0041331E" w:rsidRPr="00033E65">
        <w:t xml:space="preserve"> muestran porcentajes entre el </w:t>
      </w:r>
      <w:r w:rsidR="00E33568" w:rsidRPr="00033E65">
        <w:t>37</w:t>
      </w:r>
      <w:r w:rsidRPr="00033E65">
        <w:t>%</w:t>
      </w:r>
      <w:r w:rsidR="0041331E" w:rsidRPr="00033E65">
        <w:t>,</w:t>
      </w:r>
      <w:r w:rsidRPr="00033E65">
        <w:t xml:space="preserve"> y </w:t>
      </w:r>
      <w:r w:rsidR="00455EA2" w:rsidRPr="00033E65">
        <w:t>el 26%</w:t>
      </w:r>
      <w:r w:rsidR="00D90069" w:rsidRPr="00033E65">
        <w:t xml:space="preserve"> respectivamente,</w:t>
      </w:r>
      <w:r w:rsidRPr="00033E65">
        <w:t xml:space="preserve"> más que la media nacional</w:t>
      </w:r>
      <w:r w:rsidR="0041331E" w:rsidRPr="00033E65">
        <w:t xml:space="preserve"> (20</w:t>
      </w:r>
      <w:r w:rsidR="00871FEC" w:rsidRPr="00033E65">
        <w:t>)</w:t>
      </w:r>
      <w:r w:rsidR="00971090" w:rsidRPr="00033E65">
        <w:t>.</w:t>
      </w:r>
    </w:p>
    <w:bookmarkEnd w:id="170"/>
    <w:p w14:paraId="5764517E" w14:textId="0616AEE3" w:rsidR="007C3182" w:rsidRPr="00033E65" w:rsidRDefault="004F2A90" w:rsidP="007C3182">
      <w:r w:rsidRPr="00033E65">
        <w:t>En cuanto a la carga de trabajo del personal técnico judicial, el Juzgado Agrario del Segundo Circuito Judicial de San José (Goicoechea)</w:t>
      </w:r>
      <w:r w:rsidR="00885B4D" w:rsidRPr="00033E65">
        <w:t xml:space="preserve"> y el Juzgado Agrario del Circuito Judicial de Puntarenas</w:t>
      </w:r>
      <w:r w:rsidRPr="00033E65">
        <w:t xml:space="preserve">, </w:t>
      </w:r>
      <w:r w:rsidR="00885B4D" w:rsidRPr="00033E65">
        <w:t>son</w:t>
      </w:r>
      <w:r w:rsidRPr="00033E65">
        <w:t xml:space="preserve"> </w:t>
      </w:r>
      <w:r w:rsidR="00885B4D" w:rsidRPr="00033E65">
        <w:t>los</w:t>
      </w:r>
      <w:r w:rsidRPr="00033E65">
        <w:t xml:space="preserve"> que presenta</w:t>
      </w:r>
      <w:r w:rsidR="00885B4D" w:rsidRPr="00033E65">
        <w:t>n</w:t>
      </w:r>
      <w:r w:rsidRPr="00033E65">
        <w:t xml:space="preserve"> mayor </w:t>
      </w:r>
      <w:r w:rsidR="0093365C" w:rsidRPr="00033E65">
        <w:t>ingreso por plaza con 1</w:t>
      </w:r>
      <w:r w:rsidR="00982AFB" w:rsidRPr="00033E65">
        <w:t>8</w:t>
      </w:r>
      <w:r w:rsidR="00871FEC" w:rsidRPr="00033E65">
        <w:t xml:space="preserve"> casos en promedio mensual, seguido del Juzgado Agrario de </w:t>
      </w:r>
      <w:r w:rsidR="00471AD4" w:rsidRPr="00033E65">
        <w:t xml:space="preserve">Jicaral con 16 asuntos mensuales, de seguido el </w:t>
      </w:r>
      <w:r w:rsidR="00871FEC" w:rsidRPr="00033E65">
        <w:t xml:space="preserve">Juzgado Agrario de </w:t>
      </w:r>
      <w:r w:rsidR="00063EFA" w:rsidRPr="00033E65">
        <w:t xml:space="preserve">San Carlos </w:t>
      </w:r>
      <w:r w:rsidR="0093365C" w:rsidRPr="00033E65">
        <w:t>con 1</w:t>
      </w:r>
      <w:r w:rsidR="00063EFA" w:rsidRPr="00033E65">
        <w:t>5</w:t>
      </w:r>
      <w:r w:rsidR="00C60E51" w:rsidRPr="00033E65">
        <w:t xml:space="preserve"> asuntos mensuales por técnico</w:t>
      </w:r>
      <w:r w:rsidR="00871FEC" w:rsidRPr="00033E65">
        <w:t xml:space="preserve"> y el </w:t>
      </w:r>
      <w:r w:rsidR="00C60E51" w:rsidRPr="00033E65">
        <w:t>J</w:t>
      </w:r>
      <w:r w:rsidR="00871FEC" w:rsidRPr="00033E65">
        <w:t xml:space="preserve">uzgado Agrario </w:t>
      </w:r>
      <w:r w:rsidR="00C60E51" w:rsidRPr="00033E65">
        <w:t>de San Ramón</w:t>
      </w:r>
      <w:r w:rsidR="0093365C" w:rsidRPr="00033E65">
        <w:t xml:space="preserve"> con 1</w:t>
      </w:r>
      <w:r w:rsidR="00C60E51" w:rsidRPr="00033E65">
        <w:t>4</w:t>
      </w:r>
      <w:r w:rsidR="00871FEC" w:rsidRPr="00033E65">
        <w:t xml:space="preserve">, lo que significa que estos Despachos </w:t>
      </w:r>
      <w:r w:rsidR="0093365C" w:rsidRPr="00033E65">
        <w:t xml:space="preserve">muestran porcentajes entre el </w:t>
      </w:r>
      <w:r w:rsidR="00F048E8" w:rsidRPr="00033E65">
        <w:t>7</w:t>
      </w:r>
      <w:r w:rsidR="0093365C" w:rsidRPr="00033E65">
        <w:t xml:space="preserve">% y </w:t>
      </w:r>
      <w:r w:rsidR="00115918" w:rsidRPr="00033E65">
        <w:t>38</w:t>
      </w:r>
      <w:r w:rsidR="0093365C" w:rsidRPr="00033E65">
        <w:t>% más que la media nacional (13</w:t>
      </w:r>
      <w:r w:rsidR="00871FEC" w:rsidRPr="00033E65">
        <w:t xml:space="preserve">).  </w:t>
      </w:r>
    </w:p>
    <w:p w14:paraId="327E067D" w14:textId="780E1A37" w:rsidR="00B22BB0" w:rsidRPr="00033E65" w:rsidRDefault="00871FEC" w:rsidP="007C3182">
      <w:r w:rsidRPr="00033E65">
        <w:t xml:space="preserve">Por otro lado, los Juzgados que presentan en promedio menor ingreso mensual por plaza de </w:t>
      </w:r>
      <w:r w:rsidR="000119E0" w:rsidRPr="00033E65">
        <w:t>J</w:t>
      </w:r>
      <w:r w:rsidRPr="00033E65">
        <w:t xml:space="preserve">ueza o </w:t>
      </w:r>
      <w:r w:rsidR="000119E0" w:rsidRPr="00033E65">
        <w:t>J</w:t>
      </w:r>
      <w:r w:rsidRPr="00033E65">
        <w:t xml:space="preserve">uez, son los Juzgados ubicados en </w:t>
      </w:r>
      <w:r w:rsidR="00FB33C7" w:rsidRPr="00033E65">
        <w:t>el Primer Circuito de Alajuela</w:t>
      </w:r>
      <w:r w:rsidR="005157E0" w:rsidRPr="00033E65">
        <w:t xml:space="preserve"> con 1</w:t>
      </w:r>
      <w:r w:rsidR="00FB33C7" w:rsidRPr="00033E65">
        <w:t>3</w:t>
      </w:r>
      <w:r w:rsidRPr="00033E65">
        <w:t xml:space="preserve"> asuntos</w:t>
      </w:r>
      <w:r w:rsidR="005157E0" w:rsidRPr="00033E65">
        <w:t>, San Ramón con 14</w:t>
      </w:r>
      <w:r w:rsidRPr="00033E65">
        <w:t xml:space="preserve"> as</w:t>
      </w:r>
      <w:r w:rsidR="005157E0" w:rsidRPr="00033E65">
        <w:t>untos</w:t>
      </w:r>
      <w:r w:rsidR="00D64A40" w:rsidRPr="00033E65">
        <w:t>, Jicaral con 16 asuntos</w:t>
      </w:r>
      <w:r w:rsidR="005157E0" w:rsidRPr="00033E65">
        <w:t xml:space="preserve"> y </w:t>
      </w:r>
      <w:r w:rsidR="009A0B3E" w:rsidRPr="00033E65">
        <w:t xml:space="preserve">Corredores </w:t>
      </w:r>
      <w:r w:rsidR="005157E0" w:rsidRPr="00033E65">
        <w:t>con 1</w:t>
      </w:r>
      <w:r w:rsidR="00FE01A5" w:rsidRPr="00033E65">
        <w:t>7</w:t>
      </w:r>
      <w:r w:rsidRPr="00033E65">
        <w:t xml:space="preserve"> asuntos; lo cual significa un ingreso porcentual menor al promedio del </w:t>
      </w:r>
      <w:r w:rsidR="00C91A48" w:rsidRPr="00033E65">
        <w:t>32</w:t>
      </w:r>
      <w:r w:rsidRPr="00033E65">
        <w:t>%</w:t>
      </w:r>
      <w:r w:rsidR="005157E0" w:rsidRPr="00033E65">
        <w:t xml:space="preserve">, </w:t>
      </w:r>
      <w:r w:rsidR="00C91A48" w:rsidRPr="00033E65">
        <w:t>26</w:t>
      </w:r>
      <w:r w:rsidR="005157E0" w:rsidRPr="00033E65">
        <w:t>%</w:t>
      </w:r>
      <w:r w:rsidR="005250E3" w:rsidRPr="00033E65">
        <w:t>, 16</w:t>
      </w:r>
      <w:r w:rsidR="005665E9" w:rsidRPr="00033E65">
        <w:t>%</w:t>
      </w:r>
      <w:r w:rsidR="005157E0" w:rsidRPr="00033E65">
        <w:t xml:space="preserve"> y </w:t>
      </w:r>
      <w:r w:rsidR="00EC4EC5" w:rsidRPr="00033E65">
        <w:t>11</w:t>
      </w:r>
      <w:r w:rsidR="000119E0" w:rsidRPr="00033E65">
        <w:t xml:space="preserve">% respectivamente. </w:t>
      </w:r>
      <w:r w:rsidR="00D95B3D" w:rsidRPr="00033E65">
        <w:t>En relación con el ingreso casos entre el personal técnico judicial, los Juzgados Agrarios de,</w:t>
      </w:r>
      <w:r w:rsidR="001F7C7B" w:rsidRPr="00033E65">
        <w:t xml:space="preserve"> </w:t>
      </w:r>
      <w:r w:rsidR="008000F9" w:rsidRPr="00033E65">
        <w:t xml:space="preserve">Corredores, Cartago, </w:t>
      </w:r>
      <w:r w:rsidR="001F7C7B" w:rsidRPr="00033E65">
        <w:t>Liberia,</w:t>
      </w:r>
      <w:r w:rsidR="00D95B3D" w:rsidRPr="00033E65">
        <w:t xml:space="preserve"> </w:t>
      </w:r>
      <w:r w:rsidR="00245C01" w:rsidRPr="00033E65">
        <w:t>Pococí</w:t>
      </w:r>
      <w:r w:rsidR="001D7C05" w:rsidRPr="00033E65">
        <w:t xml:space="preserve">, </w:t>
      </w:r>
      <w:r w:rsidR="008000F9" w:rsidRPr="00033E65">
        <w:t>y</w:t>
      </w:r>
      <w:r w:rsidR="005665E9" w:rsidRPr="00033E65">
        <w:t xml:space="preserve"> </w:t>
      </w:r>
      <w:r w:rsidR="00D95B3D" w:rsidRPr="00033E65">
        <w:t>Alajuela</w:t>
      </w:r>
      <w:r w:rsidR="001D7C05" w:rsidRPr="00033E65">
        <w:t>,</w:t>
      </w:r>
      <w:r w:rsidR="00D95B3D" w:rsidRPr="00033E65">
        <w:t xml:space="preserve"> presentan u</w:t>
      </w:r>
      <w:r w:rsidR="001F7C7B" w:rsidRPr="00033E65">
        <w:t>na entrada promedio mensual de 8 a 11</w:t>
      </w:r>
      <w:r w:rsidR="00D95B3D" w:rsidRPr="00033E65">
        <w:t xml:space="preserve"> casos, por lo cual se consideran estos dos (2) últimos Juzgados como los de menor ingreso por plaza de Técnica o Técnico Judicial.</w:t>
      </w:r>
    </w:p>
    <w:p w14:paraId="47A1E4D8" w14:textId="17787282" w:rsidR="00BF69A7" w:rsidRPr="00033E65" w:rsidRDefault="00554C4E" w:rsidP="00554C4E">
      <w:pPr>
        <w:pStyle w:val="Ttulo2"/>
        <w:numPr>
          <w:ilvl w:val="0"/>
          <w:numId w:val="0"/>
        </w:numPr>
      </w:pPr>
      <w:bookmarkStart w:id="171" w:name="_Toc132639532"/>
      <w:r>
        <w:lastRenderedPageBreak/>
        <w:t xml:space="preserve">6. </w:t>
      </w:r>
      <w:r w:rsidR="00BF69A7" w:rsidRPr="00033E65">
        <w:t>Análisis de Carga de Trabajo Juzgados Mixtos con Competencia en la Materia Agraria</w:t>
      </w:r>
      <w:bookmarkEnd w:id="171"/>
    </w:p>
    <w:p w14:paraId="3FDD7827" w14:textId="257BCA39" w:rsidR="008656CE" w:rsidRPr="00033E65" w:rsidRDefault="008656CE" w:rsidP="007C3182">
      <w:pPr>
        <w:rPr>
          <w:lang w:val="es-ES"/>
        </w:rPr>
      </w:pPr>
      <w:r w:rsidRPr="00033E65">
        <w:rPr>
          <w:lang w:val="es-ES"/>
        </w:rPr>
        <w:t xml:space="preserve">En el informe 656-PLA-RH-MI-2020 “Impacto Organizacional y Presupuestario en el Poder Judicial en caso de aprobarse el proyecto de Ley denominado Código Procesal de Familia” para el 2021, en el apartado </w:t>
      </w:r>
      <w:r w:rsidRPr="00033E65">
        <w:rPr>
          <w:b/>
          <w:lang w:val="es-ES"/>
        </w:rPr>
        <w:t>10.5 Otras recomendaciones</w:t>
      </w:r>
      <w:r w:rsidRPr="00033E65">
        <w:rPr>
          <w:lang w:val="es-ES"/>
        </w:rPr>
        <w:t>, se indicó lo siguiente textualmente:</w:t>
      </w:r>
    </w:p>
    <w:p w14:paraId="4626BACF" w14:textId="2B89539F" w:rsidR="008656CE" w:rsidRPr="00033E65" w:rsidRDefault="008656CE" w:rsidP="008656CE">
      <w:pPr>
        <w:rPr>
          <w:i/>
          <w:lang w:val="es-ES"/>
        </w:rPr>
      </w:pPr>
      <w:r w:rsidRPr="00033E65">
        <w:rPr>
          <w:lang w:val="es-ES"/>
        </w:rPr>
        <w:t>“</w:t>
      </w:r>
      <w:r w:rsidRPr="00033E65">
        <w:rPr>
          <w:i/>
          <w:lang w:val="es-ES"/>
        </w:rPr>
        <w:t>Modificar lo aprobado en el 555-PLA-RH-MI-2019 “Impacto organizacional y presupuestario en el Poder Judicial a partir de la promulgación del Nuevo Código Procesal Civil para el 2020” sobre la organización del Juzgado de Juzgado Civil, Trabajo y Familia del II Circuito Judicial de Alajuela (sede Upala) para el 2020, en línea a la asignación de materias por persona juzgadora, de forma que a partir de la aprobación del presente informe se realicen las siguientes modificaciones:</w:t>
      </w:r>
    </w:p>
    <w:p w14:paraId="56D973E2" w14:textId="77777777" w:rsidR="008656CE" w:rsidRPr="00033E65" w:rsidRDefault="008656CE" w:rsidP="008656CE">
      <w:pPr>
        <w:rPr>
          <w:i/>
          <w:lang w:val="es-ES"/>
        </w:rPr>
      </w:pPr>
      <w:r w:rsidRPr="00033E65">
        <w:rPr>
          <w:i/>
          <w:lang w:val="es-ES"/>
        </w:rPr>
        <w:t>•</w:t>
      </w:r>
      <w:r w:rsidRPr="00033E65">
        <w:rPr>
          <w:i/>
          <w:lang w:val="es-ES"/>
        </w:rPr>
        <w:tab/>
        <w:t>La persona juzgadora que atiende las materias de Agrario y Penal Juvenil atienda sólo la materia de Agrario.</w:t>
      </w:r>
    </w:p>
    <w:p w14:paraId="071C8BE0" w14:textId="46EB692A" w:rsidR="008656CE" w:rsidRPr="00033E65" w:rsidRDefault="008656CE" w:rsidP="008656CE">
      <w:pPr>
        <w:rPr>
          <w:i/>
          <w:lang w:val="es-ES"/>
        </w:rPr>
      </w:pPr>
      <w:r w:rsidRPr="00033E65">
        <w:rPr>
          <w:i/>
          <w:lang w:val="es-ES"/>
        </w:rPr>
        <w:t>•</w:t>
      </w:r>
      <w:r w:rsidRPr="00033E65">
        <w:rPr>
          <w:i/>
          <w:lang w:val="es-ES"/>
        </w:rPr>
        <w:tab/>
        <w:t>La persona juzgadora que atiende la materia de Violencia Doméstica atienda las materias de Violencia Doméstica y Penal Juvenil.”</w:t>
      </w:r>
    </w:p>
    <w:p w14:paraId="7A0210B6" w14:textId="40DBCD5E" w:rsidR="008656CE" w:rsidRPr="00033E65" w:rsidRDefault="008656CE" w:rsidP="007C3182">
      <w:pPr>
        <w:rPr>
          <w:lang w:val="es-ES"/>
        </w:rPr>
      </w:pPr>
      <w:r w:rsidRPr="00033E65">
        <w:rPr>
          <w:lang w:val="es-ES"/>
        </w:rPr>
        <w:t xml:space="preserve">Dicha recomendación fue aprobada por el Consejo Superior en sesión 45-2020 celebrada el 8 de mayo de 2020, artículo XIX, en la que se acordó: </w:t>
      </w:r>
    </w:p>
    <w:p w14:paraId="4B6257D4" w14:textId="07D8ED86" w:rsidR="008656CE" w:rsidRPr="00033E65" w:rsidRDefault="008656CE" w:rsidP="007C3182">
      <w:pPr>
        <w:rPr>
          <w:szCs w:val="22"/>
          <w:lang w:val="es-ES"/>
        </w:rPr>
      </w:pPr>
      <w:r w:rsidRPr="00033E65">
        <w:rPr>
          <w:i/>
          <w:iCs/>
          <w:szCs w:val="22"/>
        </w:rPr>
        <w:t>“1.) Aprobar técnicamente el informe 656-PLA-RH-MI-2020 de la Dirección de Planificación, y sus recomendaciones en los plazos establecidos para ello.”</w:t>
      </w:r>
    </w:p>
    <w:p w14:paraId="28D51CA5" w14:textId="50132BFE" w:rsidR="00BF69A7" w:rsidRPr="00033E65" w:rsidRDefault="008656CE" w:rsidP="007C3182">
      <w:r w:rsidRPr="00033E65">
        <w:rPr>
          <w:lang w:val="es-ES"/>
        </w:rPr>
        <w:t>De acuerdo con lo anterior, a</w:t>
      </w:r>
      <w:r w:rsidR="0099231F" w:rsidRPr="00033E65">
        <w:rPr>
          <w:lang w:val="es-ES"/>
        </w:rPr>
        <w:t>ctualmente existe tres (3) despachos de naturaleza mixta en el país, que tienen conocimiento de la materia Agraria,</w:t>
      </w:r>
      <w:r w:rsidR="0099231F" w:rsidRPr="00033E65">
        <w:t xml:space="preserve"> </w:t>
      </w:r>
      <w:r w:rsidR="00A35102" w:rsidRPr="00033E65">
        <w:t>uno</w:t>
      </w:r>
      <w:r w:rsidRPr="00033E65">
        <w:t xml:space="preserve"> (</w:t>
      </w:r>
      <w:r w:rsidR="00A35102" w:rsidRPr="00033E65">
        <w:t>1</w:t>
      </w:r>
      <w:r w:rsidRPr="00033E65">
        <w:t xml:space="preserve">) de ellos a </w:t>
      </w:r>
      <w:r w:rsidR="0099231F" w:rsidRPr="00033E65">
        <w:t>pesar de contar con una persona juzgadora destinada a la atención de esta materia, también deben atender otras materias, por lo que la carga de trabajo total de la Jueza o Juez se incrementa</w:t>
      </w:r>
      <w:r w:rsidR="006B331F" w:rsidRPr="00033E65">
        <w:t>,</w:t>
      </w:r>
      <w:r w:rsidR="0099231F" w:rsidRPr="00033E65">
        <w:t xml:space="preserve"> de la siguiente manera:</w:t>
      </w:r>
    </w:p>
    <w:p w14:paraId="12B8A82E" w14:textId="0AD72162" w:rsidR="0062629A" w:rsidRPr="00033E65" w:rsidRDefault="0062629A" w:rsidP="003F0A3A">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 xml:space="preserve">Cuadro </w:t>
      </w:r>
      <w:r w:rsidR="000E6346" w:rsidRPr="00033E65">
        <w:rPr>
          <w:rFonts w:eastAsia="Times New Roman" w:cs="Arial"/>
          <w:spacing w:val="0"/>
          <w:szCs w:val="28"/>
          <w:lang w:val="es-CR" w:eastAsia="es-ES"/>
        </w:rPr>
        <w:t>9</w:t>
      </w:r>
    </w:p>
    <w:p w14:paraId="5118B611" w14:textId="33525B91" w:rsidR="0062629A" w:rsidRPr="00033E65" w:rsidRDefault="0062629A" w:rsidP="006845D2">
      <w:pPr>
        <w:spacing w:before="0" w:line="252" w:lineRule="auto"/>
        <w:jc w:val="center"/>
        <w:rPr>
          <w:rFonts w:cs="Arial"/>
          <w:b/>
          <w:color w:val="244061" w:themeColor="accent1" w:themeShade="80"/>
          <w:sz w:val="24"/>
          <w:szCs w:val="24"/>
        </w:rPr>
      </w:pPr>
      <w:r w:rsidRPr="00033E65">
        <w:rPr>
          <w:rFonts w:cs="Arial"/>
          <w:b/>
          <w:color w:val="244061" w:themeColor="accent1" w:themeShade="80"/>
          <w:sz w:val="24"/>
          <w:szCs w:val="24"/>
        </w:rPr>
        <w:t xml:space="preserve">Análisis comparativo de la cantidad carga de trabajo (entrados + reentrados) en el </w:t>
      </w:r>
      <w:r w:rsidR="00C21C70" w:rsidRPr="00033E65">
        <w:rPr>
          <w:rFonts w:cs="Arial"/>
          <w:b/>
          <w:color w:val="244061" w:themeColor="accent1" w:themeShade="80"/>
          <w:sz w:val="24"/>
          <w:szCs w:val="24"/>
        </w:rPr>
        <w:t xml:space="preserve">2016- </w:t>
      </w:r>
      <w:r w:rsidRPr="00033E65">
        <w:rPr>
          <w:rFonts w:cs="Arial"/>
          <w:b/>
          <w:color w:val="244061" w:themeColor="accent1" w:themeShade="80"/>
          <w:sz w:val="24"/>
          <w:szCs w:val="24"/>
        </w:rPr>
        <w:t>20</w:t>
      </w:r>
      <w:r w:rsidR="00536C5D" w:rsidRPr="00033E65">
        <w:rPr>
          <w:rFonts w:cs="Arial"/>
          <w:b/>
          <w:color w:val="244061" w:themeColor="accent1" w:themeShade="80"/>
          <w:sz w:val="24"/>
          <w:szCs w:val="24"/>
        </w:rPr>
        <w:t>2</w:t>
      </w:r>
      <w:r w:rsidR="2D2D0164" w:rsidRPr="00033E65">
        <w:rPr>
          <w:rFonts w:cs="Arial"/>
          <w:b/>
          <w:color w:val="244061" w:themeColor="accent1" w:themeShade="80"/>
          <w:sz w:val="24"/>
          <w:szCs w:val="24"/>
        </w:rPr>
        <w:t>2</w:t>
      </w:r>
      <w:r w:rsidRPr="00033E65">
        <w:rPr>
          <w:rFonts w:cs="Arial"/>
          <w:b/>
          <w:color w:val="244061" w:themeColor="accent1" w:themeShade="80"/>
          <w:sz w:val="24"/>
          <w:szCs w:val="24"/>
        </w:rPr>
        <w:t xml:space="preserve"> por persona juzgadora Juzgados de naturaleza mixta</w:t>
      </w:r>
    </w:p>
    <w:p w14:paraId="54D89CD5" w14:textId="4E8C65DA" w:rsidR="00A56731" w:rsidRPr="00033E65" w:rsidRDefault="00A56731" w:rsidP="00CE1721">
      <w:pPr>
        <w:tabs>
          <w:tab w:val="left" w:pos="1074"/>
        </w:tabs>
        <w:rPr>
          <w:b/>
          <w:i/>
          <w:sz w:val="18"/>
          <w:lang w:eastAsia="en-US"/>
        </w:rPr>
      </w:pPr>
    </w:p>
    <w:tbl>
      <w:tblPr>
        <w:tblW w:w="8299" w:type="dxa"/>
        <w:jc w:val="center"/>
        <w:tblCellMar>
          <w:left w:w="70" w:type="dxa"/>
          <w:right w:w="70" w:type="dxa"/>
        </w:tblCellMar>
        <w:tblLook w:val="04A0" w:firstRow="1" w:lastRow="0" w:firstColumn="1" w:lastColumn="0" w:noHBand="0" w:noVBand="1"/>
      </w:tblPr>
      <w:tblGrid>
        <w:gridCol w:w="2954"/>
        <w:gridCol w:w="1505"/>
        <w:gridCol w:w="1200"/>
        <w:gridCol w:w="1200"/>
        <w:gridCol w:w="1440"/>
      </w:tblGrid>
      <w:tr w:rsidR="00A56731" w:rsidRPr="00033E65" w14:paraId="1566A8DD" w14:textId="77777777" w:rsidTr="00274042">
        <w:trPr>
          <w:trHeight w:val="20"/>
          <w:tblHeader/>
          <w:jc w:val="center"/>
        </w:trPr>
        <w:tc>
          <w:tcPr>
            <w:tcW w:w="2954" w:type="dxa"/>
            <w:tcBorders>
              <w:top w:val="double" w:sz="6" w:space="0" w:color="auto"/>
              <w:left w:val="double" w:sz="6" w:space="0" w:color="auto"/>
              <w:bottom w:val="double" w:sz="6" w:space="0" w:color="auto"/>
              <w:right w:val="double" w:sz="6" w:space="0" w:color="auto"/>
            </w:tcBorders>
            <w:shd w:val="clear" w:color="000000" w:fill="0066CC"/>
            <w:vAlign w:val="center"/>
            <w:hideMark/>
          </w:tcPr>
          <w:p w14:paraId="7B30EFC3" w14:textId="77777777" w:rsidR="00A56731" w:rsidRPr="00033E65" w:rsidRDefault="00A56731" w:rsidP="00A56731">
            <w:pPr>
              <w:spacing w:before="0" w:after="0"/>
              <w:jc w:val="center"/>
              <w:rPr>
                <w:rFonts w:cs="Calibri"/>
                <w:b/>
                <w:bCs/>
                <w:color w:val="FFFFFF"/>
                <w:szCs w:val="22"/>
                <w:lang w:eastAsia="es-CR"/>
              </w:rPr>
            </w:pPr>
            <w:r w:rsidRPr="00033E65">
              <w:rPr>
                <w:rFonts w:cs="Calibri"/>
                <w:b/>
                <w:bCs/>
                <w:color w:val="FFFFFF"/>
                <w:szCs w:val="22"/>
                <w:lang w:eastAsia="es-CR"/>
              </w:rPr>
              <w:t>Despacho</w:t>
            </w:r>
          </w:p>
        </w:tc>
        <w:tc>
          <w:tcPr>
            <w:tcW w:w="1505" w:type="dxa"/>
            <w:tcBorders>
              <w:top w:val="double" w:sz="6" w:space="0" w:color="auto"/>
              <w:left w:val="nil"/>
              <w:bottom w:val="double" w:sz="6" w:space="0" w:color="auto"/>
              <w:right w:val="double" w:sz="6" w:space="0" w:color="auto"/>
            </w:tcBorders>
            <w:shd w:val="clear" w:color="000000" w:fill="0066CC"/>
            <w:vAlign w:val="center"/>
            <w:hideMark/>
          </w:tcPr>
          <w:p w14:paraId="1F6B0839" w14:textId="77777777" w:rsidR="00A56731" w:rsidRPr="00033E65" w:rsidRDefault="00A56731" w:rsidP="00A56731">
            <w:pPr>
              <w:spacing w:before="0" w:after="0"/>
              <w:jc w:val="center"/>
              <w:rPr>
                <w:rFonts w:cs="Calibri"/>
                <w:b/>
                <w:bCs/>
                <w:color w:val="FFFFFF"/>
                <w:szCs w:val="22"/>
                <w:lang w:eastAsia="es-CR"/>
              </w:rPr>
            </w:pPr>
            <w:r w:rsidRPr="00033E65">
              <w:rPr>
                <w:rFonts w:cs="Calibri"/>
                <w:b/>
                <w:bCs/>
                <w:color w:val="FFFFFF"/>
                <w:szCs w:val="22"/>
                <w:lang w:eastAsia="es-CR"/>
              </w:rPr>
              <w:t xml:space="preserve">Materias que atiende la persona juzgadora </w:t>
            </w:r>
          </w:p>
        </w:tc>
        <w:tc>
          <w:tcPr>
            <w:tcW w:w="1200" w:type="dxa"/>
            <w:tcBorders>
              <w:top w:val="double" w:sz="6" w:space="0" w:color="auto"/>
              <w:left w:val="nil"/>
              <w:bottom w:val="double" w:sz="6" w:space="0" w:color="auto"/>
              <w:right w:val="double" w:sz="6" w:space="0" w:color="auto"/>
            </w:tcBorders>
            <w:shd w:val="clear" w:color="000000" w:fill="0066CC"/>
            <w:vAlign w:val="center"/>
            <w:hideMark/>
          </w:tcPr>
          <w:p w14:paraId="68273A43" w14:textId="77777777" w:rsidR="00A56731" w:rsidRPr="00033E65" w:rsidRDefault="00A56731" w:rsidP="00A56731">
            <w:pPr>
              <w:spacing w:before="0" w:after="0"/>
              <w:jc w:val="center"/>
              <w:rPr>
                <w:rFonts w:cs="Calibri"/>
                <w:b/>
                <w:bCs/>
                <w:color w:val="FFFFFF"/>
                <w:szCs w:val="22"/>
                <w:lang w:eastAsia="es-CR"/>
              </w:rPr>
            </w:pPr>
            <w:r w:rsidRPr="00033E65">
              <w:rPr>
                <w:rFonts w:cs="Calibri"/>
                <w:b/>
                <w:bCs/>
                <w:color w:val="FFFFFF"/>
                <w:szCs w:val="22"/>
                <w:lang w:eastAsia="es-CR"/>
              </w:rPr>
              <w:t>Entrada Promedio Mensual</w:t>
            </w:r>
          </w:p>
        </w:tc>
        <w:tc>
          <w:tcPr>
            <w:tcW w:w="1200" w:type="dxa"/>
            <w:tcBorders>
              <w:top w:val="double" w:sz="6" w:space="0" w:color="auto"/>
              <w:left w:val="nil"/>
              <w:bottom w:val="double" w:sz="6" w:space="0" w:color="auto"/>
              <w:right w:val="double" w:sz="6" w:space="0" w:color="auto"/>
            </w:tcBorders>
            <w:shd w:val="clear" w:color="000000" w:fill="0066CC"/>
            <w:vAlign w:val="center"/>
            <w:hideMark/>
          </w:tcPr>
          <w:p w14:paraId="43F30816" w14:textId="77777777" w:rsidR="00A56731" w:rsidRPr="00033E65" w:rsidRDefault="00A56731" w:rsidP="00A56731">
            <w:pPr>
              <w:spacing w:before="0" w:after="0"/>
              <w:jc w:val="center"/>
              <w:rPr>
                <w:rFonts w:cs="Calibri"/>
                <w:b/>
                <w:bCs/>
                <w:color w:val="FFFFFF"/>
                <w:szCs w:val="22"/>
                <w:lang w:eastAsia="es-CR"/>
              </w:rPr>
            </w:pPr>
            <w:r w:rsidRPr="00033E65">
              <w:rPr>
                <w:rFonts w:cs="Calibri"/>
                <w:b/>
                <w:bCs/>
                <w:color w:val="FFFFFF"/>
                <w:szCs w:val="22"/>
                <w:lang w:eastAsia="es-CR"/>
              </w:rPr>
              <w:t xml:space="preserve">Porcentaje de atención </w:t>
            </w:r>
          </w:p>
        </w:tc>
        <w:tc>
          <w:tcPr>
            <w:tcW w:w="1440" w:type="dxa"/>
            <w:tcBorders>
              <w:top w:val="double" w:sz="6" w:space="0" w:color="auto"/>
              <w:left w:val="nil"/>
              <w:bottom w:val="double" w:sz="6" w:space="0" w:color="auto"/>
              <w:right w:val="double" w:sz="6" w:space="0" w:color="auto"/>
            </w:tcBorders>
            <w:shd w:val="clear" w:color="000000" w:fill="0066CC"/>
            <w:vAlign w:val="center"/>
            <w:hideMark/>
          </w:tcPr>
          <w:p w14:paraId="5D8A1579" w14:textId="77777777" w:rsidR="00A56731" w:rsidRPr="00033E65" w:rsidRDefault="00A56731" w:rsidP="00A56731">
            <w:pPr>
              <w:spacing w:before="0" w:after="0"/>
              <w:jc w:val="center"/>
              <w:rPr>
                <w:rFonts w:cs="Calibri"/>
                <w:b/>
                <w:bCs/>
                <w:color w:val="FFFFFF"/>
                <w:szCs w:val="22"/>
                <w:lang w:eastAsia="es-CR"/>
              </w:rPr>
            </w:pPr>
            <w:r w:rsidRPr="00033E65">
              <w:rPr>
                <w:rFonts w:cs="Calibri"/>
                <w:b/>
                <w:bCs/>
                <w:color w:val="FFFFFF"/>
                <w:szCs w:val="22"/>
                <w:lang w:eastAsia="es-CR"/>
              </w:rPr>
              <w:t>Entrada Promedio mensual total por Jueza o Juez</w:t>
            </w:r>
          </w:p>
        </w:tc>
      </w:tr>
      <w:tr w:rsidR="00A56731" w:rsidRPr="00033E65" w14:paraId="1046F10A" w14:textId="77777777" w:rsidTr="00274042">
        <w:trPr>
          <w:trHeight w:val="20"/>
          <w:jc w:val="center"/>
        </w:trPr>
        <w:tc>
          <w:tcPr>
            <w:tcW w:w="2954" w:type="dxa"/>
            <w:tcBorders>
              <w:top w:val="nil"/>
              <w:left w:val="double" w:sz="6" w:space="0" w:color="auto"/>
              <w:bottom w:val="double" w:sz="6" w:space="0" w:color="auto"/>
              <w:right w:val="double" w:sz="6" w:space="0" w:color="auto"/>
            </w:tcBorders>
            <w:shd w:val="clear" w:color="auto" w:fill="auto"/>
            <w:vAlign w:val="center"/>
            <w:hideMark/>
          </w:tcPr>
          <w:p w14:paraId="1E68DAF6" w14:textId="77777777" w:rsidR="00A56731" w:rsidRPr="00033E65" w:rsidRDefault="00A56731" w:rsidP="00A56731">
            <w:pPr>
              <w:spacing w:before="0" w:after="0"/>
              <w:jc w:val="left"/>
              <w:rPr>
                <w:rFonts w:cs="Calibri"/>
                <w:color w:val="000000"/>
                <w:szCs w:val="22"/>
                <w:lang w:eastAsia="es-CR"/>
              </w:rPr>
            </w:pPr>
            <w:r w:rsidRPr="00033E65">
              <w:rPr>
                <w:rFonts w:cs="Calibri"/>
                <w:color w:val="000000"/>
                <w:szCs w:val="22"/>
                <w:lang w:eastAsia="es-CR"/>
              </w:rPr>
              <w:t>Juzgado Civil y Trabajo del Segundo Circuito Judicial de Alajuela (Upala)</w:t>
            </w:r>
          </w:p>
        </w:tc>
        <w:tc>
          <w:tcPr>
            <w:tcW w:w="1505" w:type="dxa"/>
            <w:tcBorders>
              <w:top w:val="nil"/>
              <w:left w:val="nil"/>
              <w:bottom w:val="double" w:sz="6" w:space="0" w:color="auto"/>
              <w:right w:val="double" w:sz="6" w:space="0" w:color="auto"/>
            </w:tcBorders>
            <w:shd w:val="clear" w:color="auto" w:fill="auto"/>
            <w:vAlign w:val="center"/>
            <w:hideMark/>
          </w:tcPr>
          <w:p w14:paraId="37A4DD71" w14:textId="77777777" w:rsidR="00A56731" w:rsidRPr="00033E65" w:rsidRDefault="00A56731" w:rsidP="00A56731">
            <w:pPr>
              <w:spacing w:before="0" w:after="0"/>
              <w:jc w:val="left"/>
              <w:rPr>
                <w:rFonts w:cs="Calibri"/>
                <w:i/>
                <w:iCs/>
                <w:color w:val="000000"/>
                <w:szCs w:val="22"/>
                <w:lang w:eastAsia="es-CR"/>
              </w:rPr>
            </w:pPr>
            <w:r w:rsidRPr="00033E65">
              <w:rPr>
                <w:rFonts w:cs="Calibri"/>
                <w:i/>
                <w:iCs/>
                <w:color w:val="000000"/>
                <w:szCs w:val="22"/>
                <w:lang w:eastAsia="es-CR"/>
              </w:rPr>
              <w:t>Agrario</w:t>
            </w:r>
          </w:p>
        </w:tc>
        <w:tc>
          <w:tcPr>
            <w:tcW w:w="1200" w:type="dxa"/>
            <w:tcBorders>
              <w:top w:val="nil"/>
              <w:left w:val="nil"/>
              <w:bottom w:val="double" w:sz="6" w:space="0" w:color="auto"/>
              <w:right w:val="double" w:sz="6" w:space="0" w:color="auto"/>
            </w:tcBorders>
            <w:shd w:val="clear" w:color="auto" w:fill="auto"/>
            <w:vAlign w:val="center"/>
            <w:hideMark/>
          </w:tcPr>
          <w:p w14:paraId="4AD01C3B" w14:textId="031A04BE" w:rsidR="00A56731" w:rsidRPr="00033E65" w:rsidRDefault="00C36A87" w:rsidP="00A56731">
            <w:pPr>
              <w:spacing w:before="0" w:after="0"/>
              <w:jc w:val="center"/>
              <w:rPr>
                <w:rFonts w:cs="Calibri"/>
                <w:color w:val="000000"/>
                <w:szCs w:val="22"/>
                <w:lang w:eastAsia="es-CR"/>
              </w:rPr>
            </w:pPr>
            <w:r w:rsidRPr="00033E65">
              <w:rPr>
                <w:rFonts w:cs="Calibri"/>
                <w:color w:val="000000"/>
                <w:szCs w:val="22"/>
                <w:lang w:eastAsia="es-CR"/>
              </w:rPr>
              <w:t>2</w:t>
            </w:r>
            <w:r w:rsidR="006A02C9" w:rsidRPr="00033E65">
              <w:rPr>
                <w:rFonts w:cs="Calibri"/>
                <w:color w:val="000000"/>
                <w:szCs w:val="22"/>
                <w:lang w:eastAsia="es-CR"/>
              </w:rPr>
              <w:t>3</w:t>
            </w:r>
          </w:p>
        </w:tc>
        <w:tc>
          <w:tcPr>
            <w:tcW w:w="1200" w:type="dxa"/>
            <w:tcBorders>
              <w:top w:val="nil"/>
              <w:left w:val="nil"/>
              <w:bottom w:val="double" w:sz="6" w:space="0" w:color="auto"/>
              <w:right w:val="double" w:sz="6" w:space="0" w:color="auto"/>
            </w:tcBorders>
            <w:shd w:val="clear" w:color="auto" w:fill="auto"/>
            <w:vAlign w:val="center"/>
            <w:hideMark/>
          </w:tcPr>
          <w:p w14:paraId="2CD7D7A8" w14:textId="77777777" w:rsidR="00A56731" w:rsidRPr="00033E65" w:rsidRDefault="00A56731" w:rsidP="00A56731">
            <w:pPr>
              <w:spacing w:before="0" w:after="0"/>
              <w:jc w:val="center"/>
              <w:rPr>
                <w:rFonts w:cs="Calibri"/>
                <w:color w:val="000000"/>
                <w:szCs w:val="22"/>
                <w:lang w:eastAsia="es-CR"/>
              </w:rPr>
            </w:pPr>
            <w:r w:rsidRPr="00033E65">
              <w:rPr>
                <w:rFonts w:cs="Calibri"/>
                <w:color w:val="000000"/>
                <w:szCs w:val="22"/>
                <w:lang w:eastAsia="es-CR"/>
              </w:rPr>
              <w:t>100%</w:t>
            </w:r>
          </w:p>
        </w:tc>
        <w:tc>
          <w:tcPr>
            <w:tcW w:w="1440" w:type="dxa"/>
            <w:tcBorders>
              <w:top w:val="nil"/>
              <w:left w:val="nil"/>
              <w:bottom w:val="double" w:sz="6" w:space="0" w:color="auto"/>
              <w:right w:val="double" w:sz="6" w:space="0" w:color="auto"/>
            </w:tcBorders>
            <w:shd w:val="clear" w:color="auto" w:fill="auto"/>
            <w:vAlign w:val="center"/>
            <w:hideMark/>
          </w:tcPr>
          <w:p w14:paraId="6F7901CC" w14:textId="402F4D8B" w:rsidR="00A56731" w:rsidRPr="00033E65" w:rsidRDefault="00AE5C0B" w:rsidP="00A56731">
            <w:pPr>
              <w:spacing w:before="0" w:after="0"/>
              <w:jc w:val="center"/>
              <w:rPr>
                <w:rFonts w:cs="Calibri"/>
                <w:b/>
                <w:bCs/>
                <w:i/>
                <w:iCs/>
                <w:color w:val="000000"/>
                <w:szCs w:val="22"/>
                <w:lang w:eastAsia="es-CR"/>
              </w:rPr>
            </w:pPr>
            <w:r w:rsidRPr="00033E65">
              <w:rPr>
                <w:rFonts w:cs="Calibri"/>
                <w:b/>
                <w:bCs/>
                <w:i/>
                <w:iCs/>
                <w:color w:val="000000"/>
                <w:szCs w:val="22"/>
                <w:lang w:eastAsia="es-CR"/>
              </w:rPr>
              <w:t>2</w:t>
            </w:r>
            <w:r w:rsidR="006A02C9" w:rsidRPr="00033E65">
              <w:rPr>
                <w:rFonts w:cs="Calibri"/>
                <w:b/>
                <w:bCs/>
                <w:i/>
                <w:iCs/>
                <w:color w:val="000000"/>
                <w:szCs w:val="22"/>
                <w:lang w:eastAsia="es-CR"/>
              </w:rPr>
              <w:t>3</w:t>
            </w:r>
          </w:p>
        </w:tc>
      </w:tr>
      <w:tr w:rsidR="005665E9" w:rsidRPr="00033E65" w14:paraId="1B22FCA4" w14:textId="77777777" w:rsidTr="00274042">
        <w:trPr>
          <w:trHeight w:val="20"/>
          <w:jc w:val="center"/>
        </w:trPr>
        <w:tc>
          <w:tcPr>
            <w:tcW w:w="2954" w:type="dxa"/>
            <w:vMerge w:val="restart"/>
            <w:tcBorders>
              <w:top w:val="nil"/>
              <w:left w:val="double" w:sz="6" w:space="0" w:color="auto"/>
              <w:right w:val="double" w:sz="6" w:space="0" w:color="auto"/>
            </w:tcBorders>
            <w:shd w:val="clear" w:color="auto" w:fill="auto"/>
            <w:vAlign w:val="center"/>
            <w:hideMark/>
          </w:tcPr>
          <w:p w14:paraId="0C99BEEA" w14:textId="7C863353" w:rsidR="005665E9" w:rsidRPr="00033E65" w:rsidRDefault="005665E9" w:rsidP="005665E9">
            <w:pPr>
              <w:spacing w:before="0" w:after="0"/>
              <w:jc w:val="left"/>
              <w:rPr>
                <w:rFonts w:cs="Calibri"/>
                <w:color w:val="000000"/>
                <w:szCs w:val="22"/>
                <w:lang w:eastAsia="es-CR"/>
              </w:rPr>
            </w:pPr>
            <w:r w:rsidRPr="00033E65">
              <w:rPr>
                <w:rFonts w:cs="Calibri"/>
                <w:color w:val="000000"/>
                <w:szCs w:val="22"/>
                <w:lang w:eastAsia="es-CR"/>
              </w:rPr>
              <w:t>Juzgado Civil, Trabajo y Familia Buenos Aires</w:t>
            </w:r>
          </w:p>
        </w:tc>
        <w:tc>
          <w:tcPr>
            <w:tcW w:w="1505" w:type="dxa"/>
            <w:tcBorders>
              <w:top w:val="nil"/>
              <w:left w:val="nil"/>
              <w:bottom w:val="double" w:sz="6" w:space="0" w:color="auto"/>
              <w:right w:val="double" w:sz="6" w:space="0" w:color="auto"/>
            </w:tcBorders>
            <w:shd w:val="clear" w:color="auto" w:fill="auto"/>
            <w:vAlign w:val="center"/>
            <w:hideMark/>
          </w:tcPr>
          <w:p w14:paraId="013DC5EB" w14:textId="77777777" w:rsidR="005665E9" w:rsidRPr="00033E65" w:rsidRDefault="005665E9" w:rsidP="00A56731">
            <w:pPr>
              <w:spacing w:before="0" w:after="0"/>
              <w:jc w:val="left"/>
              <w:rPr>
                <w:rFonts w:cs="Calibri"/>
                <w:i/>
                <w:iCs/>
                <w:color w:val="000000"/>
                <w:szCs w:val="22"/>
                <w:lang w:eastAsia="es-CR"/>
              </w:rPr>
            </w:pPr>
            <w:r w:rsidRPr="00033E65">
              <w:rPr>
                <w:rFonts w:cs="Calibri"/>
                <w:i/>
                <w:iCs/>
                <w:color w:val="000000"/>
                <w:szCs w:val="22"/>
                <w:lang w:eastAsia="es-CR"/>
              </w:rPr>
              <w:t>Agrario</w:t>
            </w:r>
          </w:p>
        </w:tc>
        <w:tc>
          <w:tcPr>
            <w:tcW w:w="1200" w:type="dxa"/>
            <w:tcBorders>
              <w:top w:val="nil"/>
              <w:left w:val="nil"/>
              <w:bottom w:val="nil"/>
              <w:right w:val="double" w:sz="6" w:space="0" w:color="auto"/>
            </w:tcBorders>
            <w:shd w:val="clear" w:color="auto" w:fill="auto"/>
            <w:vAlign w:val="center"/>
            <w:hideMark/>
          </w:tcPr>
          <w:p w14:paraId="39DE709C" w14:textId="7BA25A38" w:rsidR="005665E9" w:rsidRPr="00033E65" w:rsidRDefault="005665E9" w:rsidP="00A56731">
            <w:pPr>
              <w:spacing w:before="0" w:after="0"/>
              <w:jc w:val="center"/>
              <w:rPr>
                <w:rFonts w:cs="Calibri"/>
                <w:color w:val="000000"/>
                <w:szCs w:val="22"/>
                <w:lang w:eastAsia="es-CR"/>
              </w:rPr>
            </w:pPr>
            <w:r w:rsidRPr="00033E65">
              <w:rPr>
                <w:rFonts w:cs="Calibri"/>
                <w:color w:val="000000"/>
                <w:szCs w:val="22"/>
                <w:lang w:eastAsia="es-CR"/>
              </w:rPr>
              <w:t>11</w:t>
            </w:r>
          </w:p>
        </w:tc>
        <w:tc>
          <w:tcPr>
            <w:tcW w:w="1200" w:type="dxa"/>
            <w:tcBorders>
              <w:top w:val="nil"/>
              <w:left w:val="nil"/>
              <w:bottom w:val="double" w:sz="6" w:space="0" w:color="auto"/>
              <w:right w:val="double" w:sz="6" w:space="0" w:color="auto"/>
            </w:tcBorders>
            <w:shd w:val="clear" w:color="auto" w:fill="auto"/>
            <w:vAlign w:val="center"/>
            <w:hideMark/>
          </w:tcPr>
          <w:p w14:paraId="2592D8E8" w14:textId="07CAF1E6" w:rsidR="005665E9" w:rsidRPr="00033E65" w:rsidRDefault="005665E9" w:rsidP="00A56731">
            <w:pPr>
              <w:spacing w:before="0" w:after="0"/>
              <w:jc w:val="center"/>
              <w:rPr>
                <w:rFonts w:cs="Calibri"/>
                <w:color w:val="000000"/>
                <w:szCs w:val="22"/>
                <w:lang w:eastAsia="es-CR"/>
              </w:rPr>
            </w:pPr>
            <w:r w:rsidRPr="00033E65">
              <w:rPr>
                <w:rFonts w:cs="Calibri"/>
                <w:color w:val="000000"/>
                <w:szCs w:val="22"/>
                <w:lang w:eastAsia="es-CR"/>
              </w:rPr>
              <w:t>39%</w:t>
            </w:r>
          </w:p>
        </w:tc>
        <w:tc>
          <w:tcPr>
            <w:tcW w:w="1440" w:type="dxa"/>
            <w:vMerge w:val="restart"/>
            <w:tcBorders>
              <w:top w:val="nil"/>
              <w:left w:val="double" w:sz="6" w:space="0" w:color="auto"/>
              <w:bottom w:val="double" w:sz="6" w:space="0" w:color="000000"/>
              <w:right w:val="double" w:sz="6" w:space="0" w:color="auto"/>
            </w:tcBorders>
            <w:shd w:val="clear" w:color="auto" w:fill="auto"/>
            <w:vAlign w:val="center"/>
            <w:hideMark/>
          </w:tcPr>
          <w:p w14:paraId="0D97FF1F" w14:textId="1EB3EADC" w:rsidR="005665E9" w:rsidRPr="00033E65" w:rsidRDefault="005665E9" w:rsidP="00A56731">
            <w:pPr>
              <w:spacing w:before="0" w:after="0"/>
              <w:jc w:val="center"/>
              <w:rPr>
                <w:rFonts w:cs="Calibri"/>
                <w:b/>
                <w:bCs/>
                <w:i/>
                <w:iCs/>
                <w:color w:val="000000"/>
                <w:szCs w:val="22"/>
                <w:lang w:eastAsia="es-CR"/>
              </w:rPr>
            </w:pPr>
            <w:r w:rsidRPr="00033E65">
              <w:rPr>
                <w:rFonts w:cs="Calibri"/>
                <w:b/>
                <w:bCs/>
                <w:i/>
                <w:iCs/>
                <w:color w:val="000000"/>
                <w:szCs w:val="22"/>
                <w:lang w:eastAsia="es-CR"/>
              </w:rPr>
              <w:t>28</w:t>
            </w:r>
          </w:p>
        </w:tc>
      </w:tr>
      <w:tr w:rsidR="005665E9" w:rsidRPr="00033E65" w14:paraId="13D9CED3" w14:textId="77777777" w:rsidTr="00274042">
        <w:trPr>
          <w:trHeight w:val="20"/>
          <w:jc w:val="center"/>
        </w:trPr>
        <w:tc>
          <w:tcPr>
            <w:tcW w:w="2954" w:type="dxa"/>
            <w:vMerge/>
            <w:tcBorders>
              <w:left w:val="double" w:sz="6" w:space="0" w:color="auto"/>
              <w:right w:val="double" w:sz="6" w:space="0" w:color="auto"/>
            </w:tcBorders>
            <w:vAlign w:val="center"/>
            <w:hideMark/>
          </w:tcPr>
          <w:p w14:paraId="2842D1C8" w14:textId="3B40F4E4" w:rsidR="005665E9" w:rsidRPr="00033E65" w:rsidRDefault="005665E9" w:rsidP="00A56731">
            <w:pPr>
              <w:spacing w:before="0" w:after="0"/>
              <w:jc w:val="left"/>
              <w:rPr>
                <w:rFonts w:cs="Calibri"/>
                <w:color w:val="000000"/>
                <w:szCs w:val="22"/>
                <w:lang w:eastAsia="es-CR"/>
              </w:rPr>
            </w:pPr>
          </w:p>
        </w:tc>
        <w:tc>
          <w:tcPr>
            <w:tcW w:w="1505" w:type="dxa"/>
            <w:tcBorders>
              <w:top w:val="nil"/>
              <w:left w:val="nil"/>
              <w:bottom w:val="double" w:sz="6" w:space="0" w:color="auto"/>
              <w:right w:val="double" w:sz="6" w:space="0" w:color="auto"/>
            </w:tcBorders>
            <w:shd w:val="clear" w:color="auto" w:fill="auto"/>
            <w:vAlign w:val="center"/>
            <w:hideMark/>
          </w:tcPr>
          <w:p w14:paraId="2676B3F5" w14:textId="77777777" w:rsidR="005665E9" w:rsidRPr="00033E65" w:rsidRDefault="005665E9" w:rsidP="00A56731">
            <w:pPr>
              <w:spacing w:before="0" w:after="0"/>
              <w:jc w:val="left"/>
              <w:rPr>
                <w:rFonts w:cs="Calibri"/>
                <w:i/>
                <w:iCs/>
                <w:color w:val="000000"/>
                <w:szCs w:val="22"/>
                <w:lang w:eastAsia="es-CR"/>
              </w:rPr>
            </w:pPr>
            <w:r w:rsidRPr="00033E65">
              <w:rPr>
                <w:rFonts w:cs="Calibri"/>
                <w:i/>
                <w:iCs/>
                <w:color w:val="000000"/>
                <w:szCs w:val="22"/>
                <w:lang w:eastAsia="es-CR"/>
              </w:rPr>
              <w:t xml:space="preserve">Civil </w:t>
            </w:r>
          </w:p>
        </w:tc>
        <w:tc>
          <w:tcPr>
            <w:tcW w:w="1200" w:type="dxa"/>
            <w:tcBorders>
              <w:top w:val="double" w:sz="6" w:space="0" w:color="auto"/>
              <w:left w:val="nil"/>
              <w:bottom w:val="double" w:sz="6" w:space="0" w:color="auto"/>
              <w:right w:val="double" w:sz="6" w:space="0" w:color="auto"/>
            </w:tcBorders>
            <w:shd w:val="clear" w:color="auto" w:fill="auto"/>
            <w:vAlign w:val="center"/>
            <w:hideMark/>
          </w:tcPr>
          <w:p w14:paraId="32E290BA" w14:textId="77777777" w:rsidR="005665E9" w:rsidRPr="00033E65" w:rsidRDefault="005665E9" w:rsidP="00A56731">
            <w:pPr>
              <w:spacing w:before="0" w:after="0"/>
              <w:jc w:val="center"/>
              <w:rPr>
                <w:rFonts w:cs="Calibri"/>
                <w:color w:val="000000"/>
                <w:szCs w:val="22"/>
                <w:lang w:eastAsia="es-CR"/>
              </w:rPr>
            </w:pPr>
            <w:r w:rsidRPr="00033E65">
              <w:rPr>
                <w:rFonts w:cs="Calibri"/>
                <w:color w:val="000000"/>
                <w:szCs w:val="22"/>
                <w:lang w:eastAsia="es-CR"/>
              </w:rPr>
              <w:t>8</w:t>
            </w:r>
          </w:p>
        </w:tc>
        <w:tc>
          <w:tcPr>
            <w:tcW w:w="1200" w:type="dxa"/>
            <w:tcBorders>
              <w:top w:val="nil"/>
              <w:left w:val="nil"/>
              <w:bottom w:val="double" w:sz="6" w:space="0" w:color="auto"/>
              <w:right w:val="double" w:sz="6" w:space="0" w:color="auto"/>
            </w:tcBorders>
            <w:shd w:val="clear" w:color="auto" w:fill="auto"/>
            <w:vAlign w:val="center"/>
            <w:hideMark/>
          </w:tcPr>
          <w:p w14:paraId="38D6F76D" w14:textId="5664858D" w:rsidR="005665E9" w:rsidRPr="00033E65" w:rsidRDefault="005665E9" w:rsidP="00A56731">
            <w:pPr>
              <w:spacing w:before="0" w:after="0"/>
              <w:jc w:val="center"/>
              <w:rPr>
                <w:rFonts w:cs="Calibri"/>
                <w:color w:val="000000"/>
                <w:szCs w:val="22"/>
                <w:lang w:eastAsia="es-CR"/>
              </w:rPr>
            </w:pPr>
            <w:r w:rsidRPr="00033E65">
              <w:rPr>
                <w:rFonts w:cs="Calibri"/>
                <w:color w:val="000000"/>
                <w:szCs w:val="22"/>
                <w:lang w:eastAsia="es-CR"/>
              </w:rPr>
              <w:t>29%</w:t>
            </w:r>
          </w:p>
        </w:tc>
        <w:tc>
          <w:tcPr>
            <w:tcW w:w="1440" w:type="dxa"/>
            <w:vMerge/>
            <w:tcBorders>
              <w:top w:val="nil"/>
              <w:left w:val="double" w:sz="6" w:space="0" w:color="auto"/>
              <w:bottom w:val="double" w:sz="6" w:space="0" w:color="000000"/>
              <w:right w:val="double" w:sz="6" w:space="0" w:color="auto"/>
            </w:tcBorders>
            <w:vAlign w:val="center"/>
            <w:hideMark/>
          </w:tcPr>
          <w:p w14:paraId="29DEF1DB" w14:textId="77777777" w:rsidR="005665E9" w:rsidRPr="00033E65" w:rsidRDefault="005665E9" w:rsidP="00A56731">
            <w:pPr>
              <w:spacing w:before="0" w:after="0"/>
              <w:jc w:val="left"/>
              <w:rPr>
                <w:rFonts w:cs="Calibri"/>
                <w:b/>
                <w:bCs/>
                <w:i/>
                <w:iCs/>
                <w:color w:val="000000"/>
                <w:szCs w:val="22"/>
                <w:lang w:eastAsia="es-CR"/>
              </w:rPr>
            </w:pPr>
          </w:p>
        </w:tc>
      </w:tr>
      <w:tr w:rsidR="005665E9" w:rsidRPr="00033E65" w14:paraId="42A1D7FB" w14:textId="77777777" w:rsidTr="00274042">
        <w:trPr>
          <w:trHeight w:val="20"/>
          <w:jc w:val="center"/>
        </w:trPr>
        <w:tc>
          <w:tcPr>
            <w:tcW w:w="2954" w:type="dxa"/>
            <w:vMerge/>
            <w:tcBorders>
              <w:left w:val="double" w:sz="6" w:space="0" w:color="auto"/>
              <w:bottom w:val="double" w:sz="6" w:space="0" w:color="000000"/>
              <w:right w:val="double" w:sz="6" w:space="0" w:color="auto"/>
            </w:tcBorders>
            <w:vAlign w:val="center"/>
            <w:hideMark/>
          </w:tcPr>
          <w:p w14:paraId="07BA41FE" w14:textId="77777777" w:rsidR="005665E9" w:rsidRPr="00033E65" w:rsidRDefault="005665E9" w:rsidP="00A56731">
            <w:pPr>
              <w:spacing w:before="0" w:after="0"/>
              <w:jc w:val="left"/>
              <w:rPr>
                <w:rFonts w:cs="Calibri"/>
                <w:color w:val="000000"/>
                <w:szCs w:val="22"/>
                <w:lang w:eastAsia="es-CR"/>
              </w:rPr>
            </w:pPr>
          </w:p>
        </w:tc>
        <w:tc>
          <w:tcPr>
            <w:tcW w:w="1505" w:type="dxa"/>
            <w:tcBorders>
              <w:top w:val="nil"/>
              <w:left w:val="nil"/>
              <w:bottom w:val="double" w:sz="6" w:space="0" w:color="auto"/>
              <w:right w:val="double" w:sz="6" w:space="0" w:color="auto"/>
            </w:tcBorders>
            <w:shd w:val="clear" w:color="auto" w:fill="auto"/>
            <w:vAlign w:val="center"/>
            <w:hideMark/>
          </w:tcPr>
          <w:p w14:paraId="0F8253DD" w14:textId="77777777" w:rsidR="005665E9" w:rsidRPr="00033E65" w:rsidRDefault="005665E9" w:rsidP="00A56731">
            <w:pPr>
              <w:spacing w:before="0" w:after="0"/>
              <w:jc w:val="left"/>
              <w:rPr>
                <w:rFonts w:cs="Calibri"/>
                <w:i/>
                <w:iCs/>
                <w:color w:val="000000"/>
                <w:szCs w:val="22"/>
                <w:lang w:eastAsia="es-CR"/>
              </w:rPr>
            </w:pPr>
            <w:r w:rsidRPr="00033E65">
              <w:rPr>
                <w:rFonts w:cs="Calibri"/>
                <w:i/>
                <w:iCs/>
                <w:color w:val="000000"/>
                <w:szCs w:val="22"/>
                <w:lang w:eastAsia="es-CR"/>
              </w:rPr>
              <w:t>Trabajo</w:t>
            </w:r>
          </w:p>
        </w:tc>
        <w:tc>
          <w:tcPr>
            <w:tcW w:w="1200" w:type="dxa"/>
            <w:tcBorders>
              <w:top w:val="nil"/>
              <w:left w:val="nil"/>
              <w:bottom w:val="double" w:sz="6" w:space="0" w:color="auto"/>
              <w:right w:val="double" w:sz="6" w:space="0" w:color="auto"/>
            </w:tcBorders>
            <w:shd w:val="clear" w:color="auto" w:fill="auto"/>
            <w:vAlign w:val="center"/>
            <w:hideMark/>
          </w:tcPr>
          <w:p w14:paraId="15D80DAB" w14:textId="26190677" w:rsidR="005665E9" w:rsidRPr="00033E65" w:rsidRDefault="005665E9" w:rsidP="00A56731">
            <w:pPr>
              <w:spacing w:before="0" w:after="0"/>
              <w:jc w:val="center"/>
              <w:rPr>
                <w:rFonts w:cs="Calibri"/>
                <w:color w:val="000000"/>
                <w:szCs w:val="22"/>
                <w:lang w:eastAsia="es-CR"/>
              </w:rPr>
            </w:pPr>
            <w:r w:rsidRPr="00033E65">
              <w:rPr>
                <w:rFonts w:cs="Calibri"/>
                <w:color w:val="000000"/>
                <w:szCs w:val="22"/>
                <w:lang w:eastAsia="es-CR"/>
              </w:rPr>
              <w:t>9</w:t>
            </w:r>
          </w:p>
        </w:tc>
        <w:tc>
          <w:tcPr>
            <w:tcW w:w="1200" w:type="dxa"/>
            <w:tcBorders>
              <w:top w:val="nil"/>
              <w:left w:val="nil"/>
              <w:bottom w:val="double" w:sz="6" w:space="0" w:color="auto"/>
              <w:right w:val="double" w:sz="6" w:space="0" w:color="auto"/>
            </w:tcBorders>
            <w:shd w:val="clear" w:color="auto" w:fill="auto"/>
            <w:vAlign w:val="center"/>
            <w:hideMark/>
          </w:tcPr>
          <w:p w14:paraId="1C911E6F" w14:textId="74F7325A" w:rsidR="005665E9" w:rsidRPr="00033E65" w:rsidRDefault="005665E9" w:rsidP="00A56731">
            <w:pPr>
              <w:spacing w:before="0" w:after="0"/>
              <w:jc w:val="center"/>
              <w:rPr>
                <w:rFonts w:cs="Calibri"/>
                <w:color w:val="000000"/>
                <w:szCs w:val="22"/>
                <w:lang w:eastAsia="es-CR"/>
              </w:rPr>
            </w:pPr>
            <w:r w:rsidRPr="00033E65">
              <w:rPr>
                <w:rFonts w:cs="Calibri"/>
                <w:color w:val="000000"/>
                <w:szCs w:val="22"/>
                <w:lang w:eastAsia="es-CR"/>
              </w:rPr>
              <w:t>32%</w:t>
            </w:r>
          </w:p>
        </w:tc>
        <w:tc>
          <w:tcPr>
            <w:tcW w:w="1440" w:type="dxa"/>
            <w:vMerge/>
            <w:tcBorders>
              <w:top w:val="nil"/>
              <w:left w:val="double" w:sz="6" w:space="0" w:color="auto"/>
              <w:bottom w:val="double" w:sz="6" w:space="0" w:color="000000"/>
              <w:right w:val="double" w:sz="6" w:space="0" w:color="auto"/>
            </w:tcBorders>
            <w:vAlign w:val="center"/>
            <w:hideMark/>
          </w:tcPr>
          <w:p w14:paraId="06493C7A" w14:textId="77777777" w:rsidR="005665E9" w:rsidRPr="00033E65" w:rsidRDefault="005665E9" w:rsidP="00A56731">
            <w:pPr>
              <w:spacing w:before="0" w:after="0"/>
              <w:jc w:val="left"/>
              <w:rPr>
                <w:rFonts w:cs="Calibri"/>
                <w:b/>
                <w:bCs/>
                <w:i/>
                <w:iCs/>
                <w:color w:val="000000"/>
                <w:szCs w:val="22"/>
                <w:lang w:eastAsia="es-CR"/>
              </w:rPr>
            </w:pPr>
          </w:p>
        </w:tc>
      </w:tr>
      <w:tr w:rsidR="00883297" w:rsidRPr="00033E65" w14:paraId="56736C87" w14:textId="77777777" w:rsidTr="00274042">
        <w:trPr>
          <w:trHeight w:val="20"/>
          <w:jc w:val="center"/>
        </w:trPr>
        <w:tc>
          <w:tcPr>
            <w:tcW w:w="2954" w:type="dxa"/>
            <w:vMerge w:val="restart"/>
            <w:tcBorders>
              <w:top w:val="nil"/>
              <w:left w:val="double" w:sz="6" w:space="0" w:color="auto"/>
              <w:bottom w:val="double" w:sz="6" w:space="0" w:color="000000"/>
              <w:right w:val="double" w:sz="6" w:space="0" w:color="auto"/>
            </w:tcBorders>
            <w:shd w:val="clear" w:color="auto" w:fill="auto"/>
            <w:vAlign w:val="center"/>
            <w:hideMark/>
          </w:tcPr>
          <w:p w14:paraId="55E792D9" w14:textId="77777777" w:rsidR="00A56731" w:rsidRPr="00033E65" w:rsidRDefault="00A56731" w:rsidP="00A56731">
            <w:pPr>
              <w:spacing w:before="0" w:after="0"/>
              <w:jc w:val="left"/>
              <w:rPr>
                <w:rFonts w:cs="Calibri"/>
                <w:color w:val="000000"/>
                <w:szCs w:val="22"/>
                <w:lang w:eastAsia="es-CR"/>
              </w:rPr>
            </w:pPr>
            <w:r w:rsidRPr="00033E65">
              <w:rPr>
                <w:rFonts w:cs="Calibri"/>
                <w:color w:val="000000"/>
                <w:szCs w:val="22"/>
                <w:lang w:eastAsia="es-CR"/>
              </w:rPr>
              <w:t>Juzgado Civil, Trabajo y Agrario de Turrialba</w:t>
            </w:r>
          </w:p>
        </w:tc>
        <w:tc>
          <w:tcPr>
            <w:tcW w:w="1505" w:type="dxa"/>
            <w:tcBorders>
              <w:top w:val="nil"/>
              <w:left w:val="nil"/>
              <w:bottom w:val="double" w:sz="6" w:space="0" w:color="auto"/>
              <w:right w:val="double" w:sz="6" w:space="0" w:color="auto"/>
            </w:tcBorders>
            <w:shd w:val="clear" w:color="auto" w:fill="auto"/>
            <w:vAlign w:val="center"/>
            <w:hideMark/>
          </w:tcPr>
          <w:p w14:paraId="2FF9606E" w14:textId="77777777" w:rsidR="00A56731" w:rsidRPr="00033E65" w:rsidRDefault="00A56731" w:rsidP="00A56731">
            <w:pPr>
              <w:spacing w:before="0" w:after="0"/>
              <w:jc w:val="left"/>
              <w:rPr>
                <w:rFonts w:cs="Calibri"/>
                <w:i/>
                <w:iCs/>
                <w:color w:val="000000"/>
                <w:szCs w:val="22"/>
                <w:lang w:eastAsia="es-CR"/>
              </w:rPr>
            </w:pPr>
            <w:r w:rsidRPr="00033E65">
              <w:rPr>
                <w:rFonts w:cs="Calibri"/>
                <w:i/>
                <w:iCs/>
                <w:color w:val="000000"/>
                <w:szCs w:val="22"/>
                <w:lang w:eastAsia="es-CR"/>
              </w:rPr>
              <w:t>Agrario</w:t>
            </w:r>
          </w:p>
        </w:tc>
        <w:tc>
          <w:tcPr>
            <w:tcW w:w="1200" w:type="dxa"/>
            <w:tcBorders>
              <w:top w:val="nil"/>
              <w:left w:val="nil"/>
              <w:bottom w:val="double" w:sz="6" w:space="0" w:color="auto"/>
              <w:right w:val="double" w:sz="6" w:space="0" w:color="auto"/>
            </w:tcBorders>
            <w:shd w:val="clear" w:color="auto" w:fill="auto"/>
            <w:vAlign w:val="center"/>
            <w:hideMark/>
          </w:tcPr>
          <w:p w14:paraId="0CF52E63" w14:textId="6A060094" w:rsidR="00A56731" w:rsidRPr="00033E65" w:rsidRDefault="00145AE5" w:rsidP="00A56731">
            <w:pPr>
              <w:spacing w:before="0" w:after="0"/>
              <w:jc w:val="center"/>
              <w:rPr>
                <w:rFonts w:cs="Calibri"/>
                <w:color w:val="000000"/>
                <w:szCs w:val="22"/>
                <w:lang w:eastAsia="es-CR"/>
              </w:rPr>
            </w:pPr>
            <w:r w:rsidRPr="00033E65">
              <w:rPr>
                <w:rFonts w:cs="Calibri"/>
                <w:color w:val="000000"/>
                <w:szCs w:val="22"/>
                <w:lang w:eastAsia="es-CR"/>
              </w:rPr>
              <w:t>1</w:t>
            </w:r>
            <w:r w:rsidR="009350D0" w:rsidRPr="00033E65">
              <w:rPr>
                <w:rFonts w:cs="Calibri"/>
                <w:color w:val="000000"/>
                <w:szCs w:val="22"/>
                <w:lang w:eastAsia="es-CR"/>
              </w:rPr>
              <w:t>0</w:t>
            </w:r>
          </w:p>
        </w:tc>
        <w:tc>
          <w:tcPr>
            <w:tcW w:w="1200" w:type="dxa"/>
            <w:tcBorders>
              <w:top w:val="nil"/>
              <w:left w:val="nil"/>
              <w:bottom w:val="double" w:sz="6" w:space="0" w:color="auto"/>
              <w:right w:val="double" w:sz="6" w:space="0" w:color="auto"/>
            </w:tcBorders>
            <w:shd w:val="clear" w:color="auto" w:fill="auto"/>
            <w:vAlign w:val="center"/>
            <w:hideMark/>
          </w:tcPr>
          <w:p w14:paraId="350137F3" w14:textId="77777777" w:rsidR="00A56731" w:rsidRPr="00033E65" w:rsidRDefault="00A56731" w:rsidP="00A56731">
            <w:pPr>
              <w:spacing w:before="0" w:after="0"/>
              <w:jc w:val="center"/>
              <w:rPr>
                <w:rFonts w:cs="Calibri"/>
                <w:color w:val="000000"/>
                <w:szCs w:val="22"/>
                <w:lang w:eastAsia="es-CR"/>
              </w:rPr>
            </w:pPr>
            <w:r w:rsidRPr="00033E65">
              <w:rPr>
                <w:rFonts w:cs="Calibri"/>
                <w:color w:val="000000"/>
                <w:szCs w:val="22"/>
                <w:lang w:eastAsia="es-CR"/>
              </w:rPr>
              <w:t>27%</w:t>
            </w:r>
          </w:p>
        </w:tc>
        <w:tc>
          <w:tcPr>
            <w:tcW w:w="1440" w:type="dxa"/>
            <w:vMerge w:val="restart"/>
            <w:tcBorders>
              <w:top w:val="nil"/>
              <w:left w:val="double" w:sz="6" w:space="0" w:color="auto"/>
              <w:bottom w:val="double" w:sz="6" w:space="0" w:color="000000"/>
              <w:right w:val="double" w:sz="6" w:space="0" w:color="auto"/>
            </w:tcBorders>
            <w:shd w:val="clear" w:color="auto" w:fill="auto"/>
            <w:vAlign w:val="center"/>
            <w:hideMark/>
          </w:tcPr>
          <w:p w14:paraId="0ACC30A9" w14:textId="3511827E" w:rsidR="00A56731" w:rsidRPr="00033E65" w:rsidRDefault="002B6917" w:rsidP="00A56731">
            <w:pPr>
              <w:spacing w:before="0" w:after="0"/>
              <w:jc w:val="center"/>
              <w:rPr>
                <w:rFonts w:cs="Calibri"/>
                <w:b/>
                <w:bCs/>
                <w:i/>
                <w:iCs/>
                <w:color w:val="000000"/>
                <w:szCs w:val="22"/>
                <w:lang w:eastAsia="es-CR"/>
              </w:rPr>
            </w:pPr>
            <w:r w:rsidRPr="00033E65">
              <w:rPr>
                <w:rFonts w:cs="Calibri"/>
                <w:b/>
                <w:bCs/>
                <w:i/>
                <w:iCs/>
                <w:color w:val="000000"/>
                <w:szCs w:val="22"/>
                <w:lang w:eastAsia="es-CR"/>
              </w:rPr>
              <w:t>37</w:t>
            </w:r>
          </w:p>
        </w:tc>
      </w:tr>
      <w:tr w:rsidR="00A56731" w:rsidRPr="00033E65" w14:paraId="0A5A3EB6" w14:textId="77777777" w:rsidTr="00274042">
        <w:trPr>
          <w:trHeight w:val="20"/>
          <w:jc w:val="center"/>
        </w:trPr>
        <w:tc>
          <w:tcPr>
            <w:tcW w:w="2954" w:type="dxa"/>
            <w:vMerge/>
            <w:tcBorders>
              <w:top w:val="nil"/>
              <w:left w:val="double" w:sz="6" w:space="0" w:color="auto"/>
              <w:bottom w:val="double" w:sz="6" w:space="0" w:color="000000"/>
              <w:right w:val="double" w:sz="6" w:space="0" w:color="auto"/>
            </w:tcBorders>
            <w:vAlign w:val="center"/>
            <w:hideMark/>
          </w:tcPr>
          <w:p w14:paraId="25176C88" w14:textId="77777777" w:rsidR="00A56731" w:rsidRPr="00033E65" w:rsidRDefault="00A56731" w:rsidP="00A56731">
            <w:pPr>
              <w:spacing w:before="0" w:after="0"/>
              <w:jc w:val="left"/>
              <w:rPr>
                <w:rFonts w:cs="Calibri"/>
                <w:color w:val="000000"/>
                <w:szCs w:val="22"/>
                <w:lang w:eastAsia="es-CR"/>
              </w:rPr>
            </w:pPr>
          </w:p>
        </w:tc>
        <w:tc>
          <w:tcPr>
            <w:tcW w:w="1505" w:type="dxa"/>
            <w:tcBorders>
              <w:top w:val="nil"/>
              <w:left w:val="nil"/>
              <w:bottom w:val="double" w:sz="6" w:space="0" w:color="auto"/>
              <w:right w:val="double" w:sz="6" w:space="0" w:color="auto"/>
            </w:tcBorders>
            <w:shd w:val="clear" w:color="auto" w:fill="auto"/>
            <w:vAlign w:val="center"/>
            <w:hideMark/>
          </w:tcPr>
          <w:p w14:paraId="0EAB700E" w14:textId="77777777" w:rsidR="00A56731" w:rsidRPr="00033E65" w:rsidRDefault="00A56731" w:rsidP="00A56731">
            <w:pPr>
              <w:spacing w:before="0" w:after="0"/>
              <w:jc w:val="left"/>
              <w:rPr>
                <w:rFonts w:cs="Calibri"/>
                <w:i/>
                <w:iCs/>
                <w:color w:val="000000"/>
                <w:szCs w:val="22"/>
                <w:lang w:eastAsia="es-CR"/>
              </w:rPr>
            </w:pPr>
            <w:r w:rsidRPr="00033E65">
              <w:rPr>
                <w:rFonts w:cs="Calibri"/>
                <w:i/>
                <w:iCs/>
                <w:color w:val="000000"/>
                <w:szCs w:val="22"/>
                <w:lang w:eastAsia="es-CR"/>
              </w:rPr>
              <w:t xml:space="preserve">Civil </w:t>
            </w:r>
          </w:p>
        </w:tc>
        <w:tc>
          <w:tcPr>
            <w:tcW w:w="1200" w:type="dxa"/>
            <w:tcBorders>
              <w:top w:val="nil"/>
              <w:left w:val="nil"/>
              <w:bottom w:val="double" w:sz="6" w:space="0" w:color="auto"/>
              <w:right w:val="double" w:sz="6" w:space="0" w:color="auto"/>
            </w:tcBorders>
            <w:shd w:val="clear" w:color="auto" w:fill="auto"/>
            <w:vAlign w:val="center"/>
            <w:hideMark/>
          </w:tcPr>
          <w:p w14:paraId="61F689F9" w14:textId="5869824A" w:rsidR="00A56731" w:rsidRPr="00033E65" w:rsidRDefault="009350D0" w:rsidP="00A56731">
            <w:pPr>
              <w:spacing w:before="0" w:after="0"/>
              <w:jc w:val="center"/>
              <w:rPr>
                <w:rFonts w:cs="Calibri"/>
                <w:color w:val="000000"/>
                <w:szCs w:val="22"/>
                <w:lang w:eastAsia="es-CR"/>
              </w:rPr>
            </w:pPr>
            <w:r w:rsidRPr="00033E65">
              <w:rPr>
                <w:rFonts w:cs="Calibri"/>
                <w:color w:val="000000"/>
                <w:szCs w:val="22"/>
                <w:lang w:eastAsia="es-CR"/>
              </w:rPr>
              <w:t>2</w:t>
            </w:r>
            <w:r w:rsidR="00006173" w:rsidRPr="00033E65">
              <w:rPr>
                <w:rFonts w:cs="Calibri"/>
                <w:color w:val="000000"/>
                <w:szCs w:val="22"/>
                <w:lang w:eastAsia="es-CR"/>
              </w:rPr>
              <w:t>7</w:t>
            </w:r>
          </w:p>
        </w:tc>
        <w:tc>
          <w:tcPr>
            <w:tcW w:w="1200" w:type="dxa"/>
            <w:tcBorders>
              <w:top w:val="nil"/>
              <w:left w:val="nil"/>
              <w:bottom w:val="double" w:sz="6" w:space="0" w:color="auto"/>
              <w:right w:val="double" w:sz="6" w:space="0" w:color="auto"/>
            </w:tcBorders>
            <w:shd w:val="clear" w:color="auto" w:fill="auto"/>
            <w:vAlign w:val="center"/>
            <w:hideMark/>
          </w:tcPr>
          <w:p w14:paraId="4A17FAD6" w14:textId="77777777" w:rsidR="00A56731" w:rsidRPr="00033E65" w:rsidRDefault="00A56731" w:rsidP="00A56731">
            <w:pPr>
              <w:spacing w:before="0" w:after="0"/>
              <w:jc w:val="center"/>
              <w:rPr>
                <w:rFonts w:cs="Calibri"/>
                <w:color w:val="000000"/>
                <w:szCs w:val="22"/>
                <w:lang w:eastAsia="es-CR"/>
              </w:rPr>
            </w:pPr>
            <w:r w:rsidRPr="00033E65">
              <w:rPr>
                <w:rFonts w:cs="Calibri"/>
                <w:color w:val="000000"/>
                <w:szCs w:val="22"/>
                <w:lang w:eastAsia="es-CR"/>
              </w:rPr>
              <w:t>73%</w:t>
            </w:r>
          </w:p>
        </w:tc>
        <w:tc>
          <w:tcPr>
            <w:tcW w:w="1440" w:type="dxa"/>
            <w:vMerge/>
            <w:tcBorders>
              <w:top w:val="nil"/>
              <w:left w:val="double" w:sz="6" w:space="0" w:color="auto"/>
              <w:bottom w:val="double" w:sz="6" w:space="0" w:color="000000"/>
              <w:right w:val="double" w:sz="6" w:space="0" w:color="auto"/>
            </w:tcBorders>
            <w:vAlign w:val="center"/>
            <w:hideMark/>
          </w:tcPr>
          <w:p w14:paraId="14FEB45E" w14:textId="77777777" w:rsidR="00A56731" w:rsidRPr="00033E65" w:rsidRDefault="00A56731" w:rsidP="00A56731">
            <w:pPr>
              <w:spacing w:before="0" w:after="0"/>
              <w:jc w:val="left"/>
              <w:rPr>
                <w:rFonts w:cs="Calibri"/>
                <w:b/>
                <w:bCs/>
                <w:i/>
                <w:iCs/>
                <w:color w:val="000000"/>
                <w:szCs w:val="22"/>
                <w:lang w:eastAsia="es-CR"/>
              </w:rPr>
            </w:pPr>
          </w:p>
        </w:tc>
      </w:tr>
    </w:tbl>
    <w:p w14:paraId="53920B3D" w14:textId="77777777" w:rsidR="004F391E" w:rsidRDefault="003B0F22" w:rsidP="004F391E">
      <w:pPr>
        <w:rPr>
          <w:b/>
          <w:i/>
          <w:sz w:val="18"/>
          <w:lang w:eastAsia="en-US"/>
        </w:rPr>
      </w:pPr>
      <w:r w:rsidRPr="00033E65">
        <w:rPr>
          <w:b/>
          <w:i/>
          <w:sz w:val="18"/>
          <w:lang w:eastAsia="en-US"/>
        </w:rPr>
        <w:t xml:space="preserve">Fuente: </w:t>
      </w:r>
      <w:r w:rsidRPr="00033E65">
        <w:rPr>
          <w:b/>
          <w:i/>
          <w:sz w:val="18"/>
        </w:rPr>
        <w:t>Subproceso de Modernización Institucional</w:t>
      </w:r>
      <w:r w:rsidR="00A56731" w:rsidRPr="00033E65">
        <w:rPr>
          <w:b/>
          <w:i/>
          <w:sz w:val="18"/>
        </w:rPr>
        <w:t>, No Penal,</w:t>
      </w:r>
      <w:r w:rsidRPr="00033E65">
        <w:rPr>
          <w:b/>
          <w:i/>
          <w:sz w:val="18"/>
        </w:rPr>
        <w:t xml:space="preserve"> </w:t>
      </w:r>
      <w:r w:rsidRPr="00033E65">
        <w:rPr>
          <w:b/>
          <w:i/>
          <w:sz w:val="18"/>
          <w:lang w:eastAsia="en-US"/>
        </w:rPr>
        <w:t xml:space="preserve">con base en </w:t>
      </w:r>
      <w:r w:rsidR="000B0B89" w:rsidRPr="00033E65">
        <w:rPr>
          <w:b/>
          <w:i/>
          <w:sz w:val="18"/>
          <w:lang w:eastAsia="en-US"/>
        </w:rPr>
        <w:t>el Balance General Interactivo de la página web de la Dirección de Planificación</w:t>
      </w:r>
      <w:r w:rsidR="00FF6A5D" w:rsidRPr="00033E65">
        <w:rPr>
          <w:b/>
          <w:i/>
          <w:sz w:val="18"/>
          <w:lang w:eastAsia="en-US"/>
        </w:rPr>
        <w:t>.</w:t>
      </w:r>
    </w:p>
    <w:p w14:paraId="1960A719" w14:textId="3887FA17" w:rsidR="00B92F19" w:rsidRDefault="000B0B89" w:rsidP="004F391E">
      <w:pPr>
        <w:rPr>
          <w:b/>
          <w:i/>
          <w:sz w:val="18"/>
          <w:lang w:eastAsia="en-US"/>
        </w:rPr>
      </w:pPr>
      <w:r w:rsidRPr="00033E65">
        <w:rPr>
          <w:b/>
          <w:i/>
          <w:sz w:val="18"/>
          <w:lang w:eastAsia="en-US"/>
        </w:rPr>
        <w:t xml:space="preserve"> </w:t>
      </w:r>
    </w:p>
    <w:p w14:paraId="34FE8A7B" w14:textId="19DEF4C3" w:rsidR="004D4A53" w:rsidRPr="00033E65" w:rsidRDefault="00EA2EF2" w:rsidP="005665E9">
      <w:pPr>
        <w:spacing w:line="276" w:lineRule="auto"/>
      </w:pPr>
      <w:r w:rsidRPr="00033E65">
        <w:t xml:space="preserve">La persona juzgadora del </w:t>
      </w:r>
      <w:r w:rsidR="00F921A3" w:rsidRPr="00033E65">
        <w:t>Juzgado Civil, Trabajo, Agrario, Familia, Penal Juvenil, Contra la Violencia Doméstica y Protección Cautelar II Circuito Judicial de Alajuela, sede Upala</w:t>
      </w:r>
      <w:r w:rsidRPr="00033E65">
        <w:t>, tiene a cargo la materia Agraria, las cuales g</w:t>
      </w:r>
      <w:r w:rsidR="005666FF" w:rsidRPr="00033E65">
        <w:t>eneran una carga de trabajo de 23</w:t>
      </w:r>
      <w:r w:rsidRPr="00033E65">
        <w:t xml:space="preserve"> casos en promedio mensualmente</w:t>
      </w:r>
      <w:r w:rsidR="003B0F22" w:rsidRPr="00033E65">
        <w:t>.</w:t>
      </w:r>
      <w:r w:rsidR="00AA7993" w:rsidRPr="00033E65">
        <w:t xml:space="preserve"> </w:t>
      </w:r>
      <w:r w:rsidR="004D4A53" w:rsidRPr="00033E65">
        <w:t>En el caso del Juzgado de Buenos Aires, la persona juzgadora, tiene a cargo la materia agraria, civil y laboral, las cuales generan una carga de 11(39%), 8(29%) y 9(32%) casos en promedio mensual</w:t>
      </w:r>
      <w:r w:rsidR="00642F8D" w:rsidRPr="00033E65">
        <w:t>mente</w:t>
      </w:r>
      <w:r w:rsidR="004D4A53" w:rsidRPr="00033E65">
        <w:t xml:space="preserve"> respectivamente.</w:t>
      </w:r>
    </w:p>
    <w:p w14:paraId="146F04EB" w14:textId="11F72BBC" w:rsidR="004F391E" w:rsidRDefault="00642F8D" w:rsidP="004F391E">
      <w:pPr>
        <w:spacing w:line="276" w:lineRule="auto"/>
      </w:pPr>
      <w:r w:rsidRPr="00033E65">
        <w:t>En el Juzgado de Turrialba, la persona juzgadora atiende las materias de agrario y civil, con un promedio mensual de 1</w:t>
      </w:r>
      <w:r w:rsidR="00B92F19" w:rsidRPr="00033E65">
        <w:t>0</w:t>
      </w:r>
      <w:r w:rsidRPr="00033E65">
        <w:t xml:space="preserve"> y 2</w:t>
      </w:r>
      <w:r w:rsidR="00B92F19" w:rsidRPr="00033E65">
        <w:t>7</w:t>
      </w:r>
      <w:r w:rsidRPr="00033E65">
        <w:t xml:space="preserve"> casos, registrando el porcentaje de atención de un </w:t>
      </w:r>
      <w:r w:rsidR="000448EA" w:rsidRPr="00033E65">
        <w:t>27</w:t>
      </w:r>
      <w:r w:rsidRPr="00033E65">
        <w:t>% y 7</w:t>
      </w:r>
      <w:r w:rsidR="000448EA" w:rsidRPr="00033E65">
        <w:t>3</w:t>
      </w:r>
      <w:r w:rsidRPr="00033E65">
        <w:t>% respectivamente.</w:t>
      </w:r>
    </w:p>
    <w:p w14:paraId="525596D3" w14:textId="77777777" w:rsidR="004F391E" w:rsidRDefault="004F391E">
      <w:pPr>
        <w:spacing w:before="0" w:after="160" w:line="259" w:lineRule="auto"/>
        <w:jc w:val="left"/>
      </w:pPr>
      <w:r>
        <w:br w:type="page"/>
      </w:r>
    </w:p>
    <w:p w14:paraId="6D622D7E" w14:textId="642057C9" w:rsidR="00A9228E" w:rsidRPr="00033E65" w:rsidRDefault="00A9228E" w:rsidP="003F0A3A">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lastRenderedPageBreak/>
        <w:t xml:space="preserve">Cuadro </w:t>
      </w:r>
      <w:r w:rsidR="00E962D8" w:rsidRPr="00033E65">
        <w:rPr>
          <w:rFonts w:eastAsia="Times New Roman" w:cs="Arial"/>
          <w:spacing w:val="0"/>
          <w:szCs w:val="28"/>
          <w:lang w:val="es-CR" w:eastAsia="es-ES"/>
        </w:rPr>
        <w:t>10</w:t>
      </w:r>
    </w:p>
    <w:p w14:paraId="6F5C183C" w14:textId="074FE653" w:rsidR="00A9228E" w:rsidRPr="00033E65" w:rsidRDefault="00A9228E" w:rsidP="0087671C">
      <w:pPr>
        <w:spacing w:before="0" w:line="252" w:lineRule="auto"/>
        <w:jc w:val="center"/>
      </w:pPr>
      <w:r w:rsidRPr="00033E65">
        <w:rPr>
          <w:rFonts w:cs="Arial"/>
          <w:b/>
          <w:color w:val="244061" w:themeColor="accent1" w:themeShade="80"/>
          <w:sz w:val="24"/>
          <w:szCs w:val="28"/>
        </w:rPr>
        <w:t>Análisis comparativo de la cantidad carga de trabajo (</w:t>
      </w:r>
      <w:r w:rsidR="00352310" w:rsidRPr="00033E65">
        <w:rPr>
          <w:rFonts w:cs="Arial"/>
          <w:b/>
          <w:color w:val="244061" w:themeColor="accent1" w:themeShade="80"/>
          <w:sz w:val="24"/>
          <w:szCs w:val="28"/>
        </w:rPr>
        <w:t>entrados + reentrados) del 2016-</w:t>
      </w:r>
      <w:r w:rsidRPr="00033E65">
        <w:rPr>
          <w:rFonts w:cs="Arial"/>
          <w:b/>
          <w:color w:val="244061" w:themeColor="accent1" w:themeShade="80"/>
          <w:sz w:val="24"/>
          <w:szCs w:val="28"/>
        </w:rPr>
        <w:t xml:space="preserve"> 20</w:t>
      </w:r>
      <w:r w:rsidR="00536C5D" w:rsidRPr="00033E65">
        <w:rPr>
          <w:rFonts w:cs="Arial"/>
          <w:b/>
          <w:color w:val="244061" w:themeColor="accent1" w:themeShade="80"/>
          <w:sz w:val="24"/>
          <w:szCs w:val="28"/>
        </w:rPr>
        <w:t>2</w:t>
      </w:r>
      <w:r w:rsidR="003B0EAA" w:rsidRPr="00033E65">
        <w:rPr>
          <w:rFonts w:cs="Arial"/>
          <w:b/>
          <w:color w:val="244061" w:themeColor="accent1" w:themeShade="80"/>
          <w:sz w:val="24"/>
          <w:szCs w:val="28"/>
        </w:rPr>
        <w:t>2</w:t>
      </w:r>
      <w:r w:rsidRPr="00033E65">
        <w:rPr>
          <w:rFonts w:cs="Arial"/>
          <w:b/>
          <w:color w:val="244061" w:themeColor="accent1" w:themeShade="80"/>
          <w:sz w:val="24"/>
          <w:szCs w:val="28"/>
        </w:rPr>
        <w:t xml:space="preserve"> para los Juzgados de naturaleza mixta que atienden la materia Agraria</w:t>
      </w:r>
    </w:p>
    <w:tbl>
      <w:tblPr>
        <w:tblW w:w="10741" w:type="dxa"/>
        <w:tblInd w:w="-874" w:type="dxa"/>
        <w:tblCellMar>
          <w:left w:w="70" w:type="dxa"/>
          <w:right w:w="70" w:type="dxa"/>
        </w:tblCellMar>
        <w:tblLook w:val="04A0" w:firstRow="1" w:lastRow="0" w:firstColumn="1" w:lastColumn="0" w:noHBand="0" w:noVBand="1"/>
      </w:tblPr>
      <w:tblGrid>
        <w:gridCol w:w="3792"/>
        <w:gridCol w:w="1140"/>
        <w:gridCol w:w="1085"/>
        <w:gridCol w:w="1042"/>
        <w:gridCol w:w="1246"/>
        <w:gridCol w:w="1190"/>
        <w:gridCol w:w="1246"/>
      </w:tblGrid>
      <w:tr w:rsidR="00AF3382" w:rsidRPr="00033E65" w14:paraId="1298E1F8" w14:textId="77777777" w:rsidTr="004F391E">
        <w:trPr>
          <w:trHeight w:val="1294"/>
          <w:tblHeader/>
        </w:trPr>
        <w:tc>
          <w:tcPr>
            <w:tcW w:w="3792"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61FDFFF1" w14:textId="77777777" w:rsidR="007C3EBA" w:rsidRPr="00033E65" w:rsidRDefault="007C3EBA" w:rsidP="00A9228E">
            <w:pPr>
              <w:spacing w:before="0" w:after="0"/>
              <w:jc w:val="center"/>
              <w:rPr>
                <w:b/>
                <w:bCs/>
                <w:color w:val="FFFFFF"/>
                <w:szCs w:val="22"/>
                <w:lang w:eastAsia="es-CR"/>
              </w:rPr>
            </w:pPr>
            <w:r w:rsidRPr="00033E65">
              <w:rPr>
                <w:b/>
                <w:bCs/>
                <w:color w:val="FFFFFF" w:themeColor="background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6850B476" w14:textId="77777777" w:rsidR="007C3EBA" w:rsidRPr="00033E65" w:rsidRDefault="007C3EBA" w:rsidP="00A9228E">
            <w:pPr>
              <w:spacing w:before="0" w:after="0"/>
              <w:jc w:val="center"/>
              <w:rPr>
                <w:b/>
                <w:bCs/>
                <w:color w:val="FFFFFF"/>
                <w:szCs w:val="22"/>
                <w:lang w:eastAsia="es-CR"/>
              </w:rPr>
            </w:pPr>
            <w:r w:rsidRPr="00033E65">
              <w:rPr>
                <w:b/>
                <w:bCs/>
                <w:color w:val="FFFFFF" w:themeColor="background1"/>
                <w:szCs w:val="22"/>
                <w:lang w:eastAsia="es-CR"/>
              </w:rPr>
              <w:t>Entrada Promedio Mensual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7B2812FE" w14:textId="77777777" w:rsidR="007C3EBA" w:rsidRPr="00033E65" w:rsidRDefault="007C3EBA" w:rsidP="00A9228E">
            <w:pPr>
              <w:spacing w:before="0" w:after="0"/>
              <w:jc w:val="center"/>
              <w:rPr>
                <w:b/>
                <w:bCs/>
                <w:color w:val="FFFFFF"/>
                <w:szCs w:val="22"/>
                <w:lang w:eastAsia="es-CR"/>
              </w:rPr>
            </w:pPr>
            <w:r w:rsidRPr="00033E65">
              <w:rPr>
                <w:b/>
                <w:bCs/>
                <w:color w:val="FFFFFF" w:themeColor="background1"/>
                <w:szCs w:val="22"/>
                <w:lang w:eastAsia="es-CR"/>
              </w:rPr>
              <w:t>Cantidad Jueza o Juez</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B6D8B57" w14:textId="77777777" w:rsidR="007C3EBA" w:rsidRPr="00033E65" w:rsidRDefault="007C3EBA" w:rsidP="00A9228E">
            <w:pPr>
              <w:spacing w:before="0" w:after="0"/>
              <w:jc w:val="center"/>
              <w:rPr>
                <w:b/>
                <w:bCs/>
                <w:color w:val="FFFFFF"/>
                <w:szCs w:val="22"/>
                <w:lang w:eastAsia="es-CR"/>
              </w:rPr>
            </w:pPr>
            <w:r w:rsidRPr="00033E65">
              <w:rPr>
                <w:b/>
                <w:bCs/>
                <w:color w:val="FFFFFF" w:themeColor="background1"/>
                <w:szCs w:val="22"/>
                <w:lang w:eastAsia="es-CR"/>
              </w:rPr>
              <w:t>Cuota de Trabajo Mensual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4876631" w14:textId="77777777" w:rsidR="007C3EBA" w:rsidRPr="00033E65" w:rsidRDefault="007C3EBA" w:rsidP="00A9228E">
            <w:pPr>
              <w:spacing w:before="0" w:after="0"/>
              <w:jc w:val="center"/>
              <w:rPr>
                <w:b/>
                <w:bCs/>
                <w:color w:val="FFFFFF"/>
                <w:szCs w:val="22"/>
                <w:lang w:eastAsia="es-CR"/>
              </w:rPr>
            </w:pPr>
            <w:r w:rsidRPr="00033E65">
              <w:rPr>
                <w:b/>
                <w:bCs/>
                <w:color w:val="FFFFFF" w:themeColor="background1"/>
                <w:szCs w:val="22"/>
                <w:lang w:eastAsia="es-CR"/>
              </w:rPr>
              <w:t xml:space="preserve">Capacidad de Atención de la Materia Agraria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19683A9F" w14:textId="77777777" w:rsidR="007C3EBA" w:rsidRPr="00033E65" w:rsidRDefault="007C3EBA" w:rsidP="00A9228E">
            <w:pPr>
              <w:spacing w:before="0" w:after="0"/>
              <w:jc w:val="center"/>
              <w:rPr>
                <w:b/>
                <w:bCs/>
                <w:color w:val="FFFFFF"/>
                <w:szCs w:val="22"/>
                <w:lang w:eastAsia="es-CR"/>
              </w:rPr>
            </w:pPr>
            <w:r w:rsidRPr="00033E65">
              <w:rPr>
                <w:b/>
                <w:bCs/>
                <w:color w:val="FFFFFF" w:themeColor="background1"/>
                <w:szCs w:val="22"/>
                <w:lang w:eastAsia="es-CR"/>
              </w:rPr>
              <w:t xml:space="preserve">Cuota Esperada por Persona Juzgadora </w:t>
            </w:r>
          </w:p>
        </w:tc>
        <w:tc>
          <w:tcPr>
            <w:tcW w:w="1246" w:type="dxa"/>
            <w:tcBorders>
              <w:top w:val="double" w:sz="6" w:space="0" w:color="1F497D"/>
              <w:left w:val="nil"/>
              <w:bottom w:val="double" w:sz="6" w:space="0" w:color="1F497D"/>
              <w:right w:val="double" w:sz="6" w:space="0" w:color="1F497D"/>
            </w:tcBorders>
            <w:shd w:val="clear" w:color="000000" w:fill="0673A5"/>
            <w:vAlign w:val="center"/>
            <w:hideMark/>
          </w:tcPr>
          <w:p w14:paraId="4E9DB0EA" w14:textId="399D6721" w:rsidR="007C3EBA" w:rsidRPr="00033E65" w:rsidRDefault="007C3EBA" w:rsidP="00A9228E">
            <w:pPr>
              <w:spacing w:before="0" w:after="0"/>
              <w:jc w:val="center"/>
              <w:rPr>
                <w:b/>
                <w:bCs/>
                <w:color w:val="FFFFFF"/>
                <w:szCs w:val="22"/>
                <w:lang w:eastAsia="es-CR"/>
              </w:rPr>
            </w:pPr>
            <w:r w:rsidRPr="00033E65">
              <w:rPr>
                <w:b/>
                <w:bCs/>
                <w:color w:val="FFFFFF" w:themeColor="background1"/>
                <w:szCs w:val="22"/>
                <w:lang w:eastAsia="es-CR"/>
              </w:rPr>
              <w:t>Diferencia entre la entrada y la cuota esperada</w:t>
            </w:r>
          </w:p>
        </w:tc>
      </w:tr>
      <w:tr w:rsidR="007C3EBA" w:rsidRPr="00033E65" w14:paraId="7FBDC5C3" w14:textId="77777777" w:rsidTr="004F391E">
        <w:trPr>
          <w:trHeight w:val="1038"/>
        </w:trPr>
        <w:tc>
          <w:tcPr>
            <w:tcW w:w="3792" w:type="dxa"/>
            <w:tcBorders>
              <w:top w:val="nil"/>
              <w:left w:val="double" w:sz="6" w:space="0" w:color="1F497D"/>
              <w:bottom w:val="double" w:sz="6" w:space="0" w:color="1F497D"/>
              <w:right w:val="double" w:sz="6" w:space="0" w:color="1F497D"/>
            </w:tcBorders>
            <w:shd w:val="clear" w:color="auto" w:fill="auto"/>
            <w:noWrap/>
            <w:vAlign w:val="center"/>
            <w:hideMark/>
          </w:tcPr>
          <w:p w14:paraId="0E219C39" w14:textId="649CD618" w:rsidR="007C3EBA" w:rsidRPr="00033E65" w:rsidRDefault="007C3EBA" w:rsidP="00A9228E">
            <w:pPr>
              <w:spacing w:before="0" w:after="0"/>
              <w:rPr>
                <w:color w:val="000000"/>
                <w:szCs w:val="22"/>
                <w:lang w:eastAsia="es-CR"/>
              </w:rPr>
            </w:pPr>
            <w:r w:rsidRPr="00033E65">
              <w:rPr>
                <w:color w:val="000000"/>
                <w:szCs w:val="22"/>
                <w:lang w:eastAsia="es-CR"/>
              </w:rPr>
              <w:t>Juzgado Civil, Trabajo, Agrario, Familia, Penal Juvenil, Contra la Violencia Doméstica y Protección Cautelar II Circuito Judicial de Alajuela, sede Upala</w:t>
            </w:r>
          </w:p>
        </w:tc>
        <w:tc>
          <w:tcPr>
            <w:tcW w:w="0" w:type="auto"/>
            <w:tcBorders>
              <w:top w:val="nil"/>
              <w:left w:val="nil"/>
              <w:bottom w:val="double" w:sz="6" w:space="0" w:color="1F497D"/>
              <w:right w:val="double" w:sz="6" w:space="0" w:color="1F497D"/>
            </w:tcBorders>
            <w:shd w:val="clear" w:color="auto" w:fill="auto"/>
            <w:noWrap/>
            <w:vAlign w:val="center"/>
            <w:hideMark/>
          </w:tcPr>
          <w:p w14:paraId="3A72E1DE" w14:textId="23B74454" w:rsidR="007C3EBA" w:rsidRPr="00033E65" w:rsidRDefault="007C3EBA" w:rsidP="00A9228E">
            <w:pPr>
              <w:spacing w:before="0" w:after="0"/>
              <w:jc w:val="center"/>
              <w:rPr>
                <w:color w:val="000000"/>
                <w:szCs w:val="22"/>
                <w:lang w:eastAsia="es-CR"/>
              </w:rPr>
            </w:pPr>
            <w:r w:rsidRPr="00033E65">
              <w:rPr>
                <w:color w:val="000000"/>
                <w:szCs w:val="22"/>
                <w:lang w:eastAsia="es-CR"/>
              </w:rPr>
              <w:t>23</w:t>
            </w:r>
          </w:p>
        </w:tc>
        <w:tc>
          <w:tcPr>
            <w:tcW w:w="0" w:type="auto"/>
            <w:tcBorders>
              <w:top w:val="nil"/>
              <w:left w:val="nil"/>
              <w:bottom w:val="double" w:sz="6" w:space="0" w:color="1F497D"/>
              <w:right w:val="double" w:sz="6" w:space="0" w:color="1F497D"/>
            </w:tcBorders>
            <w:shd w:val="clear" w:color="auto" w:fill="auto"/>
            <w:noWrap/>
            <w:vAlign w:val="center"/>
            <w:hideMark/>
          </w:tcPr>
          <w:p w14:paraId="644FCD19" w14:textId="77777777" w:rsidR="007C3EBA" w:rsidRPr="00033E65" w:rsidRDefault="007C3EBA" w:rsidP="00A9228E">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647C34E9" w14:textId="77777777" w:rsidR="007C3EBA" w:rsidRPr="00033E65" w:rsidRDefault="007C3EBA" w:rsidP="00A9228E">
            <w:pPr>
              <w:spacing w:before="0" w:after="0"/>
              <w:jc w:val="center"/>
              <w:rPr>
                <w:color w:val="000000"/>
                <w:szCs w:val="22"/>
                <w:lang w:eastAsia="es-CR"/>
              </w:rPr>
            </w:pPr>
            <w:r w:rsidRPr="00033E65">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0C06C004" w14:textId="141E0730" w:rsidR="007C3EBA" w:rsidRPr="00033E65" w:rsidRDefault="007C3EBA" w:rsidP="00A9228E">
            <w:pPr>
              <w:spacing w:before="0" w:after="0"/>
              <w:jc w:val="center"/>
              <w:rPr>
                <w:color w:val="000000"/>
                <w:szCs w:val="22"/>
                <w:lang w:eastAsia="es-CR"/>
              </w:rPr>
            </w:pPr>
            <w:r w:rsidRPr="00033E65">
              <w:rPr>
                <w:color w:val="000000"/>
                <w:szCs w:val="22"/>
                <w:lang w:eastAsia="es-CR"/>
              </w:rPr>
              <w:t>100%</w:t>
            </w:r>
          </w:p>
        </w:tc>
        <w:tc>
          <w:tcPr>
            <w:tcW w:w="0" w:type="auto"/>
            <w:tcBorders>
              <w:top w:val="nil"/>
              <w:left w:val="nil"/>
              <w:bottom w:val="double" w:sz="6" w:space="0" w:color="1F497D"/>
              <w:right w:val="double" w:sz="6" w:space="0" w:color="1F497D"/>
            </w:tcBorders>
            <w:shd w:val="clear" w:color="auto" w:fill="auto"/>
            <w:noWrap/>
            <w:vAlign w:val="center"/>
            <w:hideMark/>
          </w:tcPr>
          <w:p w14:paraId="7A01061B" w14:textId="1387AA3A" w:rsidR="007C3EBA" w:rsidRPr="00033E65" w:rsidRDefault="007C3EBA" w:rsidP="00A9228E">
            <w:pPr>
              <w:spacing w:before="0" w:after="0"/>
              <w:jc w:val="center"/>
              <w:rPr>
                <w:color w:val="000000"/>
                <w:szCs w:val="22"/>
                <w:lang w:eastAsia="es-CR"/>
              </w:rPr>
            </w:pPr>
            <w:r w:rsidRPr="00033E65">
              <w:rPr>
                <w:color w:val="000000"/>
                <w:szCs w:val="22"/>
                <w:lang w:eastAsia="es-CR"/>
              </w:rPr>
              <w:t>15</w:t>
            </w:r>
          </w:p>
        </w:tc>
        <w:tc>
          <w:tcPr>
            <w:tcW w:w="1246" w:type="dxa"/>
            <w:tcBorders>
              <w:top w:val="nil"/>
              <w:left w:val="nil"/>
              <w:bottom w:val="double" w:sz="6" w:space="0" w:color="1F497D"/>
              <w:right w:val="double" w:sz="6" w:space="0" w:color="1F497D"/>
            </w:tcBorders>
            <w:shd w:val="clear" w:color="auto" w:fill="auto"/>
            <w:noWrap/>
            <w:vAlign w:val="center"/>
            <w:hideMark/>
          </w:tcPr>
          <w:p w14:paraId="145443E8" w14:textId="02BB6705" w:rsidR="007C3EBA" w:rsidRPr="00033E65" w:rsidRDefault="007C3EBA" w:rsidP="00A9228E">
            <w:pPr>
              <w:spacing w:before="0" w:after="0"/>
              <w:jc w:val="center"/>
              <w:rPr>
                <w:color w:val="000000"/>
                <w:szCs w:val="22"/>
                <w:lang w:eastAsia="es-CR"/>
              </w:rPr>
            </w:pPr>
            <w:r w:rsidRPr="00033E65">
              <w:rPr>
                <w:color w:val="000000"/>
                <w:szCs w:val="22"/>
                <w:lang w:eastAsia="es-CR"/>
              </w:rPr>
              <w:t>8</w:t>
            </w:r>
          </w:p>
        </w:tc>
      </w:tr>
      <w:tr w:rsidR="007C3EBA" w:rsidRPr="00033E65" w14:paraId="54ED4500" w14:textId="77777777" w:rsidTr="004F391E">
        <w:trPr>
          <w:trHeight w:val="529"/>
        </w:trPr>
        <w:tc>
          <w:tcPr>
            <w:tcW w:w="3792" w:type="dxa"/>
            <w:tcBorders>
              <w:top w:val="nil"/>
              <w:left w:val="double" w:sz="6" w:space="0" w:color="1F497D"/>
              <w:bottom w:val="double" w:sz="6" w:space="0" w:color="1F497D"/>
              <w:right w:val="double" w:sz="6" w:space="0" w:color="1F497D"/>
            </w:tcBorders>
            <w:shd w:val="clear" w:color="auto" w:fill="auto"/>
            <w:noWrap/>
            <w:vAlign w:val="center"/>
            <w:hideMark/>
          </w:tcPr>
          <w:p w14:paraId="2E58C9AB" w14:textId="1943CBEE" w:rsidR="007C3EBA" w:rsidRPr="00033E65" w:rsidRDefault="007C3EBA" w:rsidP="00A9228E">
            <w:pPr>
              <w:spacing w:before="0" w:after="0"/>
              <w:rPr>
                <w:color w:val="000000"/>
                <w:szCs w:val="22"/>
                <w:lang w:eastAsia="es-CR"/>
              </w:rPr>
            </w:pPr>
            <w:r w:rsidRPr="00033E65">
              <w:rPr>
                <w:color w:val="000000"/>
                <w:szCs w:val="22"/>
                <w:lang w:eastAsia="es-CR"/>
              </w:rPr>
              <w:t xml:space="preserve">Juzgado Civil, Trabajo, Familia, Agrario, Penal Juvenil, Contra la Violencia Doméstica y Protección Cautelar Buenos Aires </w:t>
            </w:r>
          </w:p>
        </w:tc>
        <w:tc>
          <w:tcPr>
            <w:tcW w:w="0" w:type="auto"/>
            <w:tcBorders>
              <w:top w:val="nil"/>
              <w:left w:val="nil"/>
              <w:bottom w:val="double" w:sz="6" w:space="0" w:color="1F497D"/>
              <w:right w:val="double" w:sz="6" w:space="0" w:color="1F497D"/>
            </w:tcBorders>
            <w:shd w:val="clear" w:color="auto" w:fill="auto"/>
            <w:noWrap/>
            <w:vAlign w:val="center"/>
            <w:hideMark/>
          </w:tcPr>
          <w:p w14:paraId="1F3D7A77" w14:textId="61C46029" w:rsidR="007C3EBA" w:rsidRPr="00033E65" w:rsidRDefault="007C3EBA" w:rsidP="00A9228E">
            <w:pPr>
              <w:spacing w:before="0" w:after="0"/>
              <w:jc w:val="center"/>
              <w:rPr>
                <w:color w:val="000000"/>
                <w:szCs w:val="22"/>
                <w:lang w:eastAsia="es-CR"/>
              </w:rPr>
            </w:pPr>
            <w:r w:rsidRPr="00033E65">
              <w:rPr>
                <w:color w:val="000000"/>
                <w:szCs w:val="22"/>
                <w:lang w:eastAsia="es-CR"/>
              </w:rPr>
              <w:t>11</w:t>
            </w:r>
          </w:p>
        </w:tc>
        <w:tc>
          <w:tcPr>
            <w:tcW w:w="0" w:type="auto"/>
            <w:tcBorders>
              <w:top w:val="nil"/>
              <w:left w:val="nil"/>
              <w:bottom w:val="double" w:sz="6" w:space="0" w:color="1F497D"/>
              <w:right w:val="double" w:sz="6" w:space="0" w:color="1F497D"/>
            </w:tcBorders>
            <w:shd w:val="clear" w:color="auto" w:fill="auto"/>
            <w:noWrap/>
            <w:vAlign w:val="center"/>
            <w:hideMark/>
          </w:tcPr>
          <w:p w14:paraId="148FFCCD" w14:textId="77777777" w:rsidR="007C3EBA" w:rsidRPr="00033E65" w:rsidRDefault="007C3EBA" w:rsidP="00A9228E">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72E20894" w14:textId="77777777" w:rsidR="007C3EBA" w:rsidRPr="00033E65" w:rsidRDefault="007C3EBA" w:rsidP="00A9228E">
            <w:pPr>
              <w:spacing w:before="0" w:after="0"/>
              <w:jc w:val="center"/>
              <w:rPr>
                <w:color w:val="000000"/>
                <w:szCs w:val="22"/>
                <w:lang w:eastAsia="es-CR"/>
              </w:rPr>
            </w:pPr>
            <w:r w:rsidRPr="00033E65">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64701A3D" w14:textId="0C035A4A" w:rsidR="007C3EBA" w:rsidRPr="00033E65" w:rsidRDefault="007C3EBA" w:rsidP="00A9228E">
            <w:pPr>
              <w:spacing w:before="0" w:after="0"/>
              <w:jc w:val="center"/>
              <w:rPr>
                <w:color w:val="000000"/>
                <w:szCs w:val="22"/>
                <w:lang w:eastAsia="es-CR"/>
              </w:rPr>
            </w:pPr>
            <w:r w:rsidRPr="00033E65">
              <w:rPr>
                <w:color w:val="000000"/>
                <w:szCs w:val="22"/>
                <w:lang w:eastAsia="es-CR"/>
              </w:rPr>
              <w:t>29%</w:t>
            </w:r>
          </w:p>
        </w:tc>
        <w:tc>
          <w:tcPr>
            <w:tcW w:w="0" w:type="auto"/>
            <w:tcBorders>
              <w:top w:val="nil"/>
              <w:left w:val="nil"/>
              <w:bottom w:val="double" w:sz="6" w:space="0" w:color="1F497D"/>
              <w:right w:val="double" w:sz="6" w:space="0" w:color="1F497D"/>
            </w:tcBorders>
            <w:shd w:val="clear" w:color="auto" w:fill="auto"/>
            <w:noWrap/>
            <w:vAlign w:val="center"/>
            <w:hideMark/>
          </w:tcPr>
          <w:p w14:paraId="3BAB7565" w14:textId="47B3E47B" w:rsidR="007C3EBA" w:rsidRPr="00033E65" w:rsidRDefault="007C3EBA" w:rsidP="00A9228E">
            <w:pPr>
              <w:spacing w:before="0" w:after="0"/>
              <w:jc w:val="center"/>
              <w:rPr>
                <w:color w:val="000000"/>
                <w:szCs w:val="22"/>
                <w:lang w:eastAsia="es-CR"/>
              </w:rPr>
            </w:pPr>
            <w:r w:rsidRPr="00033E65">
              <w:rPr>
                <w:color w:val="000000"/>
                <w:szCs w:val="22"/>
                <w:lang w:eastAsia="es-CR"/>
              </w:rPr>
              <w:t>5</w:t>
            </w:r>
          </w:p>
        </w:tc>
        <w:tc>
          <w:tcPr>
            <w:tcW w:w="1246" w:type="dxa"/>
            <w:tcBorders>
              <w:top w:val="nil"/>
              <w:left w:val="nil"/>
              <w:bottom w:val="double" w:sz="6" w:space="0" w:color="1F497D"/>
              <w:right w:val="double" w:sz="6" w:space="0" w:color="1F497D"/>
            </w:tcBorders>
            <w:shd w:val="clear" w:color="auto" w:fill="auto"/>
            <w:noWrap/>
            <w:vAlign w:val="center"/>
            <w:hideMark/>
          </w:tcPr>
          <w:p w14:paraId="3BC3785C" w14:textId="150E68E8" w:rsidR="007C3EBA" w:rsidRPr="00033E65" w:rsidRDefault="007C3EBA" w:rsidP="00A9228E">
            <w:pPr>
              <w:spacing w:before="0" w:after="0"/>
              <w:jc w:val="center"/>
              <w:rPr>
                <w:color w:val="000000"/>
                <w:szCs w:val="22"/>
                <w:lang w:eastAsia="es-CR"/>
              </w:rPr>
            </w:pPr>
            <w:r w:rsidRPr="00033E65">
              <w:rPr>
                <w:color w:val="000000"/>
                <w:szCs w:val="22"/>
                <w:lang w:eastAsia="es-CR"/>
              </w:rPr>
              <w:t>6</w:t>
            </w:r>
          </w:p>
        </w:tc>
      </w:tr>
      <w:tr w:rsidR="007C3EBA" w:rsidRPr="00033E65" w14:paraId="1B01937C" w14:textId="77777777" w:rsidTr="004F391E">
        <w:trPr>
          <w:trHeight w:val="333"/>
        </w:trPr>
        <w:tc>
          <w:tcPr>
            <w:tcW w:w="3792" w:type="dxa"/>
            <w:tcBorders>
              <w:top w:val="nil"/>
              <w:left w:val="double" w:sz="6" w:space="0" w:color="1F497D"/>
              <w:bottom w:val="double" w:sz="6" w:space="0" w:color="1F497D"/>
              <w:right w:val="double" w:sz="6" w:space="0" w:color="1F497D"/>
            </w:tcBorders>
            <w:shd w:val="clear" w:color="auto" w:fill="auto"/>
            <w:noWrap/>
            <w:vAlign w:val="center"/>
            <w:hideMark/>
          </w:tcPr>
          <w:p w14:paraId="2D7CFA33" w14:textId="77777777" w:rsidR="007C3EBA" w:rsidRPr="00033E65" w:rsidRDefault="007C3EBA" w:rsidP="00A9228E">
            <w:pPr>
              <w:spacing w:before="0" w:after="0"/>
              <w:rPr>
                <w:color w:val="000000"/>
                <w:szCs w:val="22"/>
                <w:lang w:eastAsia="es-CR"/>
              </w:rPr>
            </w:pPr>
            <w:r w:rsidRPr="00033E65">
              <w:rPr>
                <w:color w:val="000000"/>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2E975144" w14:textId="3D78EC35" w:rsidR="007C3EBA" w:rsidRPr="00033E65" w:rsidRDefault="007C3EBA" w:rsidP="00A9228E">
            <w:pPr>
              <w:spacing w:before="0" w:after="0"/>
              <w:jc w:val="center"/>
              <w:rPr>
                <w:color w:val="000000"/>
                <w:szCs w:val="22"/>
                <w:lang w:eastAsia="es-CR"/>
              </w:rPr>
            </w:pPr>
            <w:r w:rsidRPr="00033E65">
              <w:rPr>
                <w:color w:val="000000"/>
                <w:szCs w:val="22"/>
                <w:lang w:eastAsia="es-CR"/>
              </w:rPr>
              <w:t>10</w:t>
            </w:r>
          </w:p>
        </w:tc>
        <w:tc>
          <w:tcPr>
            <w:tcW w:w="0" w:type="auto"/>
            <w:tcBorders>
              <w:top w:val="nil"/>
              <w:left w:val="nil"/>
              <w:bottom w:val="double" w:sz="6" w:space="0" w:color="1F497D"/>
              <w:right w:val="double" w:sz="6" w:space="0" w:color="1F497D"/>
            </w:tcBorders>
            <w:shd w:val="clear" w:color="auto" w:fill="auto"/>
            <w:noWrap/>
            <w:vAlign w:val="center"/>
            <w:hideMark/>
          </w:tcPr>
          <w:p w14:paraId="7E157644" w14:textId="77777777" w:rsidR="007C3EBA" w:rsidRPr="00033E65" w:rsidRDefault="007C3EBA" w:rsidP="00A9228E">
            <w:pPr>
              <w:spacing w:before="0" w:after="0"/>
              <w:jc w:val="center"/>
              <w:rPr>
                <w:color w:val="000000"/>
                <w:szCs w:val="22"/>
                <w:lang w:eastAsia="es-CR"/>
              </w:rPr>
            </w:pPr>
            <w:r w:rsidRPr="00033E65">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1867035F" w14:textId="77777777" w:rsidR="007C3EBA" w:rsidRPr="00033E65" w:rsidRDefault="007C3EBA" w:rsidP="00A9228E">
            <w:pPr>
              <w:spacing w:before="0" w:after="0"/>
              <w:jc w:val="center"/>
              <w:rPr>
                <w:color w:val="000000"/>
                <w:szCs w:val="22"/>
                <w:lang w:eastAsia="es-CR"/>
              </w:rPr>
            </w:pPr>
            <w:r w:rsidRPr="00033E65">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42F8FFF2" w14:textId="5AB20B43" w:rsidR="007C3EBA" w:rsidRPr="00033E65" w:rsidRDefault="007C3EBA" w:rsidP="00A9228E">
            <w:pPr>
              <w:spacing w:before="0" w:after="0"/>
              <w:jc w:val="center"/>
              <w:rPr>
                <w:color w:val="000000"/>
                <w:szCs w:val="22"/>
                <w:lang w:eastAsia="es-CR"/>
              </w:rPr>
            </w:pPr>
            <w:r w:rsidRPr="00033E65">
              <w:rPr>
                <w:color w:val="000000"/>
                <w:szCs w:val="22"/>
                <w:lang w:eastAsia="es-CR"/>
              </w:rPr>
              <w:t>27%</w:t>
            </w:r>
          </w:p>
        </w:tc>
        <w:tc>
          <w:tcPr>
            <w:tcW w:w="0" w:type="auto"/>
            <w:tcBorders>
              <w:top w:val="nil"/>
              <w:left w:val="nil"/>
              <w:bottom w:val="double" w:sz="6" w:space="0" w:color="1F497D"/>
              <w:right w:val="double" w:sz="6" w:space="0" w:color="1F497D"/>
            </w:tcBorders>
            <w:shd w:val="clear" w:color="auto" w:fill="auto"/>
            <w:noWrap/>
            <w:vAlign w:val="center"/>
            <w:hideMark/>
          </w:tcPr>
          <w:p w14:paraId="657FB5BD" w14:textId="5EDF32DA" w:rsidR="007C3EBA" w:rsidRPr="00033E65" w:rsidRDefault="007C3EBA" w:rsidP="00A9228E">
            <w:pPr>
              <w:spacing w:before="0" w:after="0"/>
              <w:jc w:val="center"/>
              <w:rPr>
                <w:color w:val="000000"/>
                <w:szCs w:val="22"/>
                <w:lang w:eastAsia="es-CR"/>
              </w:rPr>
            </w:pPr>
            <w:r w:rsidRPr="00033E65">
              <w:rPr>
                <w:color w:val="000000"/>
                <w:szCs w:val="22"/>
                <w:lang w:eastAsia="es-CR"/>
              </w:rPr>
              <w:t>4</w:t>
            </w:r>
          </w:p>
        </w:tc>
        <w:tc>
          <w:tcPr>
            <w:tcW w:w="1246" w:type="dxa"/>
            <w:tcBorders>
              <w:top w:val="nil"/>
              <w:left w:val="nil"/>
              <w:bottom w:val="double" w:sz="6" w:space="0" w:color="1F497D"/>
              <w:right w:val="double" w:sz="6" w:space="0" w:color="1F497D"/>
            </w:tcBorders>
            <w:shd w:val="clear" w:color="auto" w:fill="auto"/>
            <w:noWrap/>
            <w:vAlign w:val="center"/>
            <w:hideMark/>
          </w:tcPr>
          <w:p w14:paraId="6F6BF0CB" w14:textId="3060A517" w:rsidR="007C3EBA" w:rsidRPr="00033E65" w:rsidRDefault="007C3EBA" w:rsidP="00A9228E">
            <w:pPr>
              <w:spacing w:before="0" w:after="0"/>
              <w:jc w:val="center"/>
              <w:rPr>
                <w:color w:val="000000"/>
                <w:szCs w:val="22"/>
                <w:lang w:eastAsia="es-CR"/>
              </w:rPr>
            </w:pPr>
            <w:r w:rsidRPr="00033E65">
              <w:rPr>
                <w:color w:val="000000"/>
                <w:szCs w:val="22"/>
                <w:lang w:eastAsia="es-CR"/>
              </w:rPr>
              <w:t>6</w:t>
            </w:r>
          </w:p>
        </w:tc>
      </w:tr>
    </w:tbl>
    <w:p w14:paraId="15E0C0C6" w14:textId="73796E5E" w:rsidR="00623115" w:rsidRPr="00033E65" w:rsidRDefault="00A9228E" w:rsidP="0087671C">
      <w:pPr>
        <w:ind w:left="-850"/>
      </w:pPr>
      <w:r w:rsidRPr="00033E65">
        <w:rPr>
          <w:b/>
          <w:i/>
          <w:sz w:val="18"/>
          <w:lang w:eastAsia="en-US"/>
        </w:rPr>
        <w:t xml:space="preserve">Fuente: </w:t>
      </w:r>
      <w:r w:rsidRPr="00033E65">
        <w:rPr>
          <w:b/>
          <w:i/>
          <w:sz w:val="18"/>
        </w:rPr>
        <w:t>Subproceso de Modernización Institucional</w:t>
      </w:r>
      <w:r w:rsidR="00D92478" w:rsidRPr="00033E65">
        <w:rPr>
          <w:b/>
          <w:i/>
          <w:sz w:val="18"/>
        </w:rPr>
        <w:t>, área No Penal</w:t>
      </w:r>
      <w:r w:rsidR="00007BC1" w:rsidRPr="00033E65">
        <w:rPr>
          <w:b/>
          <w:i/>
          <w:sz w:val="18"/>
        </w:rPr>
        <w:t>,</w:t>
      </w:r>
      <w:r w:rsidRPr="00033E65">
        <w:rPr>
          <w:b/>
          <w:i/>
          <w:sz w:val="18"/>
        </w:rPr>
        <w:t xml:space="preserve"> </w:t>
      </w:r>
      <w:r w:rsidRPr="00033E65">
        <w:rPr>
          <w:b/>
          <w:i/>
          <w:sz w:val="18"/>
          <w:lang w:eastAsia="en-US"/>
        </w:rPr>
        <w:t xml:space="preserve">con base en </w:t>
      </w:r>
      <w:r w:rsidR="009A03D3" w:rsidRPr="00033E65">
        <w:rPr>
          <w:b/>
          <w:i/>
          <w:sz w:val="18"/>
          <w:lang w:eastAsia="en-US"/>
        </w:rPr>
        <w:t>el Balance General Interactivo de la página web de la Dirección de Planificación</w:t>
      </w:r>
    </w:p>
    <w:p w14:paraId="1E8C2CF1" w14:textId="24C5F68F" w:rsidR="004B4778" w:rsidRPr="00033E65" w:rsidRDefault="00DB597D" w:rsidP="00EA2EF2">
      <w:r w:rsidRPr="00033E65">
        <w:t xml:space="preserve">Para </w:t>
      </w:r>
      <w:r w:rsidR="00EA2EF2" w:rsidRPr="00033E65">
        <w:t>los Juzgados de Buenos Aires y Turrialba</w:t>
      </w:r>
      <w:r w:rsidR="004672D9" w:rsidRPr="00033E65">
        <w:t xml:space="preserve"> </w:t>
      </w:r>
      <w:r w:rsidRPr="00033E65">
        <w:t xml:space="preserve">proporcionalmente cuentan con </w:t>
      </w:r>
      <w:r w:rsidR="00B13A00" w:rsidRPr="00033E65">
        <w:t>45</w:t>
      </w:r>
      <w:r w:rsidRPr="00033E65">
        <w:t xml:space="preserve">% y un </w:t>
      </w:r>
      <w:r w:rsidR="00931347" w:rsidRPr="00033E65">
        <w:t>40</w:t>
      </w:r>
      <w:r w:rsidR="00EA2EF2" w:rsidRPr="00033E65">
        <w:t>% respectivamente, de capacidad en la atención de la materia Agraria. En Buenos Aires, tiene capacidad d</w:t>
      </w:r>
      <w:r w:rsidRPr="00033E65">
        <w:t xml:space="preserve">e atender </w:t>
      </w:r>
      <w:r w:rsidR="004672D9" w:rsidRPr="00033E65">
        <w:t>cinco</w:t>
      </w:r>
      <w:r w:rsidRPr="00033E65">
        <w:t xml:space="preserve"> (</w:t>
      </w:r>
      <w:r w:rsidR="004672D9" w:rsidRPr="00033E65">
        <w:t>5</w:t>
      </w:r>
      <w:r w:rsidRPr="00033E65">
        <w:t xml:space="preserve">) casos al mes y Turrialba de </w:t>
      </w:r>
      <w:r w:rsidR="004672D9" w:rsidRPr="00033E65">
        <w:t xml:space="preserve">cuatro </w:t>
      </w:r>
      <w:r w:rsidR="00932070" w:rsidRPr="00033E65">
        <w:t>(</w:t>
      </w:r>
      <w:r w:rsidR="005D6B8C" w:rsidRPr="00033E65">
        <w:t>4</w:t>
      </w:r>
      <w:r w:rsidR="00932070" w:rsidRPr="00033E65">
        <w:t>)</w:t>
      </w:r>
      <w:r w:rsidRPr="00033E65">
        <w:t xml:space="preserve"> casos al mes, </w:t>
      </w:r>
      <w:r w:rsidR="00AA352D" w:rsidRPr="00033E65">
        <w:t>a estos</w:t>
      </w:r>
      <w:r w:rsidRPr="00033E65">
        <w:t xml:space="preserve"> despacho</w:t>
      </w:r>
      <w:r w:rsidR="00AA352D" w:rsidRPr="00033E65">
        <w:t>s</w:t>
      </w:r>
      <w:r w:rsidRPr="00033E65">
        <w:t xml:space="preserve"> le ingresa un promedio de 1</w:t>
      </w:r>
      <w:r w:rsidR="005D6B8C" w:rsidRPr="00033E65">
        <w:t>1</w:t>
      </w:r>
      <w:r w:rsidR="00EA2EF2" w:rsidRPr="00033E65">
        <w:t xml:space="preserve"> casos al mes.</w:t>
      </w:r>
    </w:p>
    <w:p w14:paraId="1029C51E" w14:textId="599085CB" w:rsidR="007C3EBA" w:rsidRPr="00033E65" w:rsidRDefault="00DD36D3" w:rsidP="00EA2EF2">
      <w:pPr>
        <w:rPr>
          <w:b/>
          <w:bCs/>
        </w:rPr>
      </w:pPr>
      <w:bookmarkStart w:id="172" w:name="_Hlk130201498"/>
      <w:r w:rsidRPr="00033E65">
        <w:rPr>
          <w:b/>
          <w:bCs/>
        </w:rPr>
        <w:t xml:space="preserve">Se reitera en el presente informe la propuesta incluida en el informe 316-PLA-MI-RH-2022 relacionada al traslado de competencia territorial del Juzgado Agrario de Liberia y Juzgado Mixto de Upala, la cual nace a raíz </w:t>
      </w:r>
      <w:r w:rsidR="009900AB" w:rsidRPr="00033E65">
        <w:rPr>
          <w:b/>
          <w:bCs/>
        </w:rPr>
        <w:t>del taller interno en materia agraria realizado por esta Dirección,</w:t>
      </w:r>
      <w:r w:rsidRPr="00033E65">
        <w:rPr>
          <w:b/>
          <w:bCs/>
        </w:rPr>
        <w:t xml:space="preserve"> dicha propuesta será remitida a Corte Plena en un oficio independiente para su análisis y aprobación.</w:t>
      </w:r>
    </w:p>
    <w:bookmarkEnd w:id="172"/>
    <w:p w14:paraId="402176A3" w14:textId="285F80C7" w:rsidR="0062715D" w:rsidRPr="00033E65" w:rsidRDefault="00045DB5" w:rsidP="00EA2EF2">
      <w:r w:rsidRPr="00033E65">
        <w:t xml:space="preserve">Por otro lado, </w:t>
      </w:r>
      <w:r w:rsidR="0062715D" w:rsidRPr="00033E65">
        <w:t>en el informe 555-PLA-RH-MI-2020, realizado en abril del 2020 por la Dirección de Planificación, relacionado “Impacto organizacional y presupuestario en el Poder Judicial a partir de la promulgación del Nuevo Código Procesal Agrario para el 2021 Ley 9609”, se realizó la propuesta de incorporar una plaza de persona juzgadora competente con la materia Agraria. Lo anterior a raíz de contar con una carga de trabajo de</w:t>
      </w:r>
      <w:r w:rsidR="00F04DED" w:rsidRPr="00033E65">
        <w:t xml:space="preserve"> </w:t>
      </w:r>
      <w:r w:rsidR="0062715D" w:rsidRPr="00033E65">
        <w:t>23 casos mensuales, lo cual se ubica dentro del parámetro de especialización, de 20 a 30 casos entrados mensuales por persona juzgadora.</w:t>
      </w:r>
      <w:r w:rsidR="00D13C9A" w:rsidRPr="00033E65">
        <w:t xml:space="preserve"> </w:t>
      </w:r>
      <w:r w:rsidR="0062715D" w:rsidRPr="00033E65">
        <w:t xml:space="preserve">Bajo el mismo criterio, se mantiene la propuesta en el presente informe al cumplirse con el mismo promedio de ingreso (23 casos por persona juzgadora), por lo que se deben presupuestar los costos que implican entre mobiliario y equipo de cómputo, para el ejercicio de la persona juzgadora propuesta.  </w:t>
      </w:r>
    </w:p>
    <w:p w14:paraId="7FB03ECF" w14:textId="77777777" w:rsidR="00B9057D" w:rsidRPr="00033E65" w:rsidRDefault="001D5865" w:rsidP="001D5865">
      <w:pPr>
        <w:pStyle w:val="Pa2"/>
        <w:spacing w:before="120" w:after="120" w:line="240" w:lineRule="auto"/>
        <w:jc w:val="both"/>
        <w:rPr>
          <w:rFonts w:ascii="Book Antiqua" w:hAnsi="Book Antiqua" w:cs="Times-Roman"/>
          <w:sz w:val="22"/>
          <w:lang w:val="es-CR"/>
        </w:rPr>
      </w:pPr>
      <w:r w:rsidRPr="00033E65">
        <w:rPr>
          <w:rFonts w:ascii="Book Antiqua" w:hAnsi="Book Antiqua" w:cs="Times-Roman"/>
          <w:sz w:val="22"/>
          <w:lang w:val="es-CR"/>
        </w:rPr>
        <w:lastRenderedPageBreak/>
        <w:t xml:space="preserve">La plaza recomendada de Jueza o Juez Agrario estaría asumiendo la materia Agraria al igual que la personal juzgador que actualmente atiende la materia, ambas con una cuota de 15 casos terminados al mes, de los cuales seis (6) deben ser por sentencia dictada, sentencia en ejecución y homologatorias y nueve (9) terminados por otros motivos. </w:t>
      </w:r>
    </w:p>
    <w:p w14:paraId="387C609D" w14:textId="386D3E21" w:rsidR="00B9057D" w:rsidRPr="00033E65" w:rsidRDefault="00B9057D" w:rsidP="001D5865">
      <w:pPr>
        <w:pStyle w:val="Pa2"/>
        <w:spacing w:before="120" w:after="120" w:line="240" w:lineRule="auto"/>
        <w:jc w:val="both"/>
        <w:rPr>
          <w:rFonts w:ascii="Book Antiqua" w:hAnsi="Book Antiqua" w:cs="Times-Roman"/>
          <w:sz w:val="22"/>
          <w:lang w:val="es-CR"/>
        </w:rPr>
      </w:pPr>
      <w:r w:rsidRPr="00033E65">
        <w:rPr>
          <w:rFonts w:ascii="Book Antiqua" w:hAnsi="Book Antiqua" w:cs="Times-Roman"/>
          <w:sz w:val="22"/>
          <w:lang w:val="es-CR"/>
        </w:rPr>
        <w:t xml:space="preserve">En consulta realizada a la Dirección Ejecutiva </w:t>
      </w:r>
      <w:r w:rsidR="00D779AF" w:rsidRPr="00033E65">
        <w:rPr>
          <w:rFonts w:ascii="Book Antiqua" w:hAnsi="Book Antiqua" w:cs="Times-Roman"/>
          <w:sz w:val="22"/>
          <w:lang w:val="es-CR"/>
        </w:rPr>
        <w:t xml:space="preserve">el 07 de marzo 2023 </w:t>
      </w:r>
      <w:r w:rsidRPr="00033E65">
        <w:rPr>
          <w:rFonts w:ascii="Book Antiqua" w:hAnsi="Book Antiqua" w:cs="Times-Roman"/>
          <w:sz w:val="22"/>
          <w:lang w:val="es-CR"/>
        </w:rPr>
        <w:t>en relación</w:t>
      </w:r>
      <w:r w:rsidR="00D779AF" w:rsidRPr="00033E65">
        <w:rPr>
          <w:rFonts w:ascii="Book Antiqua" w:hAnsi="Book Antiqua" w:cs="Times-Roman"/>
          <w:sz w:val="22"/>
          <w:lang w:val="es-CR"/>
        </w:rPr>
        <w:t xml:space="preserve"> </w:t>
      </w:r>
      <w:r w:rsidRPr="00033E65">
        <w:rPr>
          <w:rFonts w:ascii="Book Antiqua" w:hAnsi="Book Antiqua" w:cs="Times-Roman"/>
          <w:sz w:val="22"/>
          <w:lang w:val="es-CR"/>
        </w:rPr>
        <w:t>con el espacio físico para albergar una nueva plaza de jueza o juez</w:t>
      </w:r>
      <w:r w:rsidR="00DF1AA5" w:rsidRPr="00033E65">
        <w:rPr>
          <w:rFonts w:ascii="Book Antiqua" w:hAnsi="Book Antiqua" w:cs="Times-Roman"/>
          <w:sz w:val="22"/>
          <w:lang w:val="es-CR"/>
        </w:rPr>
        <w:t xml:space="preserve"> </w:t>
      </w:r>
      <w:r w:rsidR="00C11615" w:rsidRPr="00033E65">
        <w:rPr>
          <w:rFonts w:ascii="Book Antiqua" w:hAnsi="Book Antiqua" w:cs="Times-Roman"/>
          <w:i/>
          <w:iCs/>
          <w:sz w:val="22"/>
          <w:lang w:val="es-CR"/>
        </w:rPr>
        <w:t xml:space="preserve">(ver anexo </w:t>
      </w:r>
      <w:r w:rsidR="003A7AE1" w:rsidRPr="00033E65">
        <w:rPr>
          <w:rFonts w:ascii="Book Antiqua" w:hAnsi="Book Antiqua" w:cs="Times-Roman"/>
          <w:i/>
          <w:iCs/>
          <w:sz w:val="22"/>
          <w:lang w:val="es-CR"/>
        </w:rPr>
        <w:t>11</w:t>
      </w:r>
      <w:r w:rsidR="00DF1AA5" w:rsidRPr="00033E65">
        <w:rPr>
          <w:rFonts w:ascii="Book Antiqua" w:hAnsi="Book Antiqua" w:cs="Times-Roman"/>
          <w:i/>
          <w:iCs/>
          <w:sz w:val="22"/>
          <w:lang w:val="es-CR"/>
        </w:rPr>
        <w:t>)</w:t>
      </w:r>
      <w:r w:rsidRPr="00033E65">
        <w:rPr>
          <w:rFonts w:ascii="Book Antiqua" w:hAnsi="Book Antiqua" w:cs="Times-Roman"/>
          <w:sz w:val="22"/>
          <w:lang w:val="es-CR"/>
        </w:rPr>
        <w:t xml:space="preserve">, remite: </w:t>
      </w:r>
    </w:p>
    <w:p w14:paraId="334D1413" w14:textId="326FEB50" w:rsidR="006B3CC8" w:rsidRPr="00033E65" w:rsidRDefault="006B3CC8" w:rsidP="006B3CC8">
      <w:pPr>
        <w:spacing w:before="240" w:after="240"/>
        <w:ind w:right="51" w:firstLine="709"/>
        <w:rPr>
          <w:i/>
          <w:iCs/>
          <w:sz w:val="24"/>
          <w:szCs w:val="24"/>
          <w:lang w:eastAsia="zh-CN"/>
        </w:rPr>
      </w:pPr>
      <w:r w:rsidRPr="00033E65">
        <w:rPr>
          <w:i/>
          <w:iCs/>
          <w:sz w:val="24"/>
          <w:szCs w:val="24"/>
          <w:lang w:eastAsia="zh-CN"/>
        </w:rPr>
        <w:t>“en relación con el espacio físico para albergar una nueva plaza de jueza o juez dentro de la competencia de la Administración de San Carlos para el Juzgado Mixto de Upala, se informa que aún se pueden adecuar las necesidades conforme lo mencionado en su momento, lo anterior según lo expresa el Lic. Alexander Matarrita Casanova en respuesta dada el 14 de marzo del presente año.”</w:t>
      </w:r>
    </w:p>
    <w:p w14:paraId="192574A6" w14:textId="38BE004E" w:rsidR="001D5865" w:rsidRPr="00033E65" w:rsidRDefault="001D5865" w:rsidP="001D5865">
      <w:r w:rsidRPr="00033E65">
        <w:t xml:space="preserve">Las funciones del personal juzgador se encuentran establecidas en el perfil competencial de la Dirección de Gestión Humana según sea la clase de puesto, información que se puede accesar a la mediante la dirección electrónica dirección </w:t>
      </w:r>
      <w:hyperlink r:id="rId16" w:history="1">
        <w:r w:rsidRPr="00033E65">
          <w:rPr>
            <w:rStyle w:val="Hipervnculo"/>
            <w:rFonts w:cs="Times-Roman"/>
            <w:szCs w:val="24"/>
          </w:rPr>
          <w:t>http://intranet/gestionhumana/index.php/manual-perfiles</w:t>
        </w:r>
      </w:hyperlink>
      <w:r w:rsidRPr="00033E65">
        <w:rPr>
          <w:rFonts w:cs="Times-Roman"/>
          <w:szCs w:val="24"/>
        </w:rPr>
        <w:t>.</w:t>
      </w:r>
      <w:r w:rsidRPr="00033E65">
        <w:t xml:space="preserve"> En dicho perfil se define los conocimientos, habilidades y experiencia imprescindibles para el desempeño y ejecución de las tareas. Sin embargo, se hace de suma importancia resumir las principales actividades que tendrá las personas del equipo de trabajo:</w:t>
      </w:r>
    </w:p>
    <w:p w14:paraId="4CF8BADA" w14:textId="5814703D" w:rsidR="001D5865" w:rsidRPr="00033E65" w:rsidRDefault="001D5865"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Cuadro </w:t>
      </w:r>
      <w:r w:rsidR="00475C11" w:rsidRPr="00033E65">
        <w:rPr>
          <w:rFonts w:eastAsia="Times New Roman" w:cs="Arial"/>
          <w:iCs/>
          <w:spacing w:val="0"/>
          <w:szCs w:val="28"/>
          <w:lang w:val="es-CR" w:eastAsia="es-ES"/>
        </w:rPr>
        <w:t>11</w:t>
      </w:r>
    </w:p>
    <w:p w14:paraId="7D252006" w14:textId="27817BAE" w:rsidR="001D5865" w:rsidRPr="00033E65" w:rsidRDefault="001D5865" w:rsidP="003F0A3A">
      <w:pPr>
        <w:pStyle w:val="Ttulo"/>
        <w:spacing w:before="0"/>
        <w:jc w:val="center"/>
        <w:rPr>
          <w:rFonts w:eastAsia="Times New Roman" w:cs="Arial"/>
          <w:iCs/>
          <w:spacing w:val="0"/>
          <w:szCs w:val="28"/>
          <w:lang w:val="es-CR" w:eastAsia="es-ES"/>
        </w:rPr>
      </w:pPr>
      <w:r w:rsidRPr="00033E65">
        <w:rPr>
          <w:rFonts w:eastAsia="Times New Roman" w:cs="Arial"/>
          <w:iCs/>
          <w:spacing w:val="0"/>
          <w:szCs w:val="28"/>
          <w:lang w:val="es-CR" w:eastAsia="es-ES"/>
        </w:rPr>
        <w:t>Funciones específicas del Personal Juzgador</w:t>
      </w:r>
    </w:p>
    <w:tbl>
      <w:tblPr>
        <w:tblW w:w="0" w:type="auto"/>
        <w:tblCellMar>
          <w:left w:w="70" w:type="dxa"/>
          <w:right w:w="70" w:type="dxa"/>
        </w:tblCellMar>
        <w:tblLook w:val="04A0" w:firstRow="1" w:lastRow="0" w:firstColumn="1" w:lastColumn="0" w:noHBand="0" w:noVBand="1"/>
      </w:tblPr>
      <w:tblGrid>
        <w:gridCol w:w="1559"/>
        <w:gridCol w:w="7233"/>
      </w:tblGrid>
      <w:tr w:rsidR="001D5865" w:rsidRPr="00033E65" w14:paraId="361C0EDA" w14:textId="77777777" w:rsidTr="001D5865">
        <w:trPr>
          <w:trHeight w:val="312"/>
          <w:tblHeader/>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44A766D" w14:textId="77777777" w:rsidR="001D5865" w:rsidRPr="00033E65" w:rsidRDefault="001D5865" w:rsidP="0021217A">
            <w:pPr>
              <w:spacing w:before="0" w:after="0"/>
              <w:jc w:val="center"/>
              <w:rPr>
                <w:b/>
                <w:bCs/>
                <w:color w:val="FFFFFF" w:themeColor="background1"/>
                <w:szCs w:val="22"/>
                <w:lang w:eastAsia="es-CR"/>
              </w:rPr>
            </w:pPr>
            <w:r w:rsidRPr="00033E65">
              <w:rPr>
                <w:b/>
                <w:bCs/>
                <w:color w:val="FFFFFF" w:themeColor="background1"/>
                <w:szCs w:val="22"/>
                <w:lang w:eastAsia="es-CR"/>
              </w:rPr>
              <w:t>Personal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7ADEAF9" w14:textId="77777777" w:rsidR="001D5865" w:rsidRPr="00033E65" w:rsidRDefault="001D5865" w:rsidP="0021217A">
            <w:pPr>
              <w:spacing w:before="0" w:after="0"/>
              <w:jc w:val="center"/>
              <w:rPr>
                <w:b/>
                <w:bCs/>
                <w:color w:val="FFFFFF" w:themeColor="background1"/>
                <w:szCs w:val="22"/>
                <w:lang w:eastAsia="es-CR"/>
              </w:rPr>
            </w:pPr>
            <w:r w:rsidRPr="00033E65">
              <w:rPr>
                <w:b/>
                <w:bCs/>
                <w:color w:val="FFFFFF" w:themeColor="background1"/>
                <w:szCs w:val="22"/>
                <w:lang w:eastAsia="es-CR"/>
              </w:rPr>
              <w:t>Funciones</w:t>
            </w:r>
          </w:p>
        </w:tc>
      </w:tr>
      <w:tr w:rsidR="001D5865" w:rsidRPr="00033E65" w14:paraId="69D25965" w14:textId="77777777" w:rsidTr="0021217A">
        <w:trPr>
          <w:trHeight w:val="300"/>
        </w:trPr>
        <w:tc>
          <w:tcPr>
            <w:tcW w:w="0" w:type="auto"/>
            <w:vMerge w:val="restart"/>
            <w:tcBorders>
              <w:top w:val="nil"/>
              <w:left w:val="double" w:sz="6" w:space="0" w:color="1F497D"/>
              <w:bottom w:val="double" w:sz="6" w:space="0" w:color="1F497D"/>
              <w:right w:val="double" w:sz="6" w:space="0" w:color="1F497D"/>
            </w:tcBorders>
            <w:shd w:val="clear" w:color="auto" w:fill="auto"/>
            <w:vAlign w:val="center"/>
            <w:hideMark/>
          </w:tcPr>
          <w:p w14:paraId="6D72841B" w14:textId="77777777" w:rsidR="001D5865" w:rsidRPr="00033E65" w:rsidRDefault="001D5865" w:rsidP="0021217A">
            <w:pPr>
              <w:spacing w:before="0" w:after="0"/>
              <w:jc w:val="center"/>
              <w:rPr>
                <w:b/>
                <w:bCs/>
                <w:szCs w:val="22"/>
                <w:lang w:eastAsia="es-CR"/>
              </w:rPr>
            </w:pPr>
            <w:r w:rsidRPr="00033E65">
              <w:rPr>
                <w:b/>
                <w:bCs/>
                <w:szCs w:val="22"/>
                <w:lang w:val="es-ES" w:eastAsia="es-CR"/>
              </w:rPr>
              <w:t>Juezas o Jueces</w:t>
            </w:r>
          </w:p>
        </w:tc>
        <w:tc>
          <w:tcPr>
            <w:tcW w:w="0" w:type="auto"/>
            <w:tcBorders>
              <w:top w:val="nil"/>
              <w:left w:val="nil"/>
              <w:bottom w:val="nil"/>
              <w:right w:val="double" w:sz="6" w:space="0" w:color="1F497D"/>
            </w:tcBorders>
            <w:shd w:val="clear" w:color="auto" w:fill="auto"/>
            <w:vAlign w:val="center"/>
            <w:hideMark/>
          </w:tcPr>
          <w:p w14:paraId="5D42E183" w14:textId="77777777" w:rsidR="001D5865" w:rsidRPr="00033E65" w:rsidRDefault="001D5865" w:rsidP="0021217A">
            <w:pPr>
              <w:spacing w:before="0" w:after="0"/>
              <w:rPr>
                <w:szCs w:val="22"/>
                <w:lang w:eastAsia="es-CR"/>
              </w:rPr>
            </w:pPr>
            <w:r w:rsidRPr="00033E65">
              <w:rPr>
                <w:szCs w:val="22"/>
                <w:lang w:val="es-ES" w:eastAsia="es-CR"/>
              </w:rPr>
              <w:t>•Estudio de expedientes.</w:t>
            </w:r>
          </w:p>
        </w:tc>
      </w:tr>
      <w:tr w:rsidR="001D5865" w:rsidRPr="00033E65" w14:paraId="79321EF6"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45BC6CBB" w14:textId="77777777" w:rsidR="001D5865" w:rsidRPr="00033E65"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68A41121" w14:textId="77777777" w:rsidR="001D5865" w:rsidRPr="00033E65" w:rsidRDefault="001D5865" w:rsidP="0021217A">
            <w:pPr>
              <w:spacing w:before="0" w:after="0"/>
              <w:rPr>
                <w:szCs w:val="22"/>
                <w:lang w:eastAsia="es-CR"/>
              </w:rPr>
            </w:pPr>
            <w:r w:rsidRPr="00033E65">
              <w:rPr>
                <w:szCs w:val="22"/>
                <w:lang w:val="es-ES" w:eastAsia="es-CR"/>
              </w:rPr>
              <w:t>•Dictar sentencia en materia Agrario</w:t>
            </w:r>
          </w:p>
        </w:tc>
      </w:tr>
      <w:tr w:rsidR="001D5865" w:rsidRPr="00033E65" w14:paraId="54070ED2"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12DACCDD" w14:textId="77777777" w:rsidR="001D5865" w:rsidRPr="00033E65"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6EF1F9BF" w14:textId="77777777" w:rsidR="001D5865" w:rsidRPr="00033E65" w:rsidRDefault="001D5865" w:rsidP="0021217A">
            <w:pPr>
              <w:spacing w:before="0" w:after="0"/>
              <w:rPr>
                <w:szCs w:val="22"/>
                <w:lang w:eastAsia="es-CR"/>
              </w:rPr>
            </w:pPr>
            <w:r w:rsidRPr="00033E65">
              <w:rPr>
                <w:szCs w:val="22"/>
                <w:lang w:val="es-ES" w:eastAsia="es-CR"/>
              </w:rPr>
              <w:t>•Incorporar proyectos en los sistemas correspondientes.</w:t>
            </w:r>
          </w:p>
        </w:tc>
      </w:tr>
      <w:tr w:rsidR="001D5865" w:rsidRPr="00033E65" w14:paraId="6D744EB7"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DD060A3" w14:textId="77777777" w:rsidR="001D5865" w:rsidRPr="00033E65"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E181898" w14:textId="77777777" w:rsidR="001D5865" w:rsidRPr="00033E65" w:rsidRDefault="001D5865" w:rsidP="0021217A">
            <w:pPr>
              <w:spacing w:before="0" w:after="0"/>
              <w:rPr>
                <w:szCs w:val="22"/>
                <w:lang w:eastAsia="es-CR"/>
              </w:rPr>
            </w:pPr>
            <w:r w:rsidRPr="00033E65">
              <w:rPr>
                <w:szCs w:val="22"/>
                <w:lang w:val="es-ES" w:eastAsia="es-CR"/>
              </w:rPr>
              <w:t>•Realizar el registro de la resolución en el Escritorio Virtual.</w:t>
            </w:r>
          </w:p>
        </w:tc>
      </w:tr>
      <w:tr w:rsidR="001D5865" w:rsidRPr="00033E65" w14:paraId="334074EA"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1FCB7F8" w14:textId="77777777" w:rsidR="001D5865" w:rsidRPr="00033E65"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bottom"/>
            <w:hideMark/>
          </w:tcPr>
          <w:p w14:paraId="772A77BD" w14:textId="77777777" w:rsidR="001D5865" w:rsidRPr="00033E65" w:rsidRDefault="001D5865" w:rsidP="0021217A">
            <w:pPr>
              <w:spacing w:before="0" w:after="0"/>
              <w:jc w:val="left"/>
              <w:rPr>
                <w:szCs w:val="22"/>
                <w:lang w:eastAsia="es-CR"/>
              </w:rPr>
            </w:pPr>
            <w:r w:rsidRPr="00033E65">
              <w:rPr>
                <w:szCs w:val="22"/>
                <w:lang w:eastAsia="es-CR"/>
              </w:rPr>
              <w:t>•Realización de Audiencias tanto dentro como fuera del Despacho</w:t>
            </w:r>
          </w:p>
        </w:tc>
      </w:tr>
      <w:tr w:rsidR="001D5865" w:rsidRPr="00033E65" w14:paraId="20B4292E"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4AD1F42C" w14:textId="77777777" w:rsidR="001D5865" w:rsidRPr="00033E65"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73911A8B" w14:textId="77777777" w:rsidR="001D5865" w:rsidRPr="00033E65" w:rsidRDefault="001D5865" w:rsidP="0021217A">
            <w:pPr>
              <w:spacing w:before="0" w:after="0"/>
              <w:rPr>
                <w:szCs w:val="22"/>
                <w:lang w:eastAsia="es-CR"/>
              </w:rPr>
            </w:pPr>
            <w:r w:rsidRPr="00033E65">
              <w:rPr>
                <w:szCs w:val="22"/>
                <w:lang w:val="es-ES" w:eastAsia="es-CR"/>
              </w:rPr>
              <w:t>•Firmar sentencias de forma electrónica o digital.</w:t>
            </w:r>
          </w:p>
        </w:tc>
      </w:tr>
      <w:tr w:rsidR="001D5865" w:rsidRPr="00033E65" w14:paraId="554A6F19" w14:textId="77777777" w:rsidTr="0021217A">
        <w:trPr>
          <w:trHeight w:val="576"/>
        </w:trPr>
        <w:tc>
          <w:tcPr>
            <w:tcW w:w="0" w:type="auto"/>
            <w:vMerge/>
            <w:tcBorders>
              <w:top w:val="nil"/>
              <w:left w:val="double" w:sz="6" w:space="0" w:color="1F497D"/>
              <w:bottom w:val="double" w:sz="6" w:space="0" w:color="1F497D"/>
              <w:right w:val="double" w:sz="6" w:space="0" w:color="1F497D"/>
            </w:tcBorders>
            <w:vAlign w:val="center"/>
            <w:hideMark/>
          </w:tcPr>
          <w:p w14:paraId="3A9C85BB" w14:textId="77777777" w:rsidR="001D5865" w:rsidRPr="00033E65"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1C31D5E" w14:textId="77777777" w:rsidR="001D5865" w:rsidRPr="00033E65" w:rsidRDefault="001D5865" w:rsidP="0021217A">
            <w:pPr>
              <w:spacing w:before="0" w:after="0"/>
              <w:rPr>
                <w:szCs w:val="22"/>
                <w:lang w:eastAsia="es-CR"/>
              </w:rPr>
            </w:pPr>
            <w:r w:rsidRPr="00033E65">
              <w:rPr>
                <w:szCs w:val="22"/>
                <w:lang w:val="es-ES" w:eastAsia="es-CR"/>
              </w:rPr>
              <w:t>•Atender al público, en caso de que se requiera por parte de las personas usuarias.</w:t>
            </w:r>
          </w:p>
        </w:tc>
      </w:tr>
      <w:tr w:rsidR="001D5865" w:rsidRPr="00033E65" w14:paraId="1054E5C8" w14:textId="77777777" w:rsidTr="0021217A">
        <w:trPr>
          <w:trHeight w:val="300"/>
        </w:trPr>
        <w:tc>
          <w:tcPr>
            <w:tcW w:w="0" w:type="auto"/>
            <w:vMerge/>
            <w:tcBorders>
              <w:top w:val="nil"/>
              <w:left w:val="double" w:sz="6" w:space="0" w:color="1F497D"/>
              <w:bottom w:val="double" w:sz="6" w:space="0" w:color="1F497D"/>
              <w:right w:val="double" w:sz="6" w:space="0" w:color="1F497D"/>
            </w:tcBorders>
            <w:vAlign w:val="center"/>
            <w:hideMark/>
          </w:tcPr>
          <w:p w14:paraId="2394E4A8" w14:textId="77777777" w:rsidR="001D5865" w:rsidRPr="00033E65" w:rsidRDefault="001D5865" w:rsidP="0021217A">
            <w:pPr>
              <w:spacing w:before="0" w:after="0"/>
              <w:jc w:val="left"/>
              <w:rPr>
                <w:b/>
                <w:bCs/>
                <w:szCs w:val="22"/>
                <w:lang w:eastAsia="es-CR"/>
              </w:rPr>
            </w:pPr>
          </w:p>
        </w:tc>
        <w:tc>
          <w:tcPr>
            <w:tcW w:w="0" w:type="auto"/>
            <w:tcBorders>
              <w:top w:val="nil"/>
              <w:left w:val="nil"/>
              <w:bottom w:val="double" w:sz="6" w:space="0" w:color="1F497D"/>
              <w:right w:val="double" w:sz="6" w:space="0" w:color="1F497D"/>
            </w:tcBorders>
            <w:shd w:val="clear" w:color="auto" w:fill="auto"/>
            <w:vAlign w:val="center"/>
            <w:hideMark/>
          </w:tcPr>
          <w:p w14:paraId="2214BAF4" w14:textId="77777777" w:rsidR="001D5865" w:rsidRPr="00033E65" w:rsidRDefault="001D5865" w:rsidP="0021217A">
            <w:pPr>
              <w:spacing w:before="0" w:after="0"/>
              <w:rPr>
                <w:szCs w:val="22"/>
                <w:lang w:eastAsia="es-CR"/>
              </w:rPr>
            </w:pPr>
            <w:r w:rsidRPr="00033E65">
              <w:rPr>
                <w:szCs w:val="22"/>
                <w:lang w:val="es-ES" w:eastAsia="es-CR"/>
              </w:rPr>
              <w:t xml:space="preserve">•Demás tareas que define el Manual de Puestos del Poder Judicial. </w:t>
            </w:r>
          </w:p>
        </w:tc>
      </w:tr>
    </w:tbl>
    <w:p w14:paraId="23FFD38B" w14:textId="4130D2B5" w:rsidR="001D5865" w:rsidRPr="00033E65" w:rsidRDefault="001D5865" w:rsidP="00EA2EF2">
      <w:pPr>
        <w:rPr>
          <w:b/>
          <w:i/>
          <w:sz w:val="18"/>
          <w:lang w:eastAsia="en-US"/>
        </w:rPr>
      </w:pPr>
      <w:r w:rsidRPr="00033E65">
        <w:rPr>
          <w:b/>
          <w:i/>
          <w:sz w:val="18"/>
          <w:lang w:eastAsia="en-US"/>
        </w:rPr>
        <w:t>Fuente: Subproceso de Modernización Institucional</w:t>
      </w:r>
      <w:r w:rsidR="00B84061" w:rsidRPr="00033E65">
        <w:rPr>
          <w:b/>
          <w:i/>
          <w:sz w:val="18"/>
          <w:lang w:eastAsia="en-US"/>
        </w:rPr>
        <w:t>, área No Penal.</w:t>
      </w:r>
    </w:p>
    <w:p w14:paraId="21ED9262" w14:textId="18D51E91" w:rsidR="00111D63" w:rsidRPr="00033E65" w:rsidRDefault="00111D63" w:rsidP="00EA2EF2">
      <w:pPr>
        <w:rPr>
          <w:b/>
          <w:i/>
          <w:sz w:val="18"/>
          <w:lang w:eastAsia="en-US"/>
        </w:rPr>
      </w:pPr>
    </w:p>
    <w:p w14:paraId="43027173" w14:textId="24FD6CC5" w:rsidR="00111D63" w:rsidRPr="00033E65" w:rsidRDefault="00111D63" w:rsidP="00EA2EF2">
      <w:pPr>
        <w:rPr>
          <w:szCs w:val="22"/>
          <w:lang w:eastAsia="en-US"/>
        </w:rPr>
      </w:pPr>
      <w:r w:rsidRPr="00033E65">
        <w:rPr>
          <w:szCs w:val="22"/>
          <w:lang w:eastAsia="en-US"/>
        </w:rPr>
        <w:t>Es importante indicar que esta recomendación propuesta se reitera</w:t>
      </w:r>
      <w:r w:rsidRPr="00033E65">
        <w:t xml:space="preserve"> en el informe 428-PLA-RH-MI-2021 “Impacto organizacional y presupuestario en el Poder Judicial a partir de la promulgación del Nuevo Código Procesal Agrario para el 2022”</w:t>
      </w:r>
    </w:p>
    <w:p w14:paraId="3DECF546" w14:textId="5AF6A8A1" w:rsidR="00CE6E67" w:rsidRPr="00033E65" w:rsidRDefault="00CE6E67" w:rsidP="00EA2EF2">
      <w:pPr>
        <w:rPr>
          <w:b/>
          <w:i/>
          <w:sz w:val="18"/>
          <w:lang w:eastAsia="en-US"/>
        </w:rPr>
      </w:pPr>
    </w:p>
    <w:p w14:paraId="30365D9D" w14:textId="10395109" w:rsidR="00CE6E67" w:rsidRPr="00033E65" w:rsidRDefault="00554C4E" w:rsidP="00CE6E67">
      <w:pPr>
        <w:keepNext/>
        <w:widowControl w:val="0"/>
        <w:spacing w:before="240" w:after="240"/>
        <w:ind w:left="720" w:hanging="720"/>
        <w:outlineLvl w:val="2"/>
        <w:rPr>
          <w:b/>
          <w:color w:val="244061" w:themeColor="accent1" w:themeShade="80"/>
          <w:szCs w:val="22"/>
          <w:lang w:val="es-MX"/>
        </w:rPr>
      </w:pPr>
      <w:bookmarkStart w:id="173" w:name="_Toc132639533"/>
      <w:r>
        <w:rPr>
          <w:b/>
          <w:color w:val="244061" w:themeColor="accent1" w:themeShade="80"/>
          <w:szCs w:val="22"/>
          <w:lang w:val="es-MX"/>
        </w:rPr>
        <w:lastRenderedPageBreak/>
        <w:t>6.1</w:t>
      </w:r>
      <w:r w:rsidR="00CE6E67" w:rsidRPr="00033E65">
        <w:rPr>
          <w:b/>
          <w:color w:val="244061" w:themeColor="accent1" w:themeShade="80"/>
          <w:szCs w:val="22"/>
          <w:lang w:val="es-MX"/>
        </w:rPr>
        <w:t xml:space="preserve"> Análisis del Juzgado Civil, Trabajo y Familia de Buenos Aires</w:t>
      </w:r>
      <w:bookmarkEnd w:id="173"/>
    </w:p>
    <w:p w14:paraId="046578E1" w14:textId="4A9DAABB" w:rsidR="00CE6E67" w:rsidRPr="00033E65" w:rsidRDefault="00CE6E67" w:rsidP="00CE6E67">
      <w:pPr>
        <w:spacing w:after="0" w:line="276" w:lineRule="auto"/>
        <w:rPr>
          <w:rFonts w:eastAsia="Calibri" w:cs="Arial"/>
          <w:szCs w:val="22"/>
        </w:rPr>
      </w:pPr>
      <w:r w:rsidRPr="00033E65">
        <w:rPr>
          <w:rFonts w:eastAsia="Calibri" w:cs="Arial"/>
          <w:szCs w:val="22"/>
        </w:rPr>
        <w:t>El Juzgado Civil, Trabajo y Familia de Buenos Aires registra 2</w:t>
      </w:r>
      <w:r w:rsidR="002C5081" w:rsidRPr="00033E65">
        <w:rPr>
          <w:rFonts w:eastAsia="Calibri" w:cs="Arial"/>
          <w:szCs w:val="22"/>
        </w:rPr>
        <w:t>0</w:t>
      </w:r>
      <w:r w:rsidRPr="00033E65">
        <w:rPr>
          <w:rFonts w:eastAsia="Calibri" w:cs="Arial"/>
          <w:szCs w:val="22"/>
        </w:rPr>
        <w:t xml:space="preserve"> casos entrados en promedio mensual en materia de Familia por persona juzgadora, registrando un porcentaje en la relación de terminados entrados de </w:t>
      </w:r>
      <w:r w:rsidR="00CD5207" w:rsidRPr="00033E65">
        <w:rPr>
          <w:rFonts w:eastAsia="Calibri" w:cs="Arial"/>
          <w:szCs w:val="22"/>
        </w:rPr>
        <w:t>91</w:t>
      </w:r>
      <w:r w:rsidRPr="00033E65">
        <w:rPr>
          <w:rFonts w:eastAsia="Calibri" w:cs="Arial"/>
          <w:szCs w:val="22"/>
        </w:rPr>
        <w:t xml:space="preserve">%, producto del efecto estimado por la desjudicialización que plantea el CPF este porcentaje se incrementaría a </w:t>
      </w:r>
      <w:r w:rsidR="006C0D0C" w:rsidRPr="00033E65">
        <w:rPr>
          <w:rFonts w:eastAsia="Calibri" w:cs="Arial"/>
          <w:szCs w:val="22"/>
        </w:rPr>
        <w:t>100</w:t>
      </w:r>
      <w:r w:rsidRPr="00033E65">
        <w:rPr>
          <w:rFonts w:eastAsia="Calibri" w:cs="Arial"/>
          <w:szCs w:val="22"/>
        </w:rPr>
        <w:t xml:space="preserve">%, pudiéndose cubrir con la entrada de casos en este despacho en esta materia. En relación con las demás materias se registran </w:t>
      </w:r>
      <w:r w:rsidR="00B100E5" w:rsidRPr="00033E65">
        <w:rPr>
          <w:rFonts w:eastAsia="Calibri" w:cs="Arial"/>
          <w:szCs w:val="22"/>
        </w:rPr>
        <w:t>8</w:t>
      </w:r>
      <w:r w:rsidRPr="00033E65">
        <w:rPr>
          <w:rFonts w:eastAsia="Calibri" w:cs="Arial"/>
          <w:szCs w:val="22"/>
        </w:rPr>
        <w:t xml:space="preserve"> expedientes en Civil, </w:t>
      </w:r>
      <w:r w:rsidR="00B100E5" w:rsidRPr="00033E65">
        <w:rPr>
          <w:rFonts w:eastAsia="Calibri" w:cs="Arial"/>
          <w:szCs w:val="22"/>
        </w:rPr>
        <w:t>9</w:t>
      </w:r>
      <w:r w:rsidRPr="00033E65">
        <w:rPr>
          <w:rFonts w:eastAsia="Calibri" w:cs="Arial"/>
          <w:szCs w:val="22"/>
        </w:rPr>
        <w:t xml:space="preserve"> en Laboral, </w:t>
      </w:r>
      <w:r w:rsidR="00B100E5" w:rsidRPr="00033E65">
        <w:rPr>
          <w:rFonts w:eastAsia="Calibri" w:cs="Arial"/>
          <w:szCs w:val="22"/>
        </w:rPr>
        <w:t>11</w:t>
      </w:r>
      <w:r w:rsidRPr="00033E65">
        <w:rPr>
          <w:rFonts w:eastAsia="Calibri" w:cs="Arial"/>
          <w:szCs w:val="22"/>
        </w:rPr>
        <w:t xml:space="preserve"> en Agrario, </w:t>
      </w:r>
      <w:r w:rsidR="006C0D0C" w:rsidRPr="00033E65">
        <w:rPr>
          <w:rFonts w:eastAsia="Calibri" w:cs="Arial"/>
          <w:szCs w:val="22"/>
        </w:rPr>
        <w:t>4</w:t>
      </w:r>
      <w:r w:rsidRPr="00033E65">
        <w:rPr>
          <w:rFonts w:eastAsia="Calibri" w:cs="Arial"/>
          <w:szCs w:val="22"/>
        </w:rPr>
        <w:t xml:space="preserve"> en Penal Juvenil y </w:t>
      </w:r>
      <w:r w:rsidR="006C0D0C" w:rsidRPr="00033E65">
        <w:rPr>
          <w:rFonts w:eastAsia="Calibri" w:cs="Arial"/>
          <w:szCs w:val="22"/>
        </w:rPr>
        <w:t>3</w:t>
      </w:r>
      <w:r w:rsidRPr="00033E65">
        <w:rPr>
          <w:rFonts w:eastAsia="Calibri" w:cs="Arial"/>
          <w:szCs w:val="22"/>
        </w:rPr>
        <w:t xml:space="preserve">8 en Violencia Doméstica, para un promedio de entrada por mes por plaza entre todas las materias de </w:t>
      </w:r>
      <w:r w:rsidR="00302D82" w:rsidRPr="00033E65">
        <w:rPr>
          <w:rFonts w:eastAsia="Calibri" w:cs="Arial"/>
          <w:szCs w:val="22"/>
        </w:rPr>
        <w:t>90</w:t>
      </w:r>
      <w:r w:rsidRPr="00033E65">
        <w:rPr>
          <w:rFonts w:eastAsia="Calibri" w:cs="Arial"/>
          <w:szCs w:val="22"/>
        </w:rPr>
        <w:t xml:space="preserve"> casos (5 diarios).</w:t>
      </w:r>
    </w:p>
    <w:p w14:paraId="454AB8D0" w14:textId="3FFB489D" w:rsidR="00CE6E67" w:rsidRPr="00033E65" w:rsidRDefault="00CE6E67" w:rsidP="00CE6E67">
      <w:pPr>
        <w:spacing w:after="0" w:line="276" w:lineRule="auto"/>
        <w:rPr>
          <w:rFonts w:eastAsia="Calibri" w:cs="Arial"/>
          <w:szCs w:val="22"/>
        </w:rPr>
      </w:pPr>
      <w:r w:rsidRPr="00033E65">
        <w:rPr>
          <w:rFonts w:eastAsia="Calibri" w:cs="Arial"/>
          <w:szCs w:val="22"/>
        </w:rPr>
        <w:t>Por lo que los resultados actuales no permitirían sugerir la especialización de alguna de estas materias o la incorporación de nuevas plazas de personas juzgadoras en este despacho.</w:t>
      </w:r>
    </w:p>
    <w:p w14:paraId="5F31C95E" w14:textId="335574A7" w:rsidR="00CE6E67" w:rsidRPr="00033E65" w:rsidRDefault="00CE6E67" w:rsidP="00CE6E67">
      <w:pPr>
        <w:spacing w:after="0" w:line="276" w:lineRule="auto"/>
        <w:rPr>
          <w:rFonts w:eastAsia="Calibri" w:cs="Arial"/>
          <w:szCs w:val="22"/>
        </w:rPr>
      </w:pPr>
      <w:r w:rsidRPr="00033E65">
        <w:rPr>
          <w:rFonts w:eastAsia="Calibri" w:cs="Arial"/>
          <w:szCs w:val="22"/>
        </w:rPr>
        <w:t xml:space="preserve">En cuanto a las personas técnicas judiciales, reportan una entrada promedio mensual de </w:t>
      </w:r>
      <w:r w:rsidR="00AF4E52" w:rsidRPr="00033E65">
        <w:rPr>
          <w:rFonts w:eastAsia="Calibri" w:cs="Arial"/>
          <w:szCs w:val="22"/>
        </w:rPr>
        <w:t>45</w:t>
      </w:r>
      <w:r w:rsidRPr="00033E65">
        <w:rPr>
          <w:rFonts w:eastAsia="Calibri" w:cs="Arial"/>
          <w:szCs w:val="22"/>
        </w:rPr>
        <w:t xml:space="preserve"> asuntos entre todas las materias (el promedio de sus homólogos es de 37). Además, para la atención de la materia Agraria, tramitación, giras, entre otros, conforme se analizó en el informe de impacto presupuestario en el Poder Judicial ante la entrada en vigencia del Código Procesal Agrario se recomienda la asignación de un recurso adicional.</w:t>
      </w:r>
    </w:p>
    <w:p w14:paraId="6E9A49E9" w14:textId="6A23E3C2" w:rsidR="00CE6E67" w:rsidRPr="00033E65" w:rsidRDefault="00CE6E67" w:rsidP="00CE6E67">
      <w:pPr>
        <w:spacing w:after="0" w:line="276" w:lineRule="auto"/>
        <w:rPr>
          <w:rFonts w:eastAsia="Calibri" w:cs="Arial"/>
          <w:szCs w:val="22"/>
        </w:rPr>
      </w:pPr>
      <w:r w:rsidRPr="00033E65">
        <w:rPr>
          <w:rFonts w:eastAsia="Calibri" w:cs="Arial"/>
          <w:szCs w:val="22"/>
        </w:rPr>
        <w:t xml:space="preserve">Esta persona técnica judicial es necesaria para completar la estructura de trabajo, bajo la justificación de que actualmente se tiene a una persona atendiendo la manifestación, y dos para atender la entrada de las seis materias del despacho, una de esas personas debe además participar de las audiencias en materia Agraria, por lo que cuando suceda esto se podría tener solamente una persona técnica judicial para el trámite de asuntos de todo el despacho. De asignarse un recurso adicional de trámite la carga de trabajo por persona técnica de trámite pasaría de </w:t>
      </w:r>
      <w:r w:rsidR="000A0F8E" w:rsidRPr="00033E65">
        <w:rPr>
          <w:rFonts w:eastAsia="Calibri" w:cs="Arial"/>
          <w:szCs w:val="22"/>
        </w:rPr>
        <w:t>45</w:t>
      </w:r>
      <w:r w:rsidRPr="00033E65">
        <w:rPr>
          <w:rFonts w:eastAsia="Calibri" w:cs="Arial"/>
          <w:szCs w:val="22"/>
        </w:rPr>
        <w:t xml:space="preserve"> a 3</w:t>
      </w:r>
      <w:r w:rsidR="000A0F8E" w:rsidRPr="00033E65">
        <w:rPr>
          <w:rFonts w:eastAsia="Calibri" w:cs="Arial"/>
          <w:szCs w:val="22"/>
        </w:rPr>
        <w:t>0</w:t>
      </w:r>
      <w:r w:rsidRPr="00033E65">
        <w:rPr>
          <w:rFonts w:eastAsia="Calibri" w:cs="Arial"/>
          <w:szCs w:val="22"/>
        </w:rPr>
        <w:t xml:space="preserve"> asuntos nuevos por mes y se podría colocar una persona para la manifestación </w:t>
      </w:r>
    </w:p>
    <w:p w14:paraId="4AF2B0B0" w14:textId="745B04DA" w:rsidR="00CE6E67" w:rsidRPr="00033E65" w:rsidRDefault="00CE6E67" w:rsidP="00CE6E67">
      <w:pPr>
        <w:spacing w:after="0" w:line="276" w:lineRule="auto"/>
        <w:rPr>
          <w:rFonts w:eastAsia="Calibri" w:cs="Arial"/>
          <w:szCs w:val="22"/>
        </w:rPr>
      </w:pPr>
      <w:r w:rsidRPr="00033E65">
        <w:rPr>
          <w:rFonts w:eastAsia="Calibri" w:cs="Arial"/>
          <w:szCs w:val="22"/>
        </w:rPr>
        <w:t xml:space="preserve">Este despacho constantemente ha solicitado y recibido apoyo de parte de la Administración Regional. </w:t>
      </w:r>
    </w:p>
    <w:p w14:paraId="22730567" w14:textId="24EF727E" w:rsidR="00CE6E67" w:rsidRPr="00033E65" w:rsidRDefault="00CE6E67" w:rsidP="00CE6E67">
      <w:pPr>
        <w:spacing w:after="0" w:line="276" w:lineRule="auto"/>
        <w:rPr>
          <w:rFonts w:eastAsia="Calibri" w:cs="Arial"/>
          <w:szCs w:val="22"/>
        </w:rPr>
      </w:pPr>
      <w:r w:rsidRPr="00033E65">
        <w:rPr>
          <w:rFonts w:eastAsia="Calibri" w:cs="Arial"/>
          <w:szCs w:val="22"/>
        </w:rPr>
        <w:t>En el informe 48-PLA-MI-2022, relacionado con el “</w:t>
      </w:r>
      <w:r w:rsidRPr="00033E65">
        <w:rPr>
          <w:rFonts w:eastAsia="Calibri" w:cs="Arial"/>
          <w:i/>
          <w:iCs/>
          <w:szCs w:val="22"/>
        </w:rPr>
        <w:t>Informe de cierre de seguimiento efectuado a los Juzgados Mixtos</w:t>
      </w:r>
      <w:r w:rsidRPr="00033E65">
        <w:rPr>
          <w:rFonts w:eastAsia="Calibri" w:cs="Arial"/>
          <w:szCs w:val="22"/>
        </w:rPr>
        <w:t>”, se analiza la criticidad del Juzgado Civil, Trabajo y Familia de Buenos Aires, del seguimiento realizado durante el periodo diciembre 2020 a julio 2021, se determinó que esa oficina mantiene una calificación “D”  principalmente por  los indicadores de Plazo para resolver demandas nuevas y el Plazo para resolver escritos (tareas que realizan las personas técnicas judiciales), por lo que se realizó un plan de trabajo “</w:t>
      </w:r>
      <w:r w:rsidRPr="00033E65">
        <w:rPr>
          <w:rFonts w:eastAsia="Calibri" w:cs="Arial"/>
          <w:i/>
          <w:iCs/>
          <w:szCs w:val="22"/>
        </w:rPr>
        <w:t>Trámite Rápido 1887-PLA-MI-TR-2021</w:t>
      </w:r>
      <w:r w:rsidRPr="00033E65">
        <w:rPr>
          <w:rFonts w:eastAsia="Calibri" w:cs="Arial"/>
          <w:szCs w:val="22"/>
        </w:rPr>
        <w:t xml:space="preserve">” con el fin de que se diera atención de las demandas nuevas y escritos pendientes de resolver según la antigüedad de ingreso de esos asuntos, ya que para este despacho se determinó limitación en cuanto a la capacidad instalada del personal Técnico Judicial, situación que se evidenció en los informes de impacto </w:t>
      </w:r>
      <w:r w:rsidRPr="00033E65">
        <w:rPr>
          <w:rFonts w:eastAsia="Calibri" w:cs="Arial"/>
          <w:szCs w:val="22"/>
        </w:rPr>
        <w:lastRenderedPageBreak/>
        <w:t>presupuestario 656-PLA-RH-MI-2020 y 389-PLA-RH-MI-2021, en los que se determinó la necesidad de una persona Técnica Judicial para el trámite; sin embargo,</w:t>
      </w:r>
      <w:r w:rsidR="00F03DCA" w:rsidRPr="00033E65">
        <w:rPr>
          <w:rFonts w:eastAsia="Calibri" w:cs="Arial"/>
          <w:szCs w:val="22"/>
        </w:rPr>
        <w:t xml:space="preserve"> </w:t>
      </w:r>
      <w:r w:rsidRPr="00033E65">
        <w:rPr>
          <w:rFonts w:eastAsia="Calibri" w:cs="Arial"/>
          <w:szCs w:val="22"/>
        </w:rPr>
        <w:t>por la situación fiscal del país no se otorgó el contenido presupuestario para la implementación de la Ley 9747 “</w:t>
      </w:r>
      <w:r w:rsidRPr="00033E65">
        <w:rPr>
          <w:rFonts w:eastAsia="Calibri" w:cs="Arial"/>
          <w:i/>
          <w:iCs/>
          <w:szCs w:val="22"/>
        </w:rPr>
        <w:t>Código Procesal de Familia</w:t>
      </w:r>
      <w:r w:rsidRPr="00033E65">
        <w:rPr>
          <w:rFonts w:eastAsia="Calibri" w:cs="Arial"/>
          <w:szCs w:val="22"/>
        </w:rPr>
        <w:t>”, por lo tanto, con el fin de suplir la deficiencia en la capacidad de la estructura actual del Juzgado Civil, Trabajo y Familia de Buenos Aires, en el siguiente cuadro se muestran los escenarios para definir la estructura ideal para este despacho:</w:t>
      </w:r>
    </w:p>
    <w:p w14:paraId="31A3050E" w14:textId="44819DB1" w:rsidR="00CE6E67" w:rsidRPr="00033E65" w:rsidRDefault="00CE6E67" w:rsidP="00CE6E67">
      <w:pPr>
        <w:spacing w:after="0" w:line="276" w:lineRule="auto"/>
        <w:rPr>
          <w:rFonts w:eastAsia="Calibri" w:cs="Arial"/>
          <w:szCs w:val="22"/>
        </w:rPr>
      </w:pPr>
    </w:p>
    <w:p w14:paraId="3B8B5ECD" w14:textId="7A740636" w:rsidR="00F03DCA" w:rsidRPr="00033E65" w:rsidRDefault="009313D6" w:rsidP="00E962D8">
      <w:pPr>
        <w:spacing w:before="0" w:after="0"/>
        <w:jc w:val="center"/>
        <w:rPr>
          <w:rFonts w:eastAsia="Calibri" w:cs="Arial"/>
          <w:b/>
          <w:bCs/>
          <w:color w:val="244061" w:themeColor="accent1" w:themeShade="80"/>
          <w:szCs w:val="22"/>
        </w:rPr>
      </w:pPr>
      <w:r w:rsidRPr="00033E65">
        <w:rPr>
          <w:rFonts w:eastAsia="Calibri" w:cs="Arial"/>
          <w:b/>
          <w:bCs/>
          <w:color w:val="244061" w:themeColor="accent1" w:themeShade="80"/>
          <w:szCs w:val="22"/>
        </w:rPr>
        <w:t>Cuadro</w:t>
      </w:r>
      <w:r w:rsidR="00E962D8" w:rsidRPr="00033E65">
        <w:rPr>
          <w:rFonts w:eastAsia="Calibri" w:cs="Arial"/>
          <w:b/>
          <w:bCs/>
          <w:color w:val="244061" w:themeColor="accent1" w:themeShade="80"/>
          <w:szCs w:val="22"/>
        </w:rPr>
        <w:t xml:space="preserve"> 12</w:t>
      </w:r>
    </w:p>
    <w:p w14:paraId="501F48BE" w14:textId="71966AB7" w:rsidR="00E962D8" w:rsidRPr="00033E65" w:rsidRDefault="00E962D8" w:rsidP="00E962D8">
      <w:pPr>
        <w:spacing w:before="0" w:after="0"/>
        <w:jc w:val="center"/>
        <w:rPr>
          <w:rFonts w:eastAsia="Calibri" w:cs="Arial"/>
          <w:b/>
          <w:bCs/>
          <w:color w:val="244061" w:themeColor="accent1" w:themeShade="80"/>
          <w:szCs w:val="22"/>
        </w:rPr>
      </w:pPr>
      <w:r w:rsidRPr="00033E65">
        <w:rPr>
          <w:rFonts w:eastAsia="Calibri" w:cs="Arial"/>
          <w:b/>
          <w:bCs/>
          <w:color w:val="244061" w:themeColor="accent1" w:themeShade="80"/>
          <w:szCs w:val="22"/>
        </w:rPr>
        <w:t>Proporción de carga de trabajo de despachos mixtos que atienden materia Agraria</w:t>
      </w:r>
    </w:p>
    <w:p w14:paraId="3288D68F" w14:textId="3C84FFF5" w:rsidR="00E962D8" w:rsidRPr="00033E65" w:rsidRDefault="00E962D8" w:rsidP="00E962D8">
      <w:pPr>
        <w:spacing w:before="0" w:after="0"/>
        <w:jc w:val="center"/>
        <w:rPr>
          <w:rFonts w:eastAsia="Calibri" w:cs="Arial"/>
          <w:b/>
          <w:bCs/>
          <w:color w:val="244061" w:themeColor="accent1" w:themeShade="80"/>
          <w:szCs w:val="22"/>
        </w:rPr>
      </w:pPr>
      <w:r w:rsidRPr="00033E65">
        <w:rPr>
          <w:rFonts w:eastAsia="Calibri" w:cs="Arial"/>
          <w:b/>
          <w:bCs/>
          <w:color w:val="244061" w:themeColor="accent1" w:themeShade="80"/>
          <w:szCs w:val="22"/>
        </w:rPr>
        <w:t>2022</w:t>
      </w:r>
    </w:p>
    <w:tbl>
      <w:tblPr>
        <w:tblW w:w="9209" w:type="dxa"/>
        <w:jc w:val="center"/>
        <w:tblCellMar>
          <w:left w:w="70" w:type="dxa"/>
          <w:right w:w="70" w:type="dxa"/>
        </w:tblCellMar>
        <w:tblLook w:val="04A0" w:firstRow="1" w:lastRow="0" w:firstColumn="1" w:lastColumn="0" w:noHBand="0" w:noVBand="1"/>
      </w:tblPr>
      <w:tblGrid>
        <w:gridCol w:w="1425"/>
        <w:gridCol w:w="1425"/>
        <w:gridCol w:w="1425"/>
        <w:gridCol w:w="1426"/>
        <w:gridCol w:w="1428"/>
        <w:gridCol w:w="2080"/>
      </w:tblGrid>
      <w:tr w:rsidR="00F03DCA" w:rsidRPr="00033E65" w14:paraId="366FCCFB" w14:textId="77777777" w:rsidTr="00274042">
        <w:trPr>
          <w:trHeight w:val="18"/>
          <w:jc w:val="center"/>
        </w:trPr>
        <w:tc>
          <w:tcPr>
            <w:tcW w:w="1425"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605AC3F" w14:textId="77777777" w:rsidR="00CE6E67" w:rsidRPr="00033E65" w:rsidRDefault="00CE6E67" w:rsidP="00F56E15">
            <w:pPr>
              <w:spacing w:after="0"/>
              <w:jc w:val="center"/>
              <w:rPr>
                <w:rFonts w:cs="Calibri"/>
                <w:b/>
                <w:bCs/>
                <w:i/>
                <w:iCs/>
                <w:color w:val="FFFFFF"/>
                <w:szCs w:val="22"/>
                <w:lang w:eastAsia="es-CR"/>
              </w:rPr>
            </w:pPr>
            <w:r w:rsidRPr="00033E65">
              <w:rPr>
                <w:rFonts w:cs="Calibri"/>
                <w:b/>
                <w:bCs/>
                <w:i/>
                <w:iCs/>
                <w:color w:val="FFFFFF"/>
                <w:szCs w:val="22"/>
                <w:lang w:eastAsia="es-CR"/>
              </w:rPr>
              <w:t>Despacho</w:t>
            </w:r>
          </w:p>
        </w:tc>
        <w:tc>
          <w:tcPr>
            <w:tcW w:w="1425"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2ADD5A3" w14:textId="77777777" w:rsidR="00CE6E67" w:rsidRPr="00033E65" w:rsidRDefault="00CE6E67" w:rsidP="00F56E15">
            <w:pPr>
              <w:spacing w:after="0"/>
              <w:jc w:val="center"/>
              <w:rPr>
                <w:rFonts w:cs="Calibri"/>
                <w:b/>
                <w:bCs/>
                <w:i/>
                <w:iCs/>
                <w:color w:val="FFFFFF"/>
                <w:szCs w:val="22"/>
                <w:lang w:eastAsia="es-CR"/>
              </w:rPr>
            </w:pPr>
            <w:r w:rsidRPr="00033E65">
              <w:rPr>
                <w:rFonts w:cs="Calibri"/>
                <w:b/>
                <w:bCs/>
                <w:i/>
                <w:iCs/>
                <w:color w:val="FFFFFF"/>
                <w:szCs w:val="22"/>
                <w:lang w:eastAsia="es-CR"/>
              </w:rPr>
              <w:t>Materia</w:t>
            </w:r>
          </w:p>
        </w:tc>
        <w:tc>
          <w:tcPr>
            <w:tcW w:w="2851" w:type="dxa"/>
            <w:gridSpan w:val="2"/>
            <w:tcBorders>
              <w:top w:val="single" w:sz="4" w:space="0" w:color="auto"/>
              <w:left w:val="nil"/>
              <w:bottom w:val="single" w:sz="4" w:space="0" w:color="auto"/>
              <w:right w:val="single" w:sz="4" w:space="0" w:color="auto"/>
            </w:tcBorders>
            <w:shd w:val="clear" w:color="000000" w:fill="002060"/>
            <w:vAlign w:val="center"/>
            <w:hideMark/>
          </w:tcPr>
          <w:p w14:paraId="51E9A581" w14:textId="77777777" w:rsidR="00CE6E67" w:rsidRPr="00033E65" w:rsidRDefault="00CE6E67" w:rsidP="00F56E15">
            <w:pPr>
              <w:spacing w:after="0"/>
              <w:jc w:val="center"/>
              <w:rPr>
                <w:rFonts w:cs="Calibri"/>
                <w:b/>
                <w:bCs/>
                <w:i/>
                <w:iCs/>
                <w:color w:val="FFFFFF"/>
                <w:szCs w:val="22"/>
                <w:lang w:eastAsia="es-CR"/>
              </w:rPr>
            </w:pPr>
            <w:r w:rsidRPr="00033E65">
              <w:rPr>
                <w:rFonts w:cs="Calibri"/>
                <w:b/>
                <w:bCs/>
                <w:i/>
                <w:iCs/>
                <w:color w:val="FFFFFF"/>
                <w:szCs w:val="22"/>
                <w:lang w:eastAsia="es-CR"/>
              </w:rPr>
              <w:t>Recurso humano actual</w:t>
            </w:r>
          </w:p>
        </w:tc>
        <w:tc>
          <w:tcPr>
            <w:tcW w:w="142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B7F3729" w14:textId="77777777" w:rsidR="00CE6E67" w:rsidRPr="00033E65" w:rsidRDefault="00CE6E67" w:rsidP="00F56E15">
            <w:pPr>
              <w:spacing w:after="0"/>
              <w:jc w:val="center"/>
              <w:rPr>
                <w:rFonts w:cs="Calibri"/>
                <w:b/>
                <w:bCs/>
                <w:i/>
                <w:iCs/>
                <w:color w:val="FFFFFF"/>
                <w:szCs w:val="22"/>
                <w:lang w:eastAsia="es-CR"/>
              </w:rPr>
            </w:pPr>
            <w:r w:rsidRPr="00033E65">
              <w:rPr>
                <w:rFonts w:cs="Calibri"/>
                <w:b/>
                <w:bCs/>
                <w:i/>
                <w:iCs/>
                <w:color w:val="FFFFFF"/>
                <w:szCs w:val="22"/>
                <w:lang w:eastAsia="es-CR"/>
              </w:rPr>
              <w:t>Porcentaje de dedicado por materia por juez</w:t>
            </w:r>
          </w:p>
        </w:tc>
        <w:tc>
          <w:tcPr>
            <w:tcW w:w="208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73C596" w14:textId="77777777" w:rsidR="00CE6E67" w:rsidRPr="00033E65" w:rsidRDefault="00CE6E67" w:rsidP="00F56E15">
            <w:pPr>
              <w:spacing w:after="0"/>
              <w:jc w:val="center"/>
              <w:rPr>
                <w:rFonts w:cs="Calibri"/>
                <w:b/>
                <w:bCs/>
                <w:i/>
                <w:iCs/>
                <w:color w:val="FFFFFF"/>
                <w:szCs w:val="22"/>
                <w:lang w:eastAsia="es-CR"/>
              </w:rPr>
            </w:pPr>
            <w:r w:rsidRPr="00033E65">
              <w:rPr>
                <w:rFonts w:cs="Calibri"/>
                <w:b/>
                <w:bCs/>
                <w:i/>
                <w:iCs/>
                <w:color w:val="FFFFFF"/>
                <w:szCs w:val="22"/>
                <w:lang w:eastAsia="es-CR"/>
              </w:rPr>
              <w:t>Entrados al mes</w:t>
            </w:r>
          </w:p>
        </w:tc>
      </w:tr>
      <w:tr w:rsidR="00CE6E67" w:rsidRPr="00033E65" w14:paraId="58CEC063" w14:textId="77777777" w:rsidTr="00274042">
        <w:trPr>
          <w:trHeight w:val="18"/>
          <w:jc w:val="center"/>
        </w:trPr>
        <w:tc>
          <w:tcPr>
            <w:tcW w:w="1425" w:type="dxa"/>
            <w:vMerge/>
            <w:tcBorders>
              <w:top w:val="single" w:sz="4" w:space="0" w:color="auto"/>
              <w:left w:val="single" w:sz="4" w:space="0" w:color="auto"/>
              <w:bottom w:val="single" w:sz="4" w:space="0" w:color="auto"/>
              <w:right w:val="single" w:sz="4" w:space="0" w:color="auto"/>
            </w:tcBorders>
            <w:vAlign w:val="center"/>
            <w:hideMark/>
          </w:tcPr>
          <w:p w14:paraId="7A178994" w14:textId="77777777" w:rsidR="00CE6E67" w:rsidRPr="00033E65" w:rsidRDefault="00CE6E67" w:rsidP="00F56E15">
            <w:pPr>
              <w:spacing w:after="0"/>
              <w:rPr>
                <w:rFonts w:cs="Calibri"/>
                <w:b/>
                <w:bCs/>
                <w:i/>
                <w:iCs/>
                <w:color w:val="FFFFFF"/>
                <w:szCs w:val="22"/>
                <w:lang w:eastAsia="es-CR"/>
              </w:rPr>
            </w:pPr>
          </w:p>
        </w:tc>
        <w:tc>
          <w:tcPr>
            <w:tcW w:w="1425" w:type="dxa"/>
            <w:vMerge/>
            <w:tcBorders>
              <w:top w:val="single" w:sz="4" w:space="0" w:color="auto"/>
              <w:left w:val="single" w:sz="4" w:space="0" w:color="auto"/>
              <w:bottom w:val="single" w:sz="4" w:space="0" w:color="auto"/>
              <w:right w:val="single" w:sz="4" w:space="0" w:color="auto"/>
            </w:tcBorders>
            <w:vAlign w:val="center"/>
            <w:hideMark/>
          </w:tcPr>
          <w:p w14:paraId="7405EF25" w14:textId="77777777" w:rsidR="00CE6E67" w:rsidRPr="00033E65" w:rsidRDefault="00CE6E67" w:rsidP="00F56E15">
            <w:pPr>
              <w:spacing w:after="0"/>
              <w:rPr>
                <w:rFonts w:cs="Calibri"/>
                <w:b/>
                <w:bCs/>
                <w:i/>
                <w:iCs/>
                <w:color w:val="FFFFFF"/>
                <w:szCs w:val="22"/>
                <w:lang w:eastAsia="es-CR"/>
              </w:rPr>
            </w:pPr>
          </w:p>
        </w:tc>
        <w:tc>
          <w:tcPr>
            <w:tcW w:w="1425" w:type="dxa"/>
            <w:tcBorders>
              <w:top w:val="nil"/>
              <w:left w:val="nil"/>
              <w:bottom w:val="single" w:sz="4" w:space="0" w:color="auto"/>
              <w:right w:val="single" w:sz="4" w:space="0" w:color="auto"/>
            </w:tcBorders>
            <w:shd w:val="clear" w:color="000000" w:fill="002060"/>
            <w:vAlign w:val="center"/>
            <w:hideMark/>
          </w:tcPr>
          <w:p w14:paraId="22B44C5D" w14:textId="77777777" w:rsidR="00CE6E67" w:rsidRPr="00033E65" w:rsidRDefault="00CE6E67" w:rsidP="00F56E15">
            <w:pPr>
              <w:spacing w:after="0"/>
              <w:jc w:val="center"/>
              <w:rPr>
                <w:rFonts w:cs="Calibri"/>
                <w:b/>
                <w:bCs/>
                <w:i/>
                <w:iCs/>
                <w:color w:val="FFFFFF"/>
                <w:szCs w:val="22"/>
                <w:lang w:eastAsia="es-CR"/>
              </w:rPr>
            </w:pPr>
            <w:r w:rsidRPr="00033E65">
              <w:rPr>
                <w:rFonts w:cs="Calibri"/>
                <w:b/>
                <w:bCs/>
                <w:i/>
                <w:iCs/>
                <w:color w:val="FFFFFF"/>
                <w:szCs w:val="22"/>
                <w:lang w:eastAsia="es-CR"/>
              </w:rPr>
              <w:t>Jueza o Juez</w:t>
            </w:r>
          </w:p>
        </w:tc>
        <w:tc>
          <w:tcPr>
            <w:tcW w:w="1426" w:type="dxa"/>
            <w:tcBorders>
              <w:top w:val="nil"/>
              <w:left w:val="nil"/>
              <w:bottom w:val="single" w:sz="4" w:space="0" w:color="auto"/>
              <w:right w:val="single" w:sz="4" w:space="0" w:color="auto"/>
            </w:tcBorders>
            <w:shd w:val="clear" w:color="000000" w:fill="002060"/>
            <w:vAlign w:val="center"/>
            <w:hideMark/>
          </w:tcPr>
          <w:p w14:paraId="79E2513E" w14:textId="77777777" w:rsidR="00CE6E67" w:rsidRPr="00033E65" w:rsidRDefault="00CE6E67" w:rsidP="00F56E15">
            <w:pPr>
              <w:spacing w:after="0"/>
              <w:jc w:val="center"/>
              <w:rPr>
                <w:rFonts w:cs="Calibri"/>
                <w:b/>
                <w:bCs/>
                <w:i/>
                <w:iCs/>
                <w:color w:val="FFFFFF"/>
                <w:szCs w:val="22"/>
                <w:lang w:eastAsia="es-CR"/>
              </w:rPr>
            </w:pPr>
            <w:r w:rsidRPr="00033E65">
              <w:rPr>
                <w:rFonts w:cs="Calibri"/>
                <w:b/>
                <w:bCs/>
                <w:i/>
                <w:iCs/>
                <w:color w:val="FFFFFF"/>
                <w:szCs w:val="22"/>
                <w:lang w:eastAsia="es-CR"/>
              </w:rPr>
              <w:t>Téc. Jud. de trámite</w:t>
            </w:r>
          </w:p>
        </w:tc>
        <w:tc>
          <w:tcPr>
            <w:tcW w:w="1428" w:type="dxa"/>
            <w:vMerge/>
            <w:tcBorders>
              <w:top w:val="single" w:sz="4" w:space="0" w:color="auto"/>
              <w:left w:val="single" w:sz="4" w:space="0" w:color="auto"/>
              <w:bottom w:val="single" w:sz="4" w:space="0" w:color="auto"/>
              <w:right w:val="single" w:sz="4" w:space="0" w:color="auto"/>
            </w:tcBorders>
            <w:vAlign w:val="center"/>
            <w:hideMark/>
          </w:tcPr>
          <w:p w14:paraId="7A539FF8" w14:textId="77777777" w:rsidR="00CE6E67" w:rsidRPr="00033E65" w:rsidRDefault="00CE6E67" w:rsidP="00F56E15">
            <w:pPr>
              <w:spacing w:after="0"/>
              <w:rPr>
                <w:rFonts w:cs="Calibri"/>
                <w:b/>
                <w:bCs/>
                <w:i/>
                <w:iCs/>
                <w:color w:val="FFFFFF"/>
                <w:szCs w:val="22"/>
                <w:lang w:eastAsia="es-CR"/>
              </w:rPr>
            </w:pPr>
          </w:p>
        </w:tc>
        <w:tc>
          <w:tcPr>
            <w:tcW w:w="2080" w:type="dxa"/>
            <w:vMerge/>
            <w:tcBorders>
              <w:top w:val="single" w:sz="4" w:space="0" w:color="auto"/>
              <w:left w:val="single" w:sz="4" w:space="0" w:color="auto"/>
              <w:bottom w:val="single" w:sz="4" w:space="0" w:color="auto"/>
              <w:right w:val="single" w:sz="4" w:space="0" w:color="auto"/>
            </w:tcBorders>
            <w:vAlign w:val="center"/>
            <w:hideMark/>
          </w:tcPr>
          <w:p w14:paraId="752CF563" w14:textId="77777777" w:rsidR="00CE6E67" w:rsidRPr="00033E65" w:rsidRDefault="00CE6E67" w:rsidP="00F56E15">
            <w:pPr>
              <w:spacing w:after="0"/>
              <w:rPr>
                <w:rFonts w:cs="Calibri"/>
                <w:b/>
                <w:bCs/>
                <w:i/>
                <w:iCs/>
                <w:color w:val="FFFFFF"/>
                <w:szCs w:val="22"/>
                <w:lang w:eastAsia="es-CR"/>
              </w:rPr>
            </w:pPr>
          </w:p>
        </w:tc>
      </w:tr>
      <w:tr w:rsidR="00F03DCA" w:rsidRPr="00033E65" w14:paraId="48458BF7" w14:textId="77777777" w:rsidTr="00274042">
        <w:trPr>
          <w:trHeight w:val="18"/>
          <w:jc w:val="center"/>
        </w:trPr>
        <w:tc>
          <w:tcPr>
            <w:tcW w:w="1425" w:type="dxa"/>
            <w:vMerge w:val="restart"/>
            <w:tcBorders>
              <w:top w:val="nil"/>
              <w:left w:val="single" w:sz="4" w:space="0" w:color="auto"/>
              <w:bottom w:val="single" w:sz="4" w:space="0" w:color="auto"/>
              <w:right w:val="single" w:sz="4" w:space="0" w:color="auto"/>
            </w:tcBorders>
            <w:shd w:val="clear" w:color="auto" w:fill="auto"/>
            <w:vAlign w:val="center"/>
            <w:hideMark/>
          </w:tcPr>
          <w:p w14:paraId="0EB785B0" w14:textId="77777777" w:rsidR="00CE6E67" w:rsidRPr="00033E65" w:rsidRDefault="00CE6E67" w:rsidP="00F56E15">
            <w:pPr>
              <w:spacing w:after="0"/>
              <w:rPr>
                <w:rFonts w:cs="Calibri"/>
                <w:b/>
                <w:bCs/>
                <w:i/>
                <w:iCs/>
                <w:color w:val="000000"/>
                <w:szCs w:val="22"/>
                <w:lang w:eastAsia="es-CR"/>
              </w:rPr>
            </w:pPr>
            <w:r w:rsidRPr="00033E65">
              <w:rPr>
                <w:rFonts w:cs="Calibri"/>
                <w:b/>
                <w:bCs/>
                <w:i/>
                <w:iCs/>
                <w:color w:val="000000"/>
                <w:szCs w:val="22"/>
                <w:lang w:eastAsia="es-CR"/>
              </w:rPr>
              <w:t>Juzgado Civil, Trabajo y Familia Buenos Aires*</w:t>
            </w:r>
          </w:p>
        </w:tc>
        <w:tc>
          <w:tcPr>
            <w:tcW w:w="1425" w:type="dxa"/>
            <w:tcBorders>
              <w:top w:val="nil"/>
              <w:left w:val="nil"/>
              <w:bottom w:val="single" w:sz="4" w:space="0" w:color="auto"/>
              <w:right w:val="single" w:sz="4" w:space="0" w:color="auto"/>
            </w:tcBorders>
            <w:shd w:val="clear" w:color="auto" w:fill="auto"/>
            <w:vAlign w:val="center"/>
            <w:hideMark/>
          </w:tcPr>
          <w:p w14:paraId="31905DBF" w14:textId="77777777" w:rsidR="00CE6E67" w:rsidRPr="00033E65" w:rsidRDefault="00CE6E67" w:rsidP="00F56E15">
            <w:pPr>
              <w:spacing w:after="0"/>
              <w:rPr>
                <w:rFonts w:cs="Calibri"/>
                <w:b/>
                <w:bCs/>
                <w:i/>
                <w:iCs/>
                <w:color w:val="000000"/>
                <w:szCs w:val="22"/>
                <w:lang w:eastAsia="es-CR"/>
              </w:rPr>
            </w:pPr>
            <w:r w:rsidRPr="00033E65">
              <w:rPr>
                <w:rFonts w:cs="Calibri"/>
                <w:b/>
                <w:bCs/>
                <w:i/>
                <w:iCs/>
                <w:color w:val="000000"/>
                <w:szCs w:val="22"/>
                <w:lang w:eastAsia="es-CR"/>
              </w:rPr>
              <w:t>Civil</w:t>
            </w:r>
          </w:p>
        </w:tc>
        <w:tc>
          <w:tcPr>
            <w:tcW w:w="14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6933B1"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1</w:t>
            </w:r>
          </w:p>
        </w:tc>
        <w:tc>
          <w:tcPr>
            <w:tcW w:w="14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F0D5D6"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2</w:t>
            </w:r>
          </w:p>
        </w:tc>
        <w:tc>
          <w:tcPr>
            <w:tcW w:w="1428" w:type="dxa"/>
            <w:tcBorders>
              <w:top w:val="nil"/>
              <w:left w:val="nil"/>
              <w:bottom w:val="single" w:sz="4" w:space="0" w:color="auto"/>
              <w:right w:val="single" w:sz="4" w:space="0" w:color="auto"/>
            </w:tcBorders>
            <w:shd w:val="clear" w:color="auto" w:fill="auto"/>
            <w:vAlign w:val="center"/>
            <w:hideMark/>
          </w:tcPr>
          <w:p w14:paraId="32481FA0"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50%</w:t>
            </w:r>
          </w:p>
        </w:tc>
        <w:tc>
          <w:tcPr>
            <w:tcW w:w="2080" w:type="dxa"/>
            <w:tcBorders>
              <w:top w:val="nil"/>
              <w:left w:val="nil"/>
              <w:bottom w:val="single" w:sz="4" w:space="0" w:color="auto"/>
              <w:right w:val="single" w:sz="4" w:space="0" w:color="auto"/>
            </w:tcBorders>
            <w:shd w:val="clear" w:color="auto" w:fill="auto"/>
            <w:vAlign w:val="center"/>
            <w:hideMark/>
          </w:tcPr>
          <w:p w14:paraId="13F20F67" w14:textId="349586D1" w:rsidR="00CE6E67" w:rsidRPr="00033E65" w:rsidRDefault="00AF1879" w:rsidP="00F56E15">
            <w:pPr>
              <w:spacing w:after="0"/>
              <w:jc w:val="center"/>
              <w:rPr>
                <w:rFonts w:cs="Calibri"/>
                <w:i/>
                <w:iCs/>
                <w:color w:val="000000"/>
                <w:szCs w:val="22"/>
                <w:lang w:eastAsia="es-CR"/>
              </w:rPr>
            </w:pPr>
            <w:r w:rsidRPr="00033E65">
              <w:rPr>
                <w:rFonts w:cs="Calibri"/>
                <w:i/>
                <w:iCs/>
                <w:color w:val="000000"/>
                <w:szCs w:val="22"/>
                <w:lang w:eastAsia="es-CR"/>
              </w:rPr>
              <w:t>8</w:t>
            </w:r>
          </w:p>
        </w:tc>
      </w:tr>
      <w:tr w:rsidR="00F03DCA" w:rsidRPr="00033E65" w14:paraId="7F23D634" w14:textId="77777777" w:rsidTr="00274042">
        <w:trPr>
          <w:trHeight w:val="18"/>
          <w:jc w:val="center"/>
        </w:trPr>
        <w:tc>
          <w:tcPr>
            <w:tcW w:w="1425" w:type="dxa"/>
            <w:vMerge/>
            <w:tcBorders>
              <w:top w:val="nil"/>
              <w:left w:val="single" w:sz="4" w:space="0" w:color="auto"/>
              <w:bottom w:val="single" w:sz="4" w:space="0" w:color="auto"/>
              <w:right w:val="single" w:sz="4" w:space="0" w:color="auto"/>
            </w:tcBorders>
            <w:vAlign w:val="center"/>
            <w:hideMark/>
          </w:tcPr>
          <w:p w14:paraId="2F176500" w14:textId="77777777" w:rsidR="00CE6E67" w:rsidRPr="00033E65" w:rsidRDefault="00CE6E67" w:rsidP="00F56E15">
            <w:pPr>
              <w:spacing w:after="0"/>
              <w:rPr>
                <w:rFonts w:cs="Calibri"/>
                <w:b/>
                <w:bCs/>
                <w:i/>
                <w:iCs/>
                <w:color w:val="000000"/>
                <w:szCs w:val="22"/>
                <w:lang w:eastAsia="es-CR"/>
              </w:rPr>
            </w:pPr>
          </w:p>
        </w:tc>
        <w:tc>
          <w:tcPr>
            <w:tcW w:w="1425" w:type="dxa"/>
            <w:tcBorders>
              <w:top w:val="nil"/>
              <w:left w:val="nil"/>
              <w:bottom w:val="single" w:sz="4" w:space="0" w:color="auto"/>
              <w:right w:val="single" w:sz="4" w:space="0" w:color="auto"/>
            </w:tcBorders>
            <w:shd w:val="clear" w:color="auto" w:fill="auto"/>
            <w:vAlign w:val="center"/>
            <w:hideMark/>
          </w:tcPr>
          <w:p w14:paraId="2F8A8020" w14:textId="77777777" w:rsidR="00CE6E67" w:rsidRPr="00033E65" w:rsidRDefault="00CE6E67" w:rsidP="00F56E15">
            <w:pPr>
              <w:spacing w:after="0"/>
              <w:rPr>
                <w:rFonts w:cs="Calibri"/>
                <w:b/>
                <w:bCs/>
                <w:i/>
                <w:iCs/>
                <w:color w:val="000000"/>
                <w:szCs w:val="22"/>
                <w:lang w:eastAsia="es-CR"/>
              </w:rPr>
            </w:pPr>
            <w:r w:rsidRPr="00033E65">
              <w:rPr>
                <w:rFonts w:cs="Calibri"/>
                <w:b/>
                <w:bCs/>
                <w:i/>
                <w:iCs/>
                <w:color w:val="000000"/>
                <w:szCs w:val="22"/>
                <w:lang w:eastAsia="es-CR"/>
              </w:rPr>
              <w:t>Trabajo</w:t>
            </w:r>
          </w:p>
        </w:tc>
        <w:tc>
          <w:tcPr>
            <w:tcW w:w="1425" w:type="dxa"/>
            <w:vMerge/>
            <w:tcBorders>
              <w:top w:val="nil"/>
              <w:left w:val="single" w:sz="4" w:space="0" w:color="auto"/>
              <w:bottom w:val="single" w:sz="4" w:space="0" w:color="auto"/>
              <w:right w:val="single" w:sz="4" w:space="0" w:color="auto"/>
            </w:tcBorders>
            <w:vAlign w:val="center"/>
            <w:hideMark/>
          </w:tcPr>
          <w:p w14:paraId="6F621E45" w14:textId="77777777" w:rsidR="00CE6E67" w:rsidRPr="00033E65" w:rsidRDefault="00CE6E67" w:rsidP="00F56E15">
            <w:pPr>
              <w:spacing w:after="0"/>
              <w:rPr>
                <w:rFonts w:cs="Calibri"/>
                <w:i/>
                <w:iCs/>
                <w:color w:val="000000"/>
                <w:szCs w:val="22"/>
                <w:lang w:eastAsia="es-CR"/>
              </w:rPr>
            </w:pPr>
          </w:p>
        </w:tc>
        <w:tc>
          <w:tcPr>
            <w:tcW w:w="1426" w:type="dxa"/>
            <w:vMerge/>
            <w:tcBorders>
              <w:top w:val="nil"/>
              <w:left w:val="single" w:sz="4" w:space="0" w:color="auto"/>
              <w:bottom w:val="single" w:sz="4" w:space="0" w:color="auto"/>
              <w:right w:val="single" w:sz="4" w:space="0" w:color="auto"/>
            </w:tcBorders>
            <w:vAlign w:val="center"/>
            <w:hideMark/>
          </w:tcPr>
          <w:p w14:paraId="22302452" w14:textId="77777777" w:rsidR="00CE6E67" w:rsidRPr="00033E65" w:rsidRDefault="00CE6E67" w:rsidP="00F56E15">
            <w:pPr>
              <w:spacing w:after="0"/>
              <w:rPr>
                <w:rFonts w:cs="Calibri"/>
                <w:i/>
                <w:iCs/>
                <w:color w:val="000000"/>
                <w:szCs w:val="22"/>
                <w:lang w:eastAsia="es-CR"/>
              </w:rPr>
            </w:pPr>
          </w:p>
        </w:tc>
        <w:tc>
          <w:tcPr>
            <w:tcW w:w="1428" w:type="dxa"/>
            <w:tcBorders>
              <w:top w:val="nil"/>
              <w:left w:val="nil"/>
              <w:bottom w:val="single" w:sz="4" w:space="0" w:color="auto"/>
              <w:right w:val="single" w:sz="4" w:space="0" w:color="auto"/>
            </w:tcBorders>
            <w:shd w:val="clear" w:color="auto" w:fill="auto"/>
            <w:vAlign w:val="center"/>
            <w:hideMark/>
          </w:tcPr>
          <w:p w14:paraId="2BEE1CF5"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50%</w:t>
            </w:r>
          </w:p>
        </w:tc>
        <w:tc>
          <w:tcPr>
            <w:tcW w:w="2080" w:type="dxa"/>
            <w:tcBorders>
              <w:top w:val="nil"/>
              <w:left w:val="nil"/>
              <w:bottom w:val="single" w:sz="4" w:space="0" w:color="auto"/>
              <w:right w:val="single" w:sz="4" w:space="0" w:color="auto"/>
            </w:tcBorders>
            <w:shd w:val="clear" w:color="auto" w:fill="auto"/>
            <w:vAlign w:val="center"/>
            <w:hideMark/>
          </w:tcPr>
          <w:p w14:paraId="68D99B33" w14:textId="520A09A4" w:rsidR="00CE6E67" w:rsidRPr="00033E65" w:rsidRDefault="00AF1879" w:rsidP="00F56E15">
            <w:pPr>
              <w:spacing w:after="0"/>
              <w:jc w:val="center"/>
              <w:rPr>
                <w:rFonts w:cs="Calibri"/>
                <w:i/>
                <w:iCs/>
                <w:color w:val="000000"/>
                <w:szCs w:val="22"/>
                <w:lang w:eastAsia="es-CR"/>
              </w:rPr>
            </w:pPr>
            <w:r w:rsidRPr="00033E65">
              <w:rPr>
                <w:rFonts w:cs="Calibri"/>
                <w:i/>
                <w:iCs/>
                <w:color w:val="000000"/>
                <w:szCs w:val="22"/>
                <w:lang w:eastAsia="es-CR"/>
              </w:rPr>
              <w:t>9</w:t>
            </w:r>
          </w:p>
        </w:tc>
      </w:tr>
      <w:tr w:rsidR="00F03DCA" w:rsidRPr="00033E65" w14:paraId="2BE427A1" w14:textId="77777777" w:rsidTr="00274042">
        <w:trPr>
          <w:trHeight w:val="18"/>
          <w:jc w:val="center"/>
        </w:trPr>
        <w:tc>
          <w:tcPr>
            <w:tcW w:w="1425" w:type="dxa"/>
            <w:vMerge/>
            <w:tcBorders>
              <w:top w:val="nil"/>
              <w:left w:val="single" w:sz="4" w:space="0" w:color="auto"/>
              <w:bottom w:val="single" w:sz="4" w:space="0" w:color="auto"/>
              <w:right w:val="single" w:sz="4" w:space="0" w:color="auto"/>
            </w:tcBorders>
            <w:vAlign w:val="center"/>
            <w:hideMark/>
          </w:tcPr>
          <w:p w14:paraId="1CDD9190" w14:textId="77777777" w:rsidR="00CE6E67" w:rsidRPr="00033E65" w:rsidRDefault="00CE6E67" w:rsidP="00F56E15">
            <w:pPr>
              <w:spacing w:after="0"/>
              <w:rPr>
                <w:rFonts w:cs="Calibri"/>
                <w:b/>
                <w:bCs/>
                <w:i/>
                <w:iCs/>
                <w:color w:val="000000"/>
                <w:szCs w:val="22"/>
                <w:lang w:eastAsia="es-CR"/>
              </w:rPr>
            </w:pPr>
          </w:p>
        </w:tc>
        <w:tc>
          <w:tcPr>
            <w:tcW w:w="1425" w:type="dxa"/>
            <w:tcBorders>
              <w:top w:val="nil"/>
              <w:left w:val="nil"/>
              <w:bottom w:val="single" w:sz="4" w:space="0" w:color="auto"/>
              <w:right w:val="single" w:sz="4" w:space="0" w:color="auto"/>
            </w:tcBorders>
            <w:shd w:val="clear" w:color="auto" w:fill="auto"/>
            <w:vAlign w:val="center"/>
            <w:hideMark/>
          </w:tcPr>
          <w:p w14:paraId="7B2600C6" w14:textId="77777777" w:rsidR="00CE6E67" w:rsidRPr="00033E65" w:rsidRDefault="00CE6E67" w:rsidP="00F56E15">
            <w:pPr>
              <w:spacing w:after="0"/>
              <w:rPr>
                <w:rFonts w:cs="Calibri"/>
                <w:b/>
                <w:bCs/>
                <w:i/>
                <w:iCs/>
                <w:color w:val="000000"/>
                <w:szCs w:val="22"/>
                <w:lang w:eastAsia="es-CR"/>
              </w:rPr>
            </w:pPr>
            <w:r w:rsidRPr="00033E65">
              <w:rPr>
                <w:rFonts w:cs="Calibri"/>
                <w:b/>
                <w:bCs/>
                <w:i/>
                <w:iCs/>
                <w:color w:val="000000"/>
                <w:szCs w:val="22"/>
                <w:lang w:eastAsia="es-CR"/>
              </w:rPr>
              <w:t>Agrario</w:t>
            </w:r>
          </w:p>
        </w:tc>
        <w:tc>
          <w:tcPr>
            <w:tcW w:w="1425" w:type="dxa"/>
            <w:vMerge/>
            <w:tcBorders>
              <w:top w:val="nil"/>
              <w:left w:val="single" w:sz="4" w:space="0" w:color="auto"/>
              <w:bottom w:val="single" w:sz="4" w:space="0" w:color="auto"/>
              <w:right w:val="single" w:sz="4" w:space="0" w:color="auto"/>
            </w:tcBorders>
            <w:vAlign w:val="center"/>
            <w:hideMark/>
          </w:tcPr>
          <w:p w14:paraId="7BF8A65C" w14:textId="77777777" w:rsidR="00CE6E67" w:rsidRPr="00033E65" w:rsidRDefault="00CE6E67" w:rsidP="00F56E15">
            <w:pPr>
              <w:spacing w:after="0"/>
              <w:rPr>
                <w:rFonts w:cs="Calibri"/>
                <w:i/>
                <w:iCs/>
                <w:color w:val="000000"/>
                <w:szCs w:val="22"/>
                <w:lang w:eastAsia="es-CR"/>
              </w:rPr>
            </w:pPr>
          </w:p>
        </w:tc>
        <w:tc>
          <w:tcPr>
            <w:tcW w:w="1426" w:type="dxa"/>
            <w:vMerge/>
            <w:tcBorders>
              <w:top w:val="nil"/>
              <w:left w:val="single" w:sz="4" w:space="0" w:color="auto"/>
              <w:bottom w:val="single" w:sz="4" w:space="0" w:color="auto"/>
              <w:right w:val="single" w:sz="4" w:space="0" w:color="auto"/>
            </w:tcBorders>
            <w:vAlign w:val="center"/>
            <w:hideMark/>
          </w:tcPr>
          <w:p w14:paraId="0D131023" w14:textId="77777777" w:rsidR="00CE6E67" w:rsidRPr="00033E65" w:rsidRDefault="00CE6E67" w:rsidP="00F56E15">
            <w:pPr>
              <w:spacing w:after="0"/>
              <w:rPr>
                <w:rFonts w:cs="Calibri"/>
                <w:i/>
                <w:iCs/>
                <w:color w:val="000000"/>
                <w:szCs w:val="22"/>
                <w:lang w:eastAsia="es-CR"/>
              </w:rPr>
            </w:pPr>
          </w:p>
        </w:tc>
        <w:tc>
          <w:tcPr>
            <w:tcW w:w="1428" w:type="dxa"/>
            <w:tcBorders>
              <w:top w:val="nil"/>
              <w:left w:val="nil"/>
              <w:bottom w:val="single" w:sz="4" w:space="0" w:color="auto"/>
              <w:right w:val="single" w:sz="4" w:space="0" w:color="auto"/>
            </w:tcBorders>
            <w:shd w:val="clear" w:color="auto" w:fill="auto"/>
            <w:vAlign w:val="center"/>
            <w:hideMark/>
          </w:tcPr>
          <w:p w14:paraId="2F5EB3CE"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100%</w:t>
            </w:r>
          </w:p>
        </w:tc>
        <w:tc>
          <w:tcPr>
            <w:tcW w:w="2080" w:type="dxa"/>
            <w:tcBorders>
              <w:top w:val="nil"/>
              <w:left w:val="nil"/>
              <w:bottom w:val="single" w:sz="4" w:space="0" w:color="auto"/>
              <w:right w:val="single" w:sz="4" w:space="0" w:color="auto"/>
            </w:tcBorders>
            <w:shd w:val="clear" w:color="auto" w:fill="auto"/>
            <w:vAlign w:val="center"/>
            <w:hideMark/>
          </w:tcPr>
          <w:p w14:paraId="5F24BC4D" w14:textId="3DFF751B"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1</w:t>
            </w:r>
            <w:r w:rsidR="00AF1879" w:rsidRPr="00033E65">
              <w:rPr>
                <w:rFonts w:cs="Calibri"/>
                <w:i/>
                <w:iCs/>
                <w:color w:val="000000"/>
                <w:szCs w:val="22"/>
                <w:lang w:eastAsia="es-CR"/>
              </w:rPr>
              <w:t>1</w:t>
            </w:r>
            <w:r w:rsidRPr="00033E65">
              <w:rPr>
                <w:rFonts w:cs="Calibri"/>
                <w:i/>
                <w:iCs/>
                <w:color w:val="000000"/>
                <w:szCs w:val="22"/>
                <w:lang w:eastAsia="es-CR"/>
              </w:rPr>
              <w:t xml:space="preserve"> </w:t>
            </w:r>
          </w:p>
          <w:p w14:paraId="1F58C757"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(50% de un despacho especializado)</w:t>
            </w:r>
          </w:p>
        </w:tc>
      </w:tr>
      <w:tr w:rsidR="00F03DCA" w:rsidRPr="00033E65" w14:paraId="3AF8B1B2" w14:textId="77777777" w:rsidTr="00274042">
        <w:trPr>
          <w:trHeight w:val="18"/>
          <w:jc w:val="center"/>
        </w:trPr>
        <w:tc>
          <w:tcPr>
            <w:tcW w:w="1425" w:type="dxa"/>
            <w:vMerge/>
            <w:tcBorders>
              <w:top w:val="nil"/>
              <w:left w:val="single" w:sz="4" w:space="0" w:color="auto"/>
              <w:bottom w:val="single" w:sz="4" w:space="0" w:color="auto"/>
              <w:right w:val="single" w:sz="4" w:space="0" w:color="auto"/>
            </w:tcBorders>
            <w:vAlign w:val="center"/>
            <w:hideMark/>
          </w:tcPr>
          <w:p w14:paraId="6AD108DA" w14:textId="77777777" w:rsidR="00CE6E67" w:rsidRPr="00033E65" w:rsidRDefault="00CE6E67" w:rsidP="00F56E15">
            <w:pPr>
              <w:spacing w:after="0"/>
              <w:rPr>
                <w:rFonts w:cs="Calibri"/>
                <w:b/>
                <w:bCs/>
                <w:i/>
                <w:iCs/>
                <w:color w:val="000000"/>
                <w:szCs w:val="22"/>
                <w:lang w:eastAsia="es-CR"/>
              </w:rPr>
            </w:pPr>
          </w:p>
        </w:tc>
        <w:tc>
          <w:tcPr>
            <w:tcW w:w="1425" w:type="dxa"/>
            <w:tcBorders>
              <w:top w:val="nil"/>
              <w:left w:val="nil"/>
              <w:bottom w:val="single" w:sz="4" w:space="0" w:color="auto"/>
              <w:right w:val="single" w:sz="4" w:space="0" w:color="auto"/>
            </w:tcBorders>
            <w:shd w:val="clear" w:color="auto" w:fill="auto"/>
            <w:vAlign w:val="center"/>
            <w:hideMark/>
          </w:tcPr>
          <w:p w14:paraId="704D8A54" w14:textId="77777777" w:rsidR="00CE6E67" w:rsidRPr="00033E65" w:rsidRDefault="00CE6E67" w:rsidP="00F56E15">
            <w:pPr>
              <w:spacing w:after="0"/>
              <w:rPr>
                <w:rFonts w:cs="Calibri"/>
                <w:b/>
                <w:bCs/>
                <w:i/>
                <w:iCs/>
                <w:color w:val="000000"/>
                <w:szCs w:val="22"/>
                <w:lang w:eastAsia="es-CR"/>
              </w:rPr>
            </w:pPr>
            <w:r w:rsidRPr="00033E65">
              <w:rPr>
                <w:rFonts w:cs="Calibri"/>
                <w:b/>
                <w:bCs/>
                <w:i/>
                <w:iCs/>
                <w:color w:val="000000"/>
                <w:szCs w:val="22"/>
                <w:lang w:eastAsia="es-CR"/>
              </w:rPr>
              <w:t>Familia</w:t>
            </w:r>
          </w:p>
        </w:tc>
        <w:tc>
          <w:tcPr>
            <w:tcW w:w="14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C0B186"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1</w:t>
            </w:r>
          </w:p>
        </w:tc>
        <w:tc>
          <w:tcPr>
            <w:tcW w:w="1426" w:type="dxa"/>
            <w:vMerge/>
            <w:tcBorders>
              <w:top w:val="nil"/>
              <w:left w:val="single" w:sz="4" w:space="0" w:color="auto"/>
              <w:bottom w:val="single" w:sz="4" w:space="0" w:color="auto"/>
              <w:right w:val="single" w:sz="4" w:space="0" w:color="auto"/>
            </w:tcBorders>
            <w:vAlign w:val="center"/>
            <w:hideMark/>
          </w:tcPr>
          <w:p w14:paraId="20674902" w14:textId="77777777" w:rsidR="00CE6E67" w:rsidRPr="00033E65" w:rsidRDefault="00CE6E67" w:rsidP="00F56E15">
            <w:pPr>
              <w:spacing w:after="0"/>
              <w:rPr>
                <w:rFonts w:cs="Calibri"/>
                <w:i/>
                <w:iCs/>
                <w:color w:val="000000"/>
                <w:szCs w:val="22"/>
                <w:lang w:eastAsia="es-CR"/>
              </w:rPr>
            </w:pPr>
          </w:p>
        </w:tc>
        <w:tc>
          <w:tcPr>
            <w:tcW w:w="1428" w:type="dxa"/>
            <w:tcBorders>
              <w:top w:val="nil"/>
              <w:left w:val="nil"/>
              <w:bottom w:val="single" w:sz="4" w:space="0" w:color="auto"/>
              <w:right w:val="single" w:sz="4" w:space="0" w:color="auto"/>
            </w:tcBorders>
            <w:shd w:val="clear" w:color="auto" w:fill="auto"/>
            <w:vAlign w:val="center"/>
            <w:hideMark/>
          </w:tcPr>
          <w:p w14:paraId="356897B6"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100%</w:t>
            </w:r>
          </w:p>
        </w:tc>
        <w:tc>
          <w:tcPr>
            <w:tcW w:w="2080" w:type="dxa"/>
            <w:tcBorders>
              <w:top w:val="nil"/>
              <w:left w:val="nil"/>
              <w:bottom w:val="single" w:sz="4" w:space="0" w:color="auto"/>
              <w:right w:val="single" w:sz="4" w:space="0" w:color="auto"/>
            </w:tcBorders>
            <w:shd w:val="clear" w:color="auto" w:fill="auto"/>
            <w:vAlign w:val="center"/>
            <w:hideMark/>
          </w:tcPr>
          <w:p w14:paraId="0890ED9F" w14:textId="64A7FB0D" w:rsidR="00CE6E67" w:rsidRPr="00033E65" w:rsidRDefault="00C33022" w:rsidP="00F56E15">
            <w:pPr>
              <w:spacing w:after="0"/>
              <w:jc w:val="center"/>
              <w:rPr>
                <w:rFonts w:cs="Calibri"/>
                <w:i/>
                <w:iCs/>
                <w:color w:val="000000"/>
                <w:szCs w:val="22"/>
                <w:lang w:eastAsia="es-CR"/>
              </w:rPr>
            </w:pPr>
            <w:r w:rsidRPr="00033E65">
              <w:rPr>
                <w:rFonts w:cs="Calibri"/>
                <w:i/>
                <w:iCs/>
                <w:color w:val="000000"/>
                <w:szCs w:val="22"/>
                <w:lang w:eastAsia="es-CR"/>
              </w:rPr>
              <w:t>20</w:t>
            </w:r>
          </w:p>
        </w:tc>
      </w:tr>
      <w:tr w:rsidR="00F03DCA" w:rsidRPr="00033E65" w14:paraId="2BCE373B" w14:textId="77777777" w:rsidTr="00274042">
        <w:trPr>
          <w:trHeight w:val="18"/>
          <w:jc w:val="center"/>
        </w:trPr>
        <w:tc>
          <w:tcPr>
            <w:tcW w:w="1425" w:type="dxa"/>
            <w:vMerge/>
            <w:tcBorders>
              <w:top w:val="nil"/>
              <w:left w:val="single" w:sz="4" w:space="0" w:color="auto"/>
              <w:bottom w:val="single" w:sz="4" w:space="0" w:color="auto"/>
              <w:right w:val="single" w:sz="4" w:space="0" w:color="auto"/>
            </w:tcBorders>
            <w:vAlign w:val="center"/>
            <w:hideMark/>
          </w:tcPr>
          <w:p w14:paraId="71C5D7B2" w14:textId="77777777" w:rsidR="00CE6E67" w:rsidRPr="00033E65" w:rsidRDefault="00CE6E67" w:rsidP="00F56E15">
            <w:pPr>
              <w:spacing w:after="0"/>
              <w:rPr>
                <w:rFonts w:cs="Calibri"/>
                <w:b/>
                <w:bCs/>
                <w:i/>
                <w:iCs/>
                <w:color w:val="000000"/>
                <w:szCs w:val="22"/>
                <w:lang w:eastAsia="es-CR"/>
              </w:rPr>
            </w:pPr>
          </w:p>
        </w:tc>
        <w:tc>
          <w:tcPr>
            <w:tcW w:w="1425" w:type="dxa"/>
            <w:tcBorders>
              <w:top w:val="nil"/>
              <w:left w:val="nil"/>
              <w:bottom w:val="single" w:sz="4" w:space="0" w:color="auto"/>
              <w:right w:val="single" w:sz="4" w:space="0" w:color="auto"/>
            </w:tcBorders>
            <w:shd w:val="clear" w:color="auto" w:fill="auto"/>
            <w:vAlign w:val="center"/>
            <w:hideMark/>
          </w:tcPr>
          <w:p w14:paraId="4DF0C64B" w14:textId="77777777" w:rsidR="00CE6E67" w:rsidRPr="00033E65" w:rsidRDefault="00CE6E67" w:rsidP="00F56E15">
            <w:pPr>
              <w:spacing w:after="0"/>
              <w:rPr>
                <w:rFonts w:cs="Calibri"/>
                <w:b/>
                <w:bCs/>
                <w:i/>
                <w:iCs/>
                <w:color w:val="000000"/>
                <w:szCs w:val="22"/>
                <w:lang w:eastAsia="es-CR"/>
              </w:rPr>
            </w:pPr>
            <w:r w:rsidRPr="00033E65">
              <w:rPr>
                <w:rFonts w:cs="Calibri"/>
                <w:b/>
                <w:bCs/>
                <w:i/>
                <w:iCs/>
                <w:color w:val="000000"/>
                <w:szCs w:val="22"/>
                <w:lang w:eastAsia="es-CR"/>
              </w:rPr>
              <w:t>Viol. Dom.</w:t>
            </w:r>
          </w:p>
        </w:tc>
        <w:tc>
          <w:tcPr>
            <w:tcW w:w="1425" w:type="dxa"/>
            <w:vMerge/>
            <w:tcBorders>
              <w:top w:val="nil"/>
              <w:left w:val="single" w:sz="4" w:space="0" w:color="auto"/>
              <w:bottom w:val="single" w:sz="4" w:space="0" w:color="auto"/>
              <w:right w:val="single" w:sz="4" w:space="0" w:color="auto"/>
            </w:tcBorders>
            <w:vAlign w:val="center"/>
            <w:hideMark/>
          </w:tcPr>
          <w:p w14:paraId="28F40430" w14:textId="77777777" w:rsidR="00CE6E67" w:rsidRPr="00033E65" w:rsidRDefault="00CE6E67" w:rsidP="00F56E15">
            <w:pPr>
              <w:spacing w:after="0"/>
              <w:rPr>
                <w:rFonts w:cs="Calibri"/>
                <w:i/>
                <w:iCs/>
                <w:color w:val="000000"/>
                <w:szCs w:val="22"/>
                <w:lang w:eastAsia="es-CR"/>
              </w:rPr>
            </w:pPr>
          </w:p>
        </w:tc>
        <w:tc>
          <w:tcPr>
            <w:tcW w:w="1426" w:type="dxa"/>
            <w:vMerge/>
            <w:tcBorders>
              <w:top w:val="nil"/>
              <w:left w:val="single" w:sz="4" w:space="0" w:color="auto"/>
              <w:bottom w:val="single" w:sz="4" w:space="0" w:color="auto"/>
              <w:right w:val="single" w:sz="4" w:space="0" w:color="auto"/>
            </w:tcBorders>
            <w:vAlign w:val="center"/>
            <w:hideMark/>
          </w:tcPr>
          <w:p w14:paraId="34517038" w14:textId="77777777" w:rsidR="00CE6E67" w:rsidRPr="00033E65" w:rsidRDefault="00CE6E67" w:rsidP="00F56E15">
            <w:pPr>
              <w:spacing w:after="0"/>
              <w:rPr>
                <w:rFonts w:cs="Calibri"/>
                <w:i/>
                <w:iCs/>
                <w:color w:val="000000"/>
                <w:szCs w:val="22"/>
                <w:lang w:eastAsia="es-CR"/>
              </w:rPr>
            </w:pPr>
          </w:p>
        </w:tc>
        <w:tc>
          <w:tcPr>
            <w:tcW w:w="1428" w:type="dxa"/>
            <w:tcBorders>
              <w:top w:val="nil"/>
              <w:left w:val="nil"/>
              <w:bottom w:val="single" w:sz="4" w:space="0" w:color="auto"/>
              <w:right w:val="single" w:sz="4" w:space="0" w:color="auto"/>
            </w:tcBorders>
            <w:shd w:val="clear" w:color="auto" w:fill="auto"/>
            <w:vAlign w:val="center"/>
            <w:hideMark/>
          </w:tcPr>
          <w:p w14:paraId="334AD276"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100%</w:t>
            </w:r>
          </w:p>
        </w:tc>
        <w:tc>
          <w:tcPr>
            <w:tcW w:w="2080" w:type="dxa"/>
            <w:tcBorders>
              <w:top w:val="nil"/>
              <w:left w:val="nil"/>
              <w:bottom w:val="single" w:sz="4" w:space="0" w:color="auto"/>
              <w:right w:val="single" w:sz="4" w:space="0" w:color="auto"/>
            </w:tcBorders>
            <w:shd w:val="clear" w:color="auto" w:fill="auto"/>
            <w:vAlign w:val="center"/>
            <w:hideMark/>
          </w:tcPr>
          <w:p w14:paraId="5878C298" w14:textId="35F85DCC" w:rsidR="00CE6E67" w:rsidRPr="00033E65" w:rsidRDefault="00DF0D05" w:rsidP="00F56E15">
            <w:pPr>
              <w:spacing w:after="0"/>
              <w:jc w:val="center"/>
              <w:rPr>
                <w:rFonts w:cs="Calibri"/>
                <w:i/>
                <w:iCs/>
                <w:color w:val="000000"/>
                <w:szCs w:val="22"/>
                <w:lang w:eastAsia="es-CR"/>
              </w:rPr>
            </w:pPr>
            <w:r w:rsidRPr="00033E65">
              <w:rPr>
                <w:rFonts w:cs="Calibri"/>
                <w:i/>
                <w:iCs/>
                <w:color w:val="000000"/>
                <w:szCs w:val="22"/>
                <w:lang w:eastAsia="es-CR"/>
              </w:rPr>
              <w:t>38</w:t>
            </w:r>
          </w:p>
        </w:tc>
      </w:tr>
      <w:tr w:rsidR="00F03DCA" w:rsidRPr="00033E65" w14:paraId="39B801B9" w14:textId="77777777" w:rsidTr="00274042">
        <w:trPr>
          <w:trHeight w:val="18"/>
          <w:jc w:val="center"/>
        </w:trPr>
        <w:tc>
          <w:tcPr>
            <w:tcW w:w="1425" w:type="dxa"/>
            <w:vMerge/>
            <w:tcBorders>
              <w:top w:val="nil"/>
              <w:left w:val="single" w:sz="4" w:space="0" w:color="auto"/>
              <w:bottom w:val="single" w:sz="4" w:space="0" w:color="auto"/>
              <w:right w:val="single" w:sz="4" w:space="0" w:color="auto"/>
            </w:tcBorders>
            <w:vAlign w:val="center"/>
            <w:hideMark/>
          </w:tcPr>
          <w:p w14:paraId="2129AF7F" w14:textId="77777777" w:rsidR="00CE6E67" w:rsidRPr="00033E65" w:rsidRDefault="00CE6E67" w:rsidP="00F56E15">
            <w:pPr>
              <w:spacing w:after="0"/>
              <w:rPr>
                <w:rFonts w:cs="Calibri"/>
                <w:b/>
                <w:bCs/>
                <w:i/>
                <w:iCs/>
                <w:color w:val="000000"/>
                <w:szCs w:val="22"/>
                <w:lang w:eastAsia="es-CR"/>
              </w:rPr>
            </w:pPr>
          </w:p>
        </w:tc>
        <w:tc>
          <w:tcPr>
            <w:tcW w:w="1425" w:type="dxa"/>
            <w:tcBorders>
              <w:top w:val="nil"/>
              <w:left w:val="nil"/>
              <w:bottom w:val="single" w:sz="4" w:space="0" w:color="auto"/>
              <w:right w:val="single" w:sz="4" w:space="0" w:color="auto"/>
            </w:tcBorders>
            <w:shd w:val="clear" w:color="auto" w:fill="auto"/>
            <w:vAlign w:val="center"/>
            <w:hideMark/>
          </w:tcPr>
          <w:p w14:paraId="573E658A" w14:textId="77777777" w:rsidR="00CE6E67" w:rsidRPr="00033E65" w:rsidRDefault="00CE6E67" w:rsidP="00F56E15">
            <w:pPr>
              <w:spacing w:after="0"/>
              <w:rPr>
                <w:rFonts w:cs="Calibri"/>
                <w:b/>
                <w:bCs/>
                <w:i/>
                <w:iCs/>
                <w:color w:val="000000"/>
                <w:szCs w:val="22"/>
                <w:lang w:eastAsia="es-CR"/>
              </w:rPr>
            </w:pPr>
            <w:r w:rsidRPr="00033E65">
              <w:rPr>
                <w:rFonts w:cs="Calibri"/>
                <w:b/>
                <w:bCs/>
                <w:i/>
                <w:iCs/>
                <w:color w:val="000000"/>
                <w:szCs w:val="22"/>
                <w:lang w:eastAsia="es-CR"/>
              </w:rPr>
              <w:t>Penal Juvenil</w:t>
            </w:r>
          </w:p>
        </w:tc>
        <w:tc>
          <w:tcPr>
            <w:tcW w:w="1425" w:type="dxa"/>
            <w:vMerge/>
            <w:tcBorders>
              <w:top w:val="nil"/>
              <w:left w:val="single" w:sz="4" w:space="0" w:color="auto"/>
              <w:bottom w:val="single" w:sz="4" w:space="0" w:color="auto"/>
              <w:right w:val="single" w:sz="4" w:space="0" w:color="auto"/>
            </w:tcBorders>
            <w:vAlign w:val="center"/>
            <w:hideMark/>
          </w:tcPr>
          <w:p w14:paraId="0FCA4723" w14:textId="77777777" w:rsidR="00CE6E67" w:rsidRPr="00033E65" w:rsidRDefault="00CE6E67" w:rsidP="00F56E15">
            <w:pPr>
              <w:spacing w:after="0"/>
              <w:rPr>
                <w:rFonts w:cs="Calibri"/>
                <w:i/>
                <w:iCs/>
                <w:color w:val="000000"/>
                <w:szCs w:val="22"/>
                <w:lang w:eastAsia="es-CR"/>
              </w:rPr>
            </w:pPr>
          </w:p>
        </w:tc>
        <w:tc>
          <w:tcPr>
            <w:tcW w:w="1426" w:type="dxa"/>
            <w:vMerge/>
            <w:tcBorders>
              <w:top w:val="nil"/>
              <w:left w:val="single" w:sz="4" w:space="0" w:color="auto"/>
              <w:bottom w:val="single" w:sz="4" w:space="0" w:color="auto"/>
              <w:right w:val="single" w:sz="4" w:space="0" w:color="auto"/>
            </w:tcBorders>
            <w:vAlign w:val="center"/>
            <w:hideMark/>
          </w:tcPr>
          <w:p w14:paraId="5E17C1AF" w14:textId="77777777" w:rsidR="00CE6E67" w:rsidRPr="00033E65" w:rsidRDefault="00CE6E67" w:rsidP="00F56E15">
            <w:pPr>
              <w:spacing w:after="0"/>
              <w:rPr>
                <w:rFonts w:cs="Calibri"/>
                <w:i/>
                <w:iCs/>
                <w:color w:val="000000"/>
                <w:szCs w:val="22"/>
                <w:lang w:eastAsia="es-CR"/>
              </w:rPr>
            </w:pPr>
          </w:p>
        </w:tc>
        <w:tc>
          <w:tcPr>
            <w:tcW w:w="1428" w:type="dxa"/>
            <w:tcBorders>
              <w:top w:val="nil"/>
              <w:left w:val="nil"/>
              <w:bottom w:val="single" w:sz="4" w:space="0" w:color="auto"/>
              <w:right w:val="single" w:sz="4" w:space="0" w:color="auto"/>
            </w:tcBorders>
            <w:shd w:val="clear" w:color="auto" w:fill="auto"/>
            <w:vAlign w:val="center"/>
            <w:hideMark/>
          </w:tcPr>
          <w:p w14:paraId="506E4AB6"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100%</w:t>
            </w:r>
          </w:p>
        </w:tc>
        <w:tc>
          <w:tcPr>
            <w:tcW w:w="2080" w:type="dxa"/>
            <w:tcBorders>
              <w:top w:val="nil"/>
              <w:left w:val="nil"/>
              <w:bottom w:val="single" w:sz="4" w:space="0" w:color="auto"/>
              <w:right w:val="single" w:sz="4" w:space="0" w:color="auto"/>
            </w:tcBorders>
            <w:shd w:val="clear" w:color="auto" w:fill="auto"/>
            <w:vAlign w:val="center"/>
            <w:hideMark/>
          </w:tcPr>
          <w:p w14:paraId="323516CA" w14:textId="05683ED6" w:rsidR="00CE6E67" w:rsidRPr="00033E65" w:rsidRDefault="00CA1976" w:rsidP="00F56E15">
            <w:pPr>
              <w:spacing w:after="0"/>
              <w:jc w:val="center"/>
              <w:rPr>
                <w:rFonts w:cs="Calibri"/>
                <w:i/>
                <w:iCs/>
                <w:color w:val="000000"/>
                <w:szCs w:val="22"/>
                <w:lang w:eastAsia="es-CR"/>
              </w:rPr>
            </w:pPr>
            <w:r w:rsidRPr="00033E65">
              <w:rPr>
                <w:rFonts w:cs="Calibri"/>
                <w:i/>
                <w:iCs/>
                <w:color w:val="000000"/>
                <w:szCs w:val="22"/>
                <w:lang w:eastAsia="es-CR"/>
              </w:rPr>
              <w:t>4</w:t>
            </w:r>
          </w:p>
        </w:tc>
      </w:tr>
      <w:tr w:rsidR="00F03DCA" w:rsidRPr="00033E65" w14:paraId="0919232D" w14:textId="77777777" w:rsidTr="00274042">
        <w:trPr>
          <w:trHeight w:val="18"/>
          <w:jc w:val="center"/>
        </w:trPr>
        <w:tc>
          <w:tcPr>
            <w:tcW w:w="1425" w:type="dxa"/>
            <w:vMerge/>
            <w:tcBorders>
              <w:top w:val="nil"/>
              <w:left w:val="single" w:sz="4" w:space="0" w:color="auto"/>
              <w:bottom w:val="single" w:sz="4" w:space="0" w:color="auto"/>
              <w:right w:val="single" w:sz="4" w:space="0" w:color="auto"/>
            </w:tcBorders>
            <w:vAlign w:val="center"/>
            <w:hideMark/>
          </w:tcPr>
          <w:p w14:paraId="6326F4D7" w14:textId="77777777" w:rsidR="00CE6E67" w:rsidRPr="00033E65" w:rsidRDefault="00CE6E67" w:rsidP="00F56E15">
            <w:pPr>
              <w:spacing w:after="0"/>
              <w:rPr>
                <w:rFonts w:cs="Calibri"/>
                <w:b/>
                <w:bCs/>
                <w:i/>
                <w:iCs/>
                <w:color w:val="000000"/>
                <w:szCs w:val="22"/>
                <w:lang w:eastAsia="es-CR"/>
              </w:rPr>
            </w:pPr>
          </w:p>
        </w:tc>
        <w:tc>
          <w:tcPr>
            <w:tcW w:w="1425" w:type="dxa"/>
            <w:tcBorders>
              <w:top w:val="nil"/>
              <w:left w:val="nil"/>
              <w:bottom w:val="single" w:sz="4" w:space="0" w:color="auto"/>
              <w:right w:val="single" w:sz="4" w:space="0" w:color="auto"/>
            </w:tcBorders>
            <w:shd w:val="clear" w:color="auto" w:fill="auto"/>
            <w:vAlign w:val="center"/>
            <w:hideMark/>
          </w:tcPr>
          <w:p w14:paraId="688BC5C1" w14:textId="77777777" w:rsidR="00CE6E67" w:rsidRPr="00033E65" w:rsidRDefault="00CE6E67" w:rsidP="00F56E15">
            <w:pPr>
              <w:spacing w:after="0"/>
              <w:rPr>
                <w:rFonts w:cs="Calibri"/>
                <w:b/>
                <w:bCs/>
                <w:i/>
                <w:iCs/>
                <w:color w:val="000000"/>
                <w:szCs w:val="22"/>
                <w:lang w:eastAsia="es-CR"/>
              </w:rPr>
            </w:pPr>
            <w:r w:rsidRPr="00033E65">
              <w:rPr>
                <w:rFonts w:cs="Calibri"/>
                <w:b/>
                <w:bCs/>
                <w:i/>
                <w:iCs/>
                <w:color w:val="000000"/>
                <w:szCs w:val="22"/>
                <w:lang w:eastAsia="es-CR"/>
              </w:rPr>
              <w:t>Civil</w:t>
            </w:r>
          </w:p>
        </w:tc>
        <w:tc>
          <w:tcPr>
            <w:tcW w:w="1425" w:type="dxa"/>
            <w:vMerge/>
            <w:tcBorders>
              <w:top w:val="nil"/>
              <w:left w:val="single" w:sz="4" w:space="0" w:color="auto"/>
              <w:bottom w:val="single" w:sz="4" w:space="0" w:color="auto"/>
              <w:right w:val="single" w:sz="4" w:space="0" w:color="auto"/>
            </w:tcBorders>
            <w:vAlign w:val="center"/>
            <w:hideMark/>
          </w:tcPr>
          <w:p w14:paraId="552E5B4C" w14:textId="77777777" w:rsidR="00CE6E67" w:rsidRPr="00033E65" w:rsidRDefault="00CE6E67" w:rsidP="00F56E15">
            <w:pPr>
              <w:spacing w:after="0"/>
              <w:rPr>
                <w:rFonts w:cs="Calibri"/>
                <w:i/>
                <w:iCs/>
                <w:color w:val="000000"/>
                <w:szCs w:val="22"/>
                <w:lang w:eastAsia="es-CR"/>
              </w:rPr>
            </w:pPr>
          </w:p>
        </w:tc>
        <w:tc>
          <w:tcPr>
            <w:tcW w:w="1426" w:type="dxa"/>
            <w:vMerge/>
            <w:tcBorders>
              <w:top w:val="nil"/>
              <w:left w:val="single" w:sz="4" w:space="0" w:color="auto"/>
              <w:bottom w:val="single" w:sz="4" w:space="0" w:color="auto"/>
              <w:right w:val="single" w:sz="4" w:space="0" w:color="auto"/>
            </w:tcBorders>
            <w:vAlign w:val="center"/>
            <w:hideMark/>
          </w:tcPr>
          <w:p w14:paraId="6E7158CF" w14:textId="77777777" w:rsidR="00CE6E67" w:rsidRPr="00033E65" w:rsidRDefault="00CE6E67" w:rsidP="00F56E15">
            <w:pPr>
              <w:spacing w:after="0"/>
              <w:rPr>
                <w:rFonts w:cs="Calibri"/>
                <w:i/>
                <w:iCs/>
                <w:color w:val="000000"/>
                <w:szCs w:val="22"/>
                <w:lang w:eastAsia="es-CR"/>
              </w:rPr>
            </w:pPr>
          </w:p>
        </w:tc>
        <w:tc>
          <w:tcPr>
            <w:tcW w:w="1428" w:type="dxa"/>
            <w:tcBorders>
              <w:top w:val="nil"/>
              <w:left w:val="nil"/>
              <w:bottom w:val="single" w:sz="4" w:space="0" w:color="auto"/>
              <w:right w:val="single" w:sz="4" w:space="0" w:color="auto"/>
            </w:tcBorders>
            <w:shd w:val="clear" w:color="auto" w:fill="auto"/>
            <w:vAlign w:val="center"/>
            <w:hideMark/>
          </w:tcPr>
          <w:p w14:paraId="0D68F41D"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50%</w:t>
            </w:r>
          </w:p>
        </w:tc>
        <w:tc>
          <w:tcPr>
            <w:tcW w:w="2080" w:type="dxa"/>
            <w:tcBorders>
              <w:top w:val="nil"/>
              <w:left w:val="nil"/>
              <w:bottom w:val="single" w:sz="4" w:space="0" w:color="auto"/>
              <w:right w:val="single" w:sz="4" w:space="0" w:color="auto"/>
            </w:tcBorders>
            <w:shd w:val="clear" w:color="auto" w:fill="auto"/>
            <w:vAlign w:val="center"/>
            <w:hideMark/>
          </w:tcPr>
          <w:p w14:paraId="0E69BA34" w14:textId="5C21A749" w:rsidR="00CE6E67" w:rsidRPr="00033E65" w:rsidRDefault="00CA1976" w:rsidP="00F56E15">
            <w:pPr>
              <w:spacing w:after="0"/>
              <w:jc w:val="center"/>
              <w:rPr>
                <w:rFonts w:cs="Calibri"/>
                <w:i/>
                <w:iCs/>
                <w:color w:val="000000"/>
                <w:szCs w:val="22"/>
                <w:lang w:eastAsia="es-CR"/>
              </w:rPr>
            </w:pPr>
            <w:r w:rsidRPr="00033E65">
              <w:rPr>
                <w:rFonts w:cs="Calibri"/>
                <w:i/>
                <w:iCs/>
                <w:color w:val="000000"/>
                <w:szCs w:val="22"/>
                <w:lang w:eastAsia="es-CR"/>
              </w:rPr>
              <w:t>8</w:t>
            </w:r>
          </w:p>
        </w:tc>
      </w:tr>
      <w:tr w:rsidR="00F03DCA" w:rsidRPr="00033E65" w14:paraId="2A6A12D1" w14:textId="77777777" w:rsidTr="00274042">
        <w:trPr>
          <w:trHeight w:val="18"/>
          <w:jc w:val="center"/>
        </w:trPr>
        <w:tc>
          <w:tcPr>
            <w:tcW w:w="1425" w:type="dxa"/>
            <w:vMerge/>
            <w:tcBorders>
              <w:top w:val="nil"/>
              <w:left w:val="single" w:sz="4" w:space="0" w:color="auto"/>
              <w:bottom w:val="single" w:sz="4" w:space="0" w:color="auto"/>
              <w:right w:val="single" w:sz="4" w:space="0" w:color="auto"/>
            </w:tcBorders>
            <w:vAlign w:val="center"/>
            <w:hideMark/>
          </w:tcPr>
          <w:p w14:paraId="2467375D" w14:textId="77777777" w:rsidR="00CE6E67" w:rsidRPr="00033E65" w:rsidRDefault="00CE6E67" w:rsidP="00F56E15">
            <w:pPr>
              <w:spacing w:after="0"/>
              <w:rPr>
                <w:rFonts w:cs="Calibri"/>
                <w:b/>
                <w:bCs/>
                <w:i/>
                <w:iCs/>
                <w:color w:val="000000"/>
                <w:szCs w:val="22"/>
                <w:lang w:eastAsia="es-CR"/>
              </w:rPr>
            </w:pPr>
          </w:p>
        </w:tc>
        <w:tc>
          <w:tcPr>
            <w:tcW w:w="1425" w:type="dxa"/>
            <w:tcBorders>
              <w:top w:val="nil"/>
              <w:left w:val="nil"/>
              <w:bottom w:val="single" w:sz="4" w:space="0" w:color="auto"/>
              <w:right w:val="single" w:sz="4" w:space="0" w:color="auto"/>
            </w:tcBorders>
            <w:shd w:val="clear" w:color="auto" w:fill="auto"/>
            <w:vAlign w:val="center"/>
            <w:hideMark/>
          </w:tcPr>
          <w:p w14:paraId="26C39F3D" w14:textId="77777777" w:rsidR="00CE6E67" w:rsidRPr="00033E65" w:rsidRDefault="00CE6E67" w:rsidP="00F56E15">
            <w:pPr>
              <w:spacing w:after="0"/>
              <w:rPr>
                <w:rFonts w:cs="Calibri"/>
                <w:b/>
                <w:bCs/>
                <w:i/>
                <w:iCs/>
                <w:color w:val="000000"/>
                <w:szCs w:val="22"/>
                <w:lang w:eastAsia="es-CR"/>
              </w:rPr>
            </w:pPr>
            <w:r w:rsidRPr="00033E65">
              <w:rPr>
                <w:rFonts w:cs="Calibri"/>
                <w:b/>
                <w:bCs/>
                <w:i/>
                <w:iCs/>
                <w:color w:val="000000"/>
                <w:szCs w:val="22"/>
                <w:lang w:eastAsia="es-CR"/>
              </w:rPr>
              <w:t>Trabajo</w:t>
            </w:r>
          </w:p>
        </w:tc>
        <w:tc>
          <w:tcPr>
            <w:tcW w:w="1425" w:type="dxa"/>
            <w:vMerge/>
            <w:tcBorders>
              <w:top w:val="nil"/>
              <w:left w:val="single" w:sz="4" w:space="0" w:color="auto"/>
              <w:bottom w:val="single" w:sz="4" w:space="0" w:color="auto"/>
              <w:right w:val="single" w:sz="4" w:space="0" w:color="auto"/>
            </w:tcBorders>
            <w:vAlign w:val="center"/>
            <w:hideMark/>
          </w:tcPr>
          <w:p w14:paraId="39C0A055" w14:textId="77777777" w:rsidR="00CE6E67" w:rsidRPr="00033E65" w:rsidRDefault="00CE6E67" w:rsidP="00F56E15">
            <w:pPr>
              <w:spacing w:after="0"/>
              <w:rPr>
                <w:rFonts w:cs="Calibri"/>
                <w:i/>
                <w:iCs/>
                <w:color w:val="000000"/>
                <w:szCs w:val="22"/>
                <w:lang w:eastAsia="es-CR"/>
              </w:rPr>
            </w:pPr>
          </w:p>
        </w:tc>
        <w:tc>
          <w:tcPr>
            <w:tcW w:w="1426" w:type="dxa"/>
            <w:vMerge/>
            <w:tcBorders>
              <w:top w:val="nil"/>
              <w:left w:val="single" w:sz="4" w:space="0" w:color="auto"/>
              <w:bottom w:val="single" w:sz="4" w:space="0" w:color="auto"/>
              <w:right w:val="single" w:sz="4" w:space="0" w:color="auto"/>
            </w:tcBorders>
            <w:vAlign w:val="center"/>
            <w:hideMark/>
          </w:tcPr>
          <w:p w14:paraId="2DD3A70F" w14:textId="77777777" w:rsidR="00CE6E67" w:rsidRPr="00033E65" w:rsidRDefault="00CE6E67" w:rsidP="00F56E15">
            <w:pPr>
              <w:spacing w:after="0"/>
              <w:rPr>
                <w:rFonts w:cs="Calibri"/>
                <w:i/>
                <w:iCs/>
                <w:color w:val="000000"/>
                <w:szCs w:val="22"/>
                <w:lang w:eastAsia="es-CR"/>
              </w:rPr>
            </w:pPr>
          </w:p>
        </w:tc>
        <w:tc>
          <w:tcPr>
            <w:tcW w:w="1428" w:type="dxa"/>
            <w:tcBorders>
              <w:top w:val="nil"/>
              <w:left w:val="nil"/>
              <w:bottom w:val="single" w:sz="4" w:space="0" w:color="auto"/>
              <w:right w:val="single" w:sz="4" w:space="0" w:color="auto"/>
            </w:tcBorders>
            <w:shd w:val="clear" w:color="auto" w:fill="auto"/>
            <w:vAlign w:val="center"/>
            <w:hideMark/>
          </w:tcPr>
          <w:p w14:paraId="2BBCBD8C"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50%</w:t>
            </w:r>
          </w:p>
        </w:tc>
        <w:tc>
          <w:tcPr>
            <w:tcW w:w="2080" w:type="dxa"/>
            <w:tcBorders>
              <w:top w:val="nil"/>
              <w:left w:val="nil"/>
              <w:bottom w:val="single" w:sz="4" w:space="0" w:color="auto"/>
              <w:right w:val="single" w:sz="4" w:space="0" w:color="auto"/>
            </w:tcBorders>
            <w:shd w:val="clear" w:color="auto" w:fill="auto"/>
            <w:vAlign w:val="center"/>
            <w:hideMark/>
          </w:tcPr>
          <w:p w14:paraId="02C06833" w14:textId="18793D56" w:rsidR="00CE6E67" w:rsidRPr="00033E65" w:rsidRDefault="00CA1976" w:rsidP="00F56E15">
            <w:pPr>
              <w:spacing w:after="0"/>
              <w:jc w:val="center"/>
              <w:rPr>
                <w:rFonts w:cs="Calibri"/>
                <w:i/>
                <w:iCs/>
                <w:color w:val="000000"/>
                <w:szCs w:val="22"/>
                <w:lang w:eastAsia="es-CR"/>
              </w:rPr>
            </w:pPr>
            <w:r w:rsidRPr="00033E65">
              <w:rPr>
                <w:rFonts w:cs="Calibri"/>
                <w:i/>
                <w:iCs/>
                <w:color w:val="000000"/>
                <w:szCs w:val="22"/>
                <w:lang w:eastAsia="es-CR"/>
              </w:rPr>
              <w:t>9</w:t>
            </w:r>
          </w:p>
        </w:tc>
      </w:tr>
      <w:tr w:rsidR="00CE6E67" w:rsidRPr="00033E65" w14:paraId="3F0EF83B" w14:textId="77777777" w:rsidTr="00274042">
        <w:trPr>
          <w:trHeight w:val="18"/>
          <w:jc w:val="center"/>
        </w:trPr>
        <w:tc>
          <w:tcPr>
            <w:tcW w:w="7129"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60AECD"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Total</w:t>
            </w:r>
          </w:p>
        </w:tc>
        <w:tc>
          <w:tcPr>
            <w:tcW w:w="2080" w:type="dxa"/>
            <w:tcBorders>
              <w:top w:val="nil"/>
              <w:left w:val="nil"/>
              <w:bottom w:val="single" w:sz="4" w:space="0" w:color="auto"/>
              <w:right w:val="single" w:sz="4" w:space="0" w:color="auto"/>
            </w:tcBorders>
            <w:shd w:val="clear" w:color="auto" w:fill="auto"/>
            <w:noWrap/>
            <w:vAlign w:val="bottom"/>
            <w:hideMark/>
          </w:tcPr>
          <w:p w14:paraId="121EB4E9" w14:textId="35765EEF" w:rsidR="00CE6E67" w:rsidRPr="00033E65" w:rsidRDefault="00CA1976" w:rsidP="00F56E15">
            <w:pPr>
              <w:spacing w:after="0"/>
              <w:jc w:val="center"/>
              <w:rPr>
                <w:rFonts w:cs="Calibri"/>
                <w:i/>
                <w:iCs/>
                <w:color w:val="000000"/>
                <w:szCs w:val="22"/>
                <w:lang w:eastAsia="es-CR"/>
              </w:rPr>
            </w:pPr>
            <w:r w:rsidRPr="00033E65">
              <w:rPr>
                <w:rFonts w:cs="Calibri"/>
                <w:i/>
                <w:iCs/>
                <w:color w:val="000000"/>
                <w:szCs w:val="22"/>
                <w:lang w:eastAsia="es-CR"/>
              </w:rPr>
              <w:t>90</w:t>
            </w:r>
          </w:p>
        </w:tc>
      </w:tr>
      <w:tr w:rsidR="00CE6E67" w:rsidRPr="00033E65" w14:paraId="4B542371" w14:textId="77777777" w:rsidTr="00274042">
        <w:trPr>
          <w:trHeight w:val="18"/>
          <w:jc w:val="center"/>
        </w:trPr>
        <w:tc>
          <w:tcPr>
            <w:tcW w:w="7129"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55C201"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Escenario con 2 personas Técnicas de Trámite</w:t>
            </w:r>
          </w:p>
        </w:tc>
        <w:tc>
          <w:tcPr>
            <w:tcW w:w="2080" w:type="dxa"/>
            <w:tcBorders>
              <w:top w:val="nil"/>
              <w:left w:val="nil"/>
              <w:bottom w:val="single" w:sz="4" w:space="0" w:color="auto"/>
              <w:right w:val="single" w:sz="4" w:space="0" w:color="auto"/>
            </w:tcBorders>
            <w:shd w:val="clear" w:color="auto" w:fill="auto"/>
            <w:noWrap/>
            <w:vAlign w:val="bottom"/>
            <w:hideMark/>
          </w:tcPr>
          <w:p w14:paraId="410080A5" w14:textId="7F27D9B0" w:rsidR="00CE6E67" w:rsidRPr="00033E65" w:rsidRDefault="007510DA" w:rsidP="00F56E15">
            <w:pPr>
              <w:spacing w:after="0"/>
              <w:jc w:val="center"/>
              <w:rPr>
                <w:rFonts w:cs="Calibri"/>
                <w:i/>
                <w:iCs/>
                <w:color w:val="000000"/>
                <w:szCs w:val="22"/>
                <w:lang w:eastAsia="es-CR"/>
              </w:rPr>
            </w:pPr>
            <w:r w:rsidRPr="00033E65">
              <w:rPr>
                <w:rFonts w:cs="Calibri"/>
                <w:i/>
                <w:iCs/>
                <w:color w:val="000000"/>
                <w:szCs w:val="22"/>
                <w:lang w:eastAsia="es-CR"/>
              </w:rPr>
              <w:t>45</w:t>
            </w:r>
          </w:p>
        </w:tc>
      </w:tr>
      <w:tr w:rsidR="00CE6E67" w:rsidRPr="00033E65" w14:paraId="5D6B5908" w14:textId="77777777" w:rsidTr="00274042">
        <w:trPr>
          <w:trHeight w:val="18"/>
          <w:jc w:val="center"/>
        </w:trPr>
        <w:tc>
          <w:tcPr>
            <w:tcW w:w="7129"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E0764C"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Escenario con 3 personas Técnicas de Trámite</w:t>
            </w:r>
          </w:p>
        </w:tc>
        <w:tc>
          <w:tcPr>
            <w:tcW w:w="2080" w:type="dxa"/>
            <w:tcBorders>
              <w:top w:val="nil"/>
              <w:left w:val="nil"/>
              <w:bottom w:val="single" w:sz="4" w:space="0" w:color="auto"/>
              <w:right w:val="single" w:sz="4" w:space="0" w:color="auto"/>
            </w:tcBorders>
            <w:shd w:val="clear" w:color="auto" w:fill="auto"/>
            <w:noWrap/>
            <w:vAlign w:val="bottom"/>
            <w:hideMark/>
          </w:tcPr>
          <w:p w14:paraId="3F27300E" w14:textId="356440F4" w:rsidR="00CE6E67" w:rsidRPr="00033E65" w:rsidRDefault="007510DA" w:rsidP="00F56E15">
            <w:pPr>
              <w:spacing w:after="0"/>
              <w:jc w:val="center"/>
              <w:rPr>
                <w:rFonts w:cs="Calibri"/>
                <w:i/>
                <w:iCs/>
                <w:color w:val="000000"/>
                <w:szCs w:val="22"/>
                <w:lang w:eastAsia="es-CR"/>
              </w:rPr>
            </w:pPr>
            <w:r w:rsidRPr="00033E65">
              <w:rPr>
                <w:rFonts w:cs="Calibri"/>
                <w:i/>
                <w:iCs/>
                <w:color w:val="000000"/>
                <w:szCs w:val="22"/>
                <w:lang w:eastAsia="es-CR"/>
              </w:rPr>
              <w:t>30</w:t>
            </w:r>
          </w:p>
        </w:tc>
      </w:tr>
      <w:tr w:rsidR="00CE6E67" w:rsidRPr="00033E65" w14:paraId="008CF78B" w14:textId="77777777" w:rsidTr="00274042">
        <w:trPr>
          <w:trHeight w:val="18"/>
          <w:jc w:val="center"/>
        </w:trPr>
        <w:tc>
          <w:tcPr>
            <w:tcW w:w="7129"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380D6" w14:textId="77777777" w:rsidR="00CE6E67" w:rsidRPr="00033E65" w:rsidRDefault="00CE6E67" w:rsidP="00F56E15">
            <w:pPr>
              <w:spacing w:after="0"/>
              <w:jc w:val="center"/>
              <w:rPr>
                <w:rFonts w:cs="Calibri"/>
                <w:i/>
                <w:iCs/>
                <w:color w:val="000000"/>
                <w:szCs w:val="22"/>
                <w:lang w:eastAsia="es-CR"/>
              </w:rPr>
            </w:pPr>
            <w:r w:rsidRPr="00033E65">
              <w:rPr>
                <w:rFonts w:cs="Calibri"/>
                <w:i/>
                <w:iCs/>
                <w:color w:val="000000"/>
                <w:szCs w:val="22"/>
                <w:lang w:eastAsia="es-CR"/>
              </w:rPr>
              <w:t>Con 4 personas Técnicas de Trámite</w:t>
            </w:r>
          </w:p>
        </w:tc>
        <w:tc>
          <w:tcPr>
            <w:tcW w:w="2080" w:type="dxa"/>
            <w:tcBorders>
              <w:top w:val="nil"/>
              <w:left w:val="nil"/>
              <w:bottom w:val="single" w:sz="4" w:space="0" w:color="auto"/>
              <w:right w:val="single" w:sz="4" w:space="0" w:color="auto"/>
            </w:tcBorders>
            <w:shd w:val="clear" w:color="auto" w:fill="auto"/>
            <w:noWrap/>
            <w:vAlign w:val="bottom"/>
            <w:hideMark/>
          </w:tcPr>
          <w:p w14:paraId="0AB29864" w14:textId="073C9570" w:rsidR="00CE6E67" w:rsidRPr="00033E65" w:rsidRDefault="00E3395D" w:rsidP="00F56E15">
            <w:pPr>
              <w:spacing w:after="0"/>
              <w:jc w:val="center"/>
              <w:rPr>
                <w:rFonts w:cs="Calibri"/>
                <w:i/>
                <w:iCs/>
                <w:color w:val="000000"/>
                <w:szCs w:val="22"/>
                <w:lang w:eastAsia="es-CR"/>
              </w:rPr>
            </w:pPr>
            <w:r w:rsidRPr="00033E65">
              <w:rPr>
                <w:rFonts w:cs="Calibri"/>
                <w:i/>
                <w:iCs/>
                <w:color w:val="000000"/>
                <w:szCs w:val="22"/>
                <w:lang w:eastAsia="es-CR"/>
              </w:rPr>
              <w:t>23</w:t>
            </w:r>
          </w:p>
        </w:tc>
      </w:tr>
    </w:tbl>
    <w:p w14:paraId="3B01405A" w14:textId="7A084E46" w:rsidR="00CE6E67" w:rsidRPr="00033E65" w:rsidRDefault="00BB66EF" w:rsidP="00CE1721">
      <w:pPr>
        <w:spacing w:after="0" w:line="276" w:lineRule="auto"/>
        <w:ind w:left="709"/>
        <w:rPr>
          <w:rFonts w:eastAsia="Calibri" w:cs="Arial"/>
          <w:i/>
          <w:iCs/>
          <w:sz w:val="20"/>
        </w:rPr>
      </w:pPr>
      <w:r w:rsidRPr="00033E65">
        <w:rPr>
          <w:rFonts w:eastAsia="Calibri" w:cs="Arial"/>
          <w:i/>
          <w:iCs/>
          <w:sz w:val="20"/>
        </w:rPr>
        <w:t>Fuente:</w:t>
      </w:r>
      <w:r w:rsidR="007C3EBA" w:rsidRPr="00033E65">
        <w:rPr>
          <w:rFonts w:eastAsia="Calibri" w:cs="Arial"/>
          <w:i/>
          <w:iCs/>
          <w:sz w:val="20"/>
        </w:rPr>
        <w:t xml:space="preserve"> Subproceso de Modernización Institucional, No Penal, de acuerdo con datos del balance interactivo de estadísticas de la Página Web de la Dirección de Planificación.</w:t>
      </w:r>
    </w:p>
    <w:p w14:paraId="3A0E80A8" w14:textId="6A876D85" w:rsidR="00CE6E67" w:rsidRPr="00033E65" w:rsidRDefault="00CE6E67" w:rsidP="00CE6E67">
      <w:pPr>
        <w:spacing w:after="0" w:line="276" w:lineRule="auto"/>
        <w:rPr>
          <w:rFonts w:eastAsia="Calibri" w:cs="Arial"/>
          <w:szCs w:val="22"/>
        </w:rPr>
      </w:pPr>
      <w:r w:rsidRPr="00033E65">
        <w:rPr>
          <w:rFonts w:eastAsia="Calibri" w:cs="Arial"/>
          <w:szCs w:val="22"/>
        </w:rPr>
        <w:t>Como se observa, en el caso de contar con 4 recurso de Trámite, se lograría cubrir la entrada y proveer el firmado suficiente para las 2 personas juzgadoras. Además, se debe recordar que</w:t>
      </w:r>
      <w:r w:rsidR="00C22C79" w:rsidRPr="00033E65">
        <w:rPr>
          <w:rFonts w:eastAsia="Calibri" w:cs="Arial"/>
          <w:szCs w:val="22"/>
        </w:rPr>
        <w:t>,</w:t>
      </w:r>
      <w:r w:rsidRPr="00033E65">
        <w:rPr>
          <w:rFonts w:eastAsia="Calibri" w:cs="Arial"/>
          <w:szCs w:val="22"/>
        </w:rPr>
        <w:t xml:space="preserve"> en este Juzgado, la cuota se ve disminuida, en razón de las giras que realizan en materia </w:t>
      </w:r>
      <w:r w:rsidRPr="00033E65">
        <w:rPr>
          <w:rFonts w:eastAsia="Calibri" w:cs="Arial"/>
          <w:szCs w:val="22"/>
        </w:rPr>
        <w:lastRenderedPageBreak/>
        <w:t>Agraria, ya que todos los técnicos tramitan la materia. Debe considerarse que</w:t>
      </w:r>
      <w:r w:rsidR="00C22C79" w:rsidRPr="00033E65">
        <w:rPr>
          <w:rFonts w:eastAsia="Calibri" w:cs="Arial"/>
          <w:szCs w:val="22"/>
        </w:rPr>
        <w:t>,</w:t>
      </w:r>
      <w:r w:rsidRPr="00033E65">
        <w:rPr>
          <w:rFonts w:eastAsia="Calibri" w:cs="Arial"/>
          <w:szCs w:val="22"/>
        </w:rPr>
        <w:t xml:space="preserve"> en un despacho especializado, la cuota es de 9-12 expedientes tramitados por día, en este Despacho, la entrada agraria justificaría 50% de la cuota de trabajo diario de una persona técnica. Es decir, que si por la entrada de agrario, ya eso me consume el 50% de la tramitación diaria + el restante 50% de la cuota estándar de 15 asuntos, estas plazas en Buenos Aires en promedio estarían en capacidad de pasar a firmar 5 asuntos agrario + 8 de las restantes materias=13 asuntos aproximadamente por día; eso en el caso de que no deban atender la manifestación.  </w:t>
      </w:r>
    </w:p>
    <w:p w14:paraId="596A88AB" w14:textId="1DA2DFF6" w:rsidR="00CE6E67" w:rsidRPr="00033E65" w:rsidRDefault="00CE6E67" w:rsidP="00CE6E67">
      <w:pPr>
        <w:spacing w:after="0" w:line="276" w:lineRule="auto"/>
        <w:rPr>
          <w:rFonts w:eastAsia="Calibri" w:cs="Arial"/>
          <w:szCs w:val="22"/>
        </w:rPr>
      </w:pPr>
      <w:r w:rsidRPr="00033E65">
        <w:rPr>
          <w:rFonts w:eastAsia="Calibri" w:cs="Arial"/>
          <w:szCs w:val="22"/>
        </w:rPr>
        <w:t>Por ello se considera necesario reforzar este Juzgados con 2 recursos adicionales de persona técnica judicial, en donde además como efecto positivo se “</w:t>
      </w:r>
      <w:r w:rsidRPr="00033E65">
        <w:rPr>
          <w:rFonts w:eastAsia="Calibri" w:cs="Arial"/>
          <w:i/>
          <w:iCs/>
          <w:szCs w:val="22"/>
        </w:rPr>
        <w:t>liberaría</w:t>
      </w:r>
      <w:r w:rsidRPr="00033E65">
        <w:rPr>
          <w:rFonts w:eastAsia="Calibri" w:cs="Arial"/>
          <w:szCs w:val="22"/>
        </w:rPr>
        <w:t xml:space="preserve">” la plaza supernumeraria de la Administración para que puedan utilizar y apoyar a otras oficinas del Circuito.  </w:t>
      </w:r>
      <w:r w:rsidR="00806BC5" w:rsidRPr="00033E65">
        <w:rPr>
          <w:rFonts w:eastAsia="Calibri" w:cs="Arial"/>
          <w:szCs w:val="22"/>
        </w:rPr>
        <w:t xml:space="preserve">Por lo anterior, debido a una propuesta de reestructuración de los Juzgados Civiles especializados y Tribunales Colegiados de Primera Instancia Civiles del país </w:t>
      </w:r>
      <w:r w:rsidR="00CC0598" w:rsidRPr="00033E65">
        <w:rPr>
          <w:rFonts w:eastAsia="Calibri" w:cs="Arial"/>
          <w:szCs w:val="22"/>
        </w:rPr>
        <w:t>que se encuentra realizando</w:t>
      </w:r>
      <w:r w:rsidR="00806BC5" w:rsidRPr="00033E65">
        <w:rPr>
          <w:rFonts w:eastAsia="Calibri" w:cs="Arial"/>
          <w:szCs w:val="22"/>
        </w:rPr>
        <w:t xml:space="preserve"> la Dirección de Planificación en la </w:t>
      </w:r>
      <w:r w:rsidR="00CC0598" w:rsidRPr="00033E65">
        <w:rPr>
          <w:rFonts w:eastAsia="Calibri" w:cs="Arial"/>
          <w:szCs w:val="22"/>
        </w:rPr>
        <w:t xml:space="preserve">actualidad se </w:t>
      </w:r>
      <w:r w:rsidR="00B61256" w:rsidRPr="00033E65">
        <w:rPr>
          <w:rFonts w:eastAsia="Calibri" w:cs="Arial"/>
          <w:szCs w:val="22"/>
        </w:rPr>
        <w:t xml:space="preserve">propondrá el traslado de una plaza de persona técnica judicial del Tribunal Colegiado de Primera Instancia Civil del Primer Circuito Judicial de la Zona Sur (Pérez Zeledón) al Juzgado Mixto de Buenos Aires, debido a la </w:t>
      </w:r>
      <w:r w:rsidR="00FD79EE" w:rsidRPr="00033E65">
        <w:rPr>
          <w:rFonts w:eastAsia="Calibri" w:cs="Arial"/>
          <w:szCs w:val="22"/>
        </w:rPr>
        <w:t>subutilización del recurso en dicho Tribunal y la necesidad expuesta en el Juzgado Mixto de Buenos Aires, con el fin de maximizar el recurso.</w:t>
      </w:r>
      <w:r w:rsidR="00806BC5" w:rsidRPr="00033E65">
        <w:rPr>
          <w:rFonts w:eastAsia="Calibri" w:cs="Arial"/>
          <w:szCs w:val="22"/>
        </w:rPr>
        <w:t xml:space="preserve"> </w:t>
      </w:r>
      <w:r w:rsidR="00D54932" w:rsidRPr="00033E65">
        <w:rPr>
          <w:rFonts w:eastAsia="Calibri" w:cs="Arial"/>
          <w:szCs w:val="22"/>
        </w:rPr>
        <w:t>Dicho análisis se encuentra en proceso de confección de informe y envío al Consejo Superior para su aprobación.</w:t>
      </w:r>
      <w:r w:rsidRPr="00033E65">
        <w:rPr>
          <w:rFonts w:eastAsia="Calibri" w:cs="Arial"/>
          <w:szCs w:val="22"/>
        </w:rPr>
        <w:t xml:space="preserve"> </w:t>
      </w:r>
    </w:p>
    <w:p w14:paraId="61D48EAE" w14:textId="77777777" w:rsidR="004F391E" w:rsidRDefault="00CE6E67" w:rsidP="004F391E">
      <w:pPr>
        <w:spacing w:after="0" w:line="276" w:lineRule="auto"/>
        <w:rPr>
          <w:rFonts w:eastAsia="Calibri" w:cs="Arial"/>
          <w:szCs w:val="22"/>
        </w:rPr>
      </w:pPr>
      <w:r w:rsidRPr="00033E65">
        <w:rPr>
          <w:rFonts w:eastAsia="Calibri" w:cs="Arial"/>
          <w:szCs w:val="22"/>
        </w:rPr>
        <w:t>Es importante considerar que esta zona atiende población indígena, en donde la atención de estos casos es prioritaria tanto por normativa internacional como por directrices institucionales, de ahí la importancia de que las personas que ocupen estos puestos tengan preferiblemente conocimiento en la “</w:t>
      </w:r>
      <w:r w:rsidRPr="00033E65">
        <w:rPr>
          <w:rFonts w:eastAsia="Calibri" w:cs="Arial"/>
          <w:i/>
          <w:iCs/>
          <w:szCs w:val="22"/>
        </w:rPr>
        <w:t>lengua o dialecto”</w:t>
      </w:r>
      <w:r w:rsidRPr="00033E65">
        <w:rPr>
          <w:rFonts w:eastAsia="Calibri" w:cs="Arial"/>
          <w:szCs w:val="22"/>
        </w:rPr>
        <w:t xml:space="preserve"> de la zona. </w:t>
      </w:r>
    </w:p>
    <w:p w14:paraId="60416A6F" w14:textId="77777777" w:rsidR="004F391E" w:rsidRDefault="00CE6E67" w:rsidP="004F391E">
      <w:pPr>
        <w:spacing w:before="0" w:after="0" w:line="276" w:lineRule="auto"/>
        <w:jc w:val="center"/>
        <w:rPr>
          <w:rFonts w:eastAsia="Calibri" w:cs="Arial"/>
          <w:szCs w:val="22"/>
        </w:rPr>
      </w:pPr>
      <w:r w:rsidRPr="00033E65">
        <w:rPr>
          <w:rFonts w:eastAsia="Calibri" w:cs="Arial"/>
          <w:b/>
          <w:bCs/>
          <w:color w:val="1F497D"/>
          <w:szCs w:val="22"/>
          <w:lang w:val="es-ES"/>
        </w:rPr>
        <w:t xml:space="preserve">Cuadro </w:t>
      </w:r>
      <w:r w:rsidR="00F03DCA" w:rsidRPr="00033E65">
        <w:rPr>
          <w:rFonts w:eastAsia="Calibri" w:cs="Arial"/>
          <w:b/>
          <w:bCs/>
          <w:color w:val="1F497D"/>
          <w:szCs w:val="22"/>
          <w:lang w:val="es-ES"/>
        </w:rPr>
        <w:t>1</w:t>
      </w:r>
      <w:r w:rsidR="00ED5506" w:rsidRPr="00033E65">
        <w:rPr>
          <w:rFonts w:eastAsia="Calibri" w:cs="Arial"/>
          <w:b/>
          <w:bCs/>
          <w:color w:val="1F497D"/>
          <w:szCs w:val="22"/>
          <w:lang w:val="es-ES"/>
        </w:rPr>
        <w:t>3</w:t>
      </w:r>
    </w:p>
    <w:p w14:paraId="742EF235" w14:textId="710B7982" w:rsidR="00CE6E67" w:rsidRPr="004F391E" w:rsidRDefault="00CE6E67" w:rsidP="004F391E">
      <w:pPr>
        <w:spacing w:before="0" w:after="0" w:line="276" w:lineRule="auto"/>
        <w:jc w:val="center"/>
        <w:rPr>
          <w:rFonts w:eastAsia="Calibri" w:cs="Arial"/>
          <w:szCs w:val="22"/>
        </w:rPr>
      </w:pPr>
      <w:r w:rsidRPr="00033E65">
        <w:rPr>
          <w:rFonts w:eastAsia="Calibri" w:cs="Arial"/>
          <w:b/>
          <w:bCs/>
          <w:color w:val="1F497D"/>
          <w:szCs w:val="22"/>
          <w:lang w:val="es-ES"/>
        </w:rPr>
        <w:t>Estructura propuesta Juzgado Civil, Trabajo y Familia de Buenos Aires</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8"/>
        <w:gridCol w:w="3111"/>
        <w:gridCol w:w="3891"/>
      </w:tblGrid>
      <w:tr w:rsidR="00CE6E67" w:rsidRPr="00033E65" w14:paraId="00890968" w14:textId="77777777" w:rsidTr="00F56E15">
        <w:trPr>
          <w:trHeight w:val="959"/>
          <w:tblHeader/>
          <w:jc w:val="center"/>
        </w:trPr>
        <w:tc>
          <w:tcPr>
            <w:tcW w:w="1106" w:type="pct"/>
            <w:shd w:val="clear" w:color="auto" w:fill="002060"/>
            <w:vAlign w:val="center"/>
          </w:tcPr>
          <w:p w14:paraId="480EE007" w14:textId="77777777" w:rsidR="00CE6E67" w:rsidRPr="00033E65" w:rsidRDefault="00CE6E67" w:rsidP="00F56E15">
            <w:pPr>
              <w:spacing w:after="0" w:line="276" w:lineRule="auto"/>
              <w:jc w:val="center"/>
              <w:rPr>
                <w:rFonts w:eastAsia="Calibri" w:cs="Arial"/>
                <w:b/>
                <w:bCs/>
                <w:color w:val="FFFFFF"/>
                <w:szCs w:val="22"/>
              </w:rPr>
            </w:pPr>
            <w:r w:rsidRPr="00033E65">
              <w:rPr>
                <w:rFonts w:eastAsia="Calibri" w:cs="Arial"/>
                <w:b/>
                <w:bCs/>
                <w:color w:val="FFFFFF"/>
                <w:szCs w:val="22"/>
              </w:rPr>
              <w:t>Juzgado Mixto</w:t>
            </w:r>
          </w:p>
        </w:tc>
        <w:tc>
          <w:tcPr>
            <w:tcW w:w="1730" w:type="pct"/>
            <w:shd w:val="clear" w:color="auto" w:fill="002060"/>
            <w:vAlign w:val="center"/>
          </w:tcPr>
          <w:p w14:paraId="7DB54149" w14:textId="77777777" w:rsidR="00CE6E67" w:rsidRPr="00033E65" w:rsidRDefault="00CE6E67" w:rsidP="00F56E15">
            <w:pPr>
              <w:spacing w:after="0" w:line="276" w:lineRule="auto"/>
              <w:jc w:val="center"/>
              <w:rPr>
                <w:rFonts w:eastAsia="Calibri" w:cs="Arial"/>
                <w:b/>
                <w:bCs/>
                <w:color w:val="FFFFFF"/>
                <w:szCs w:val="22"/>
              </w:rPr>
            </w:pPr>
            <w:r w:rsidRPr="00033E65">
              <w:rPr>
                <w:rFonts w:eastAsia="Calibri" w:cs="Arial"/>
                <w:b/>
                <w:bCs/>
                <w:color w:val="FFFFFF"/>
                <w:szCs w:val="22"/>
              </w:rPr>
              <w:t>Estructura orgánica funcional actual del despacho</w:t>
            </w:r>
          </w:p>
        </w:tc>
        <w:tc>
          <w:tcPr>
            <w:tcW w:w="2165" w:type="pct"/>
            <w:shd w:val="clear" w:color="auto" w:fill="002060"/>
            <w:vAlign w:val="center"/>
          </w:tcPr>
          <w:p w14:paraId="2D967812" w14:textId="77777777" w:rsidR="00CE6E67" w:rsidRPr="00033E65" w:rsidRDefault="00CE6E67" w:rsidP="00F56E15">
            <w:pPr>
              <w:spacing w:after="0" w:line="276" w:lineRule="auto"/>
              <w:jc w:val="center"/>
              <w:rPr>
                <w:rFonts w:eastAsia="Calibri" w:cs="Arial"/>
                <w:b/>
                <w:color w:val="FFFFFF"/>
                <w:szCs w:val="22"/>
              </w:rPr>
            </w:pPr>
            <w:r w:rsidRPr="00033E65">
              <w:rPr>
                <w:rFonts w:eastAsia="Calibri" w:cs="Arial"/>
                <w:b/>
                <w:color w:val="FFFFFF"/>
                <w:szCs w:val="22"/>
              </w:rPr>
              <w:t>Estructura Propuesta</w:t>
            </w:r>
          </w:p>
        </w:tc>
      </w:tr>
      <w:tr w:rsidR="00CE6E67" w:rsidRPr="00033E65" w14:paraId="09B3E009" w14:textId="77777777" w:rsidTr="004F391E">
        <w:trPr>
          <w:trHeight w:val="2075"/>
          <w:jc w:val="center"/>
        </w:trPr>
        <w:tc>
          <w:tcPr>
            <w:tcW w:w="1106" w:type="pct"/>
            <w:shd w:val="clear" w:color="auto" w:fill="auto"/>
            <w:vAlign w:val="center"/>
          </w:tcPr>
          <w:p w14:paraId="243A9D78" w14:textId="77777777" w:rsidR="00CE6E67" w:rsidRPr="00033E65" w:rsidRDefault="00CE6E67" w:rsidP="00F56E15">
            <w:pPr>
              <w:spacing w:after="0" w:line="276" w:lineRule="auto"/>
              <w:rPr>
                <w:rFonts w:eastAsia="Calibri" w:cs="Arial"/>
                <w:szCs w:val="22"/>
              </w:rPr>
            </w:pPr>
            <w:r w:rsidRPr="00033E65">
              <w:rPr>
                <w:rFonts w:eastAsia="Calibri" w:cs="Arial"/>
                <w:szCs w:val="22"/>
              </w:rPr>
              <w:t>Juzgado Civil, Trabajo y Familia de Buenos Aires</w:t>
            </w:r>
          </w:p>
        </w:tc>
        <w:tc>
          <w:tcPr>
            <w:tcW w:w="1730" w:type="pct"/>
            <w:shd w:val="clear" w:color="auto" w:fill="auto"/>
            <w:vAlign w:val="center"/>
          </w:tcPr>
          <w:p w14:paraId="77B7D165" w14:textId="77777777" w:rsidR="00CE6E67" w:rsidRPr="00033E65" w:rsidRDefault="00CE6E67" w:rsidP="00F56E15">
            <w:pPr>
              <w:spacing w:after="0" w:line="276" w:lineRule="auto"/>
              <w:rPr>
                <w:rFonts w:eastAsia="Calibri" w:cs="Arial"/>
                <w:szCs w:val="22"/>
              </w:rPr>
            </w:pPr>
            <w:r w:rsidRPr="00033E65">
              <w:rPr>
                <w:rFonts w:eastAsia="Calibri" w:cs="Arial"/>
                <w:szCs w:val="22"/>
              </w:rPr>
              <w:t>2 Juezas/ces 3</w:t>
            </w:r>
          </w:p>
          <w:p w14:paraId="61E8FC00" w14:textId="6B072D1A" w:rsidR="00CE6E67" w:rsidRPr="00033E65" w:rsidRDefault="00CE6E67" w:rsidP="00F56E15">
            <w:pPr>
              <w:spacing w:after="0" w:line="276" w:lineRule="auto"/>
              <w:rPr>
                <w:rFonts w:eastAsia="Calibri" w:cs="Arial"/>
                <w:szCs w:val="22"/>
              </w:rPr>
            </w:pPr>
            <w:r w:rsidRPr="00033E65">
              <w:rPr>
                <w:rFonts w:eastAsia="Calibri" w:cs="Arial"/>
                <w:szCs w:val="22"/>
              </w:rPr>
              <w:t>1 Coordinadora/o Judicial 2</w:t>
            </w:r>
          </w:p>
          <w:p w14:paraId="4218683D" w14:textId="77777777" w:rsidR="00CE6E67" w:rsidRPr="00033E65" w:rsidRDefault="00CE6E67" w:rsidP="00F56E15">
            <w:pPr>
              <w:spacing w:after="0" w:line="276" w:lineRule="auto"/>
              <w:rPr>
                <w:rFonts w:eastAsia="Calibri" w:cs="Arial"/>
                <w:szCs w:val="22"/>
              </w:rPr>
            </w:pPr>
            <w:r w:rsidRPr="00033E65">
              <w:rPr>
                <w:rFonts w:eastAsia="Calibri" w:cs="Arial"/>
                <w:szCs w:val="22"/>
              </w:rPr>
              <w:t>3 Técnicas/os Judiciales 2</w:t>
            </w:r>
          </w:p>
        </w:tc>
        <w:tc>
          <w:tcPr>
            <w:tcW w:w="2165" w:type="pct"/>
            <w:vAlign w:val="center"/>
          </w:tcPr>
          <w:p w14:paraId="3D63B6A4" w14:textId="77777777" w:rsidR="00CE6E67" w:rsidRPr="00033E65" w:rsidRDefault="00CE6E67" w:rsidP="00F56E15">
            <w:pPr>
              <w:spacing w:after="0" w:line="276" w:lineRule="auto"/>
              <w:rPr>
                <w:rFonts w:eastAsia="Calibri" w:cs="Arial"/>
                <w:szCs w:val="22"/>
              </w:rPr>
            </w:pPr>
            <w:r w:rsidRPr="00033E65">
              <w:rPr>
                <w:rFonts w:eastAsia="Calibri" w:cs="Arial"/>
                <w:szCs w:val="22"/>
              </w:rPr>
              <w:t>2 Juezas/ces 3</w:t>
            </w:r>
          </w:p>
          <w:p w14:paraId="35627A2F" w14:textId="0D5A1D62" w:rsidR="00CE6E67" w:rsidRPr="00033E65" w:rsidRDefault="00CE6E67" w:rsidP="00F56E15">
            <w:pPr>
              <w:spacing w:after="0" w:line="276" w:lineRule="auto"/>
              <w:rPr>
                <w:rFonts w:eastAsia="Calibri" w:cs="Arial"/>
                <w:szCs w:val="22"/>
              </w:rPr>
            </w:pPr>
            <w:r w:rsidRPr="00033E65">
              <w:rPr>
                <w:rFonts w:eastAsia="Calibri" w:cs="Arial"/>
                <w:szCs w:val="22"/>
              </w:rPr>
              <w:t>1 Coordinadora/o Judicial 2</w:t>
            </w:r>
          </w:p>
          <w:p w14:paraId="1DF6374A" w14:textId="37297BA9" w:rsidR="00CE6E67" w:rsidRPr="00033E65" w:rsidRDefault="00CE6E67" w:rsidP="00F56E15">
            <w:pPr>
              <w:spacing w:after="0" w:line="276" w:lineRule="auto"/>
              <w:rPr>
                <w:rFonts w:eastAsia="Calibri" w:cs="Arial"/>
                <w:szCs w:val="22"/>
              </w:rPr>
            </w:pPr>
            <w:r w:rsidRPr="00033E65">
              <w:rPr>
                <w:rFonts w:eastAsia="Calibri" w:cs="Arial"/>
                <w:szCs w:val="22"/>
              </w:rPr>
              <w:t>5 Técnicas/os Judiciales 2 (</w:t>
            </w:r>
            <w:bookmarkStart w:id="174" w:name="_Hlk130297740"/>
            <w:r w:rsidR="00A963DA" w:rsidRPr="00033E65">
              <w:rPr>
                <w:rFonts w:eastAsia="Calibri" w:cs="Arial"/>
                <w:i/>
                <w:szCs w:val="22"/>
              </w:rPr>
              <w:t xml:space="preserve">una plaza de técnico será </w:t>
            </w:r>
            <w:r w:rsidR="007E675F" w:rsidRPr="00033E65">
              <w:rPr>
                <w:rFonts w:eastAsia="Calibri" w:cs="Arial"/>
                <w:i/>
                <w:szCs w:val="22"/>
              </w:rPr>
              <w:t>trasladada del Tribunal Colegiado de Primera Instancia Civil de Pérez Zeledón</w:t>
            </w:r>
            <w:bookmarkEnd w:id="174"/>
            <w:r w:rsidRPr="00033E65">
              <w:rPr>
                <w:rFonts w:eastAsia="Calibri" w:cs="Arial"/>
                <w:szCs w:val="22"/>
              </w:rPr>
              <w:t>)</w:t>
            </w:r>
          </w:p>
        </w:tc>
      </w:tr>
    </w:tbl>
    <w:p w14:paraId="54A67E0E" w14:textId="6247054F" w:rsidR="00CE6E67" w:rsidRPr="00033E65" w:rsidRDefault="00CE6E67" w:rsidP="00CE6E67">
      <w:pPr>
        <w:spacing w:after="0" w:line="276" w:lineRule="auto"/>
        <w:rPr>
          <w:rFonts w:eastAsia="Calibri" w:cs="Arial"/>
          <w:i/>
          <w:iCs/>
          <w:szCs w:val="22"/>
        </w:rPr>
      </w:pPr>
      <w:r w:rsidRPr="00033E65">
        <w:rPr>
          <w:rFonts w:eastAsia="Calibri" w:cs="Arial"/>
          <w:i/>
          <w:iCs/>
          <w:szCs w:val="22"/>
        </w:rPr>
        <w:t>Fuente: Modernización Institucional</w:t>
      </w:r>
      <w:r w:rsidR="002334F1" w:rsidRPr="00033E65">
        <w:rPr>
          <w:rFonts w:eastAsia="Calibri" w:cs="Arial"/>
          <w:i/>
          <w:iCs/>
          <w:szCs w:val="22"/>
        </w:rPr>
        <w:t>, área No Penal</w:t>
      </w:r>
      <w:r w:rsidRPr="00033E65">
        <w:rPr>
          <w:rFonts w:eastAsia="Calibri" w:cs="Arial"/>
          <w:i/>
          <w:iCs/>
          <w:szCs w:val="22"/>
        </w:rPr>
        <w:t>.</w:t>
      </w:r>
    </w:p>
    <w:p w14:paraId="11ABF22C" w14:textId="4EEBE576" w:rsidR="00CE6E67" w:rsidRPr="00033E65" w:rsidRDefault="00CE6E67" w:rsidP="00CE6E67">
      <w:pPr>
        <w:spacing w:after="0" w:line="276" w:lineRule="auto"/>
        <w:rPr>
          <w:rFonts w:eastAsia="Calibri" w:cs="Arial"/>
          <w:szCs w:val="22"/>
        </w:rPr>
      </w:pPr>
      <w:r w:rsidRPr="00033E65">
        <w:rPr>
          <w:rFonts w:eastAsia="Calibri" w:cs="Arial"/>
          <w:szCs w:val="22"/>
        </w:rPr>
        <w:lastRenderedPageBreak/>
        <w:t>La propuesta en el Juzgado Civil, Trabajo y Familia de Buenos Aires</w:t>
      </w:r>
      <w:r w:rsidRPr="00033E65" w:rsidDel="00404D47">
        <w:rPr>
          <w:rFonts w:eastAsia="Calibri" w:cs="Arial"/>
          <w:szCs w:val="22"/>
        </w:rPr>
        <w:t xml:space="preserve"> </w:t>
      </w:r>
      <w:r w:rsidRPr="00033E65">
        <w:rPr>
          <w:rFonts w:eastAsia="Calibri" w:cs="Arial"/>
          <w:szCs w:val="22"/>
        </w:rPr>
        <w:t xml:space="preserve">conlleva la creación de dos plazas extraordinarias de Técnico Judicial 2 en 2023 para completar la estructura de trabajo de este despacho, sin embargo, siendo que este despacho es competente en materia Agraria, que implica una cuota reducida para este técnico judicial por las giras y audiencias que se realizan en el campo, se considera necesario que los recursos los otorguen tanto en el informe de impacto de la implementación del Código Procesal de Familia, </w:t>
      </w:r>
      <w:r w:rsidR="004858C8" w:rsidRPr="00033E65">
        <w:rPr>
          <w:rFonts w:eastAsia="Calibri" w:cs="Arial"/>
          <w:szCs w:val="22"/>
        </w:rPr>
        <w:t xml:space="preserve">Y en el caso de la necesidad </w:t>
      </w:r>
      <w:r w:rsidR="00472C36" w:rsidRPr="00033E65">
        <w:rPr>
          <w:rFonts w:eastAsia="Calibri" w:cs="Arial"/>
          <w:szCs w:val="22"/>
        </w:rPr>
        <w:t xml:space="preserve">de la </w:t>
      </w:r>
      <w:r w:rsidR="004858C8" w:rsidRPr="00033E65">
        <w:rPr>
          <w:rFonts w:eastAsia="Calibri" w:cs="Arial"/>
          <w:szCs w:val="22"/>
        </w:rPr>
        <w:t xml:space="preserve">otra plaza de persona técnica judicial será atendida con el traslado </w:t>
      </w:r>
      <w:r w:rsidR="00472C36" w:rsidRPr="00033E65">
        <w:rPr>
          <w:rFonts w:eastAsia="Calibri" w:cs="Arial"/>
          <w:szCs w:val="22"/>
        </w:rPr>
        <w:t>mencionada de una plaza de persona técnica judicial del Tribunal Colegiado de Primera Instancia Civil de Pérez Zeledón, para su máximo aprovechamiento.</w:t>
      </w:r>
      <w:r w:rsidR="004858C8" w:rsidRPr="00033E65">
        <w:rPr>
          <w:rFonts w:eastAsia="Calibri" w:cs="Arial"/>
          <w:szCs w:val="22"/>
        </w:rPr>
        <w:t xml:space="preserve"> </w:t>
      </w:r>
    </w:p>
    <w:p w14:paraId="579CFF73" w14:textId="77777777" w:rsidR="00CE6E67" w:rsidRPr="00033E65" w:rsidRDefault="00CE6E67" w:rsidP="00CE6E67">
      <w:pPr>
        <w:spacing w:after="0" w:line="276" w:lineRule="auto"/>
        <w:rPr>
          <w:rFonts w:eastAsia="Calibri" w:cs="Arial"/>
          <w:szCs w:val="22"/>
        </w:rPr>
      </w:pPr>
    </w:p>
    <w:p w14:paraId="197B0AFF" w14:textId="5FE8BDA8" w:rsidR="00CE6E67" w:rsidRPr="00033E65" w:rsidRDefault="00472C36" w:rsidP="00CE6E67">
      <w:pPr>
        <w:spacing w:after="0" w:line="276" w:lineRule="auto"/>
        <w:rPr>
          <w:rFonts w:eastAsia="Calibri" w:cs="Arial"/>
          <w:szCs w:val="22"/>
        </w:rPr>
      </w:pPr>
      <w:r w:rsidRPr="00033E65">
        <w:rPr>
          <w:rFonts w:eastAsia="Calibri" w:cs="Arial"/>
          <w:szCs w:val="22"/>
        </w:rPr>
        <w:t xml:space="preserve">Se destaca que </w:t>
      </w:r>
      <w:r w:rsidR="00406060" w:rsidRPr="00033E65">
        <w:rPr>
          <w:rFonts w:eastAsia="Calibri" w:cs="Arial"/>
          <w:szCs w:val="22"/>
        </w:rPr>
        <w:t>el otro</w:t>
      </w:r>
      <w:r w:rsidR="00CE6E67" w:rsidRPr="00033E65">
        <w:rPr>
          <w:rFonts w:eastAsia="Calibri" w:cs="Arial"/>
          <w:szCs w:val="22"/>
        </w:rPr>
        <w:t xml:space="preserve"> requerimiento</w:t>
      </w:r>
      <w:r w:rsidR="00406060" w:rsidRPr="00033E65">
        <w:rPr>
          <w:rFonts w:eastAsia="Calibri" w:cs="Arial"/>
          <w:szCs w:val="22"/>
        </w:rPr>
        <w:t xml:space="preserve"> de la plaza de persona técnica judicial para este despacho se incluye</w:t>
      </w:r>
      <w:r w:rsidR="00CE6E67" w:rsidRPr="00033E65">
        <w:rPr>
          <w:rFonts w:eastAsia="Calibri" w:cs="Arial"/>
          <w:szCs w:val="22"/>
        </w:rPr>
        <w:t xml:space="preserve"> en el presupuesto para la implementación del Código Procesal de Familia</w:t>
      </w:r>
      <w:r w:rsidR="00406060" w:rsidRPr="00033E65">
        <w:rPr>
          <w:rFonts w:eastAsia="Calibri" w:cs="Arial"/>
          <w:szCs w:val="22"/>
        </w:rPr>
        <w:t>.</w:t>
      </w:r>
    </w:p>
    <w:p w14:paraId="7A229E3F" w14:textId="19D2187C" w:rsidR="00CE6E67" w:rsidRPr="00033E65" w:rsidRDefault="00CE6E67" w:rsidP="00EA2EF2">
      <w:pPr>
        <w:rPr>
          <w:b/>
          <w:i/>
          <w:sz w:val="18"/>
          <w:lang w:eastAsia="en-US"/>
        </w:rPr>
      </w:pPr>
    </w:p>
    <w:p w14:paraId="03245491" w14:textId="57A6BAEA" w:rsidR="00B640BA" w:rsidRPr="00033E65" w:rsidRDefault="00554C4E" w:rsidP="00554C4E">
      <w:pPr>
        <w:pStyle w:val="Ttulo2"/>
        <w:numPr>
          <w:ilvl w:val="0"/>
          <w:numId w:val="0"/>
        </w:numPr>
      </w:pPr>
      <w:bookmarkStart w:id="175" w:name="_Toc132639534"/>
      <w:r>
        <w:t xml:space="preserve">7. </w:t>
      </w:r>
      <w:r w:rsidR="00B640BA" w:rsidRPr="00033E65">
        <w:t xml:space="preserve">Análisis de Indicadores de Gestión </w:t>
      </w:r>
      <w:r w:rsidR="008744F8" w:rsidRPr="00033E65">
        <w:t xml:space="preserve">de Juzgados </w:t>
      </w:r>
      <w:r w:rsidR="0012133C" w:rsidRPr="00033E65">
        <w:t>Especializados</w:t>
      </w:r>
      <w:r w:rsidR="008744F8" w:rsidRPr="00033E65">
        <w:t xml:space="preserve"> Agrarios</w:t>
      </w:r>
      <w:bookmarkEnd w:id="175"/>
    </w:p>
    <w:p w14:paraId="28EB2BD7" w14:textId="0A6FEB49" w:rsidR="001D4E90" w:rsidRPr="00033E65" w:rsidRDefault="00B640BA" w:rsidP="00B640BA">
      <w:r w:rsidRPr="00033E65">
        <w:t xml:space="preserve">Es importante conocer </w:t>
      </w:r>
      <w:r w:rsidR="00CD0F0F" w:rsidRPr="00033E65">
        <w:t xml:space="preserve">la gestión y el avance que han tenido los Despachos de la Jurisdicción Agraria, </w:t>
      </w:r>
      <w:r w:rsidR="00C60023" w:rsidRPr="00033E65">
        <w:t>a partir de la</w:t>
      </w:r>
      <w:r w:rsidR="00CD0F0F" w:rsidRPr="00033E65">
        <w:t xml:space="preserve"> implementación de los Indicadores de Gestión</w:t>
      </w:r>
      <w:r w:rsidR="00C60023" w:rsidRPr="00033E65">
        <w:t>. A continuación, el siguiente análisis</w:t>
      </w:r>
      <w:r w:rsidR="00CE06AB" w:rsidRPr="00033E65">
        <w:t xml:space="preserve"> de acuerdo con los da</w:t>
      </w:r>
      <w:r w:rsidR="0055092C" w:rsidRPr="00033E65">
        <w:t>tos generados en el periodo 202</w:t>
      </w:r>
      <w:r w:rsidR="005B16D0" w:rsidRPr="00033E65">
        <w:t>1</w:t>
      </w:r>
      <w:r w:rsidR="0055092C" w:rsidRPr="00033E65">
        <w:t xml:space="preserve"> al 202</w:t>
      </w:r>
      <w:r w:rsidR="005B16D0" w:rsidRPr="00033E65">
        <w:t>2</w:t>
      </w:r>
      <w:r w:rsidR="00C60023" w:rsidRPr="00033E65">
        <w:t xml:space="preserve">. </w:t>
      </w:r>
    </w:p>
    <w:p w14:paraId="7C0599E2" w14:textId="1FD56C4B" w:rsidR="001D4E90" w:rsidRPr="00033E65" w:rsidRDefault="001D4E90" w:rsidP="00B640BA">
      <w:r w:rsidRPr="00033E65">
        <w:t xml:space="preserve">Para este análisis no se incluyó estadísticas del Juzgado Agrario de Puntarenas, Sede Jicaral, porque este despacho inicio labores en el mes de mayo del 2021. Por lo tanto, el análisis de datos de este Juzgado se desarrollará en el </w:t>
      </w:r>
      <w:r w:rsidRPr="00033E65">
        <w:rPr>
          <w:b/>
          <w:i/>
        </w:rPr>
        <w:t>punto 3.8</w:t>
      </w:r>
      <w:r w:rsidRPr="00033E65">
        <w:t>.</w:t>
      </w:r>
    </w:p>
    <w:p w14:paraId="0B04D63B" w14:textId="2C187E75" w:rsidR="00591DFE" w:rsidRPr="00033E65" w:rsidRDefault="00554C4E" w:rsidP="00951D3E">
      <w:pPr>
        <w:pStyle w:val="Ttulo3"/>
      </w:pPr>
      <w:bookmarkStart w:id="176" w:name="_Toc132639535"/>
      <w:r>
        <w:t>7.1</w:t>
      </w:r>
      <w:r w:rsidR="00A430F0" w:rsidRPr="00033E65">
        <w:t xml:space="preserve"> </w:t>
      </w:r>
      <w:r w:rsidR="00503BA1" w:rsidRPr="00033E65">
        <w:t>Entrada</w:t>
      </w:r>
      <w:r w:rsidR="00591DFE" w:rsidRPr="00033E65">
        <w:t xml:space="preserve"> (casos entrados nuevos + reentrados)</w:t>
      </w:r>
      <w:bookmarkEnd w:id="176"/>
    </w:p>
    <w:p w14:paraId="539B4875" w14:textId="79C6EE25" w:rsidR="007C3182" w:rsidRPr="00033E65" w:rsidRDefault="00CE06AB" w:rsidP="0071643B">
      <w:r w:rsidRPr="00033E65">
        <w:t>Los Juzgados</w:t>
      </w:r>
      <w:r w:rsidR="00272EA0" w:rsidRPr="00033E65">
        <w:t xml:space="preserve"> ha</w:t>
      </w:r>
      <w:r w:rsidRPr="00033E65">
        <w:t>n</w:t>
      </w:r>
      <w:r w:rsidR="00272EA0" w:rsidRPr="00033E65">
        <w:t xml:space="preserve"> tenido un</w:t>
      </w:r>
      <w:r w:rsidRPr="00033E65">
        <w:t>a entrada</w:t>
      </w:r>
      <w:r w:rsidR="00272EA0" w:rsidRPr="00033E65">
        <w:t xml:space="preserve"> con un comporta</w:t>
      </w:r>
      <w:r w:rsidR="00E53300" w:rsidRPr="00033E65">
        <w:t>miento irregular en periodo 202</w:t>
      </w:r>
      <w:r w:rsidR="00394365" w:rsidRPr="00033E65">
        <w:t>1</w:t>
      </w:r>
      <w:r w:rsidR="00E53300" w:rsidRPr="00033E65">
        <w:t xml:space="preserve"> al 202</w:t>
      </w:r>
      <w:r w:rsidR="00394365" w:rsidRPr="00033E65">
        <w:t>2</w:t>
      </w:r>
      <w:r w:rsidR="00272EA0" w:rsidRPr="00033E65">
        <w:t xml:space="preserve">, </w:t>
      </w:r>
      <w:r w:rsidR="00507392" w:rsidRPr="00033E65">
        <w:t xml:space="preserve">con una entrada promedio mensual de </w:t>
      </w:r>
      <w:r w:rsidR="00D90D9E" w:rsidRPr="00033E65">
        <w:t>1</w:t>
      </w:r>
      <w:r w:rsidR="004D4FC2" w:rsidRPr="00033E65">
        <w:t>35</w:t>
      </w:r>
      <w:r w:rsidRPr="00033E65">
        <w:t xml:space="preserve">y </w:t>
      </w:r>
      <w:r w:rsidR="00E53300" w:rsidRPr="00033E65">
        <w:t>3</w:t>
      </w:r>
      <w:r w:rsidR="00AC497E" w:rsidRPr="00033E65">
        <w:t>4</w:t>
      </w:r>
      <w:r w:rsidR="00507392" w:rsidRPr="00033E65">
        <w:t xml:space="preserve"> casos</w:t>
      </w:r>
      <w:r w:rsidRPr="00033E65">
        <w:t xml:space="preserve"> respectivamente. </w:t>
      </w:r>
    </w:p>
    <w:p w14:paraId="6211B87A" w14:textId="6388E564" w:rsidR="004F391E" w:rsidRDefault="00CE06AB" w:rsidP="004558F3">
      <w:r w:rsidRPr="00033E65">
        <w:t>El siguiente gráfico muestra el comportamiento y comparación de un año al otro</w:t>
      </w:r>
      <w:r w:rsidR="004B49F8" w:rsidRPr="00033E65">
        <w:t xml:space="preserve"> entre los Juzgados especializados en la materia</w:t>
      </w:r>
      <w:r w:rsidRPr="00033E65">
        <w:t xml:space="preserve">: </w:t>
      </w:r>
      <w:bookmarkStart w:id="177" w:name="_Hlk39740995"/>
    </w:p>
    <w:p w14:paraId="1B89B4AC" w14:textId="2E0FAE47" w:rsidR="00FE1650" w:rsidRPr="004F391E" w:rsidRDefault="004F391E" w:rsidP="004F391E">
      <w:pPr>
        <w:spacing w:before="0" w:after="160" w:line="259" w:lineRule="auto"/>
        <w:jc w:val="left"/>
      </w:pPr>
      <w:r>
        <w:br w:type="page"/>
      </w:r>
    </w:p>
    <w:p w14:paraId="7CC55578" w14:textId="64D2A418" w:rsidR="00CE06AB" w:rsidRPr="00033E65" w:rsidRDefault="00CE06AB"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lastRenderedPageBreak/>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1</w:t>
      </w:r>
      <w:r w:rsidRPr="00033E65">
        <w:rPr>
          <w:rFonts w:eastAsia="Times New Roman" w:cs="Arial"/>
          <w:iCs/>
          <w:spacing w:val="0"/>
          <w:szCs w:val="28"/>
          <w:lang w:val="es-CR" w:eastAsia="es-ES"/>
        </w:rPr>
        <w:fldChar w:fldCharType="end"/>
      </w:r>
    </w:p>
    <w:p w14:paraId="014276BA" w14:textId="17203422" w:rsidR="00B90A47" w:rsidRPr="00033E65" w:rsidRDefault="00CE06AB" w:rsidP="0012488D">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 xml:space="preserve">Comportamiento de la Carga de Trabajo de los Juzgados Especializados en Materia Agraria en el Periodo </w:t>
      </w:r>
      <w:r w:rsidR="007D5A4C" w:rsidRPr="00033E65">
        <w:rPr>
          <w:rFonts w:eastAsia="Times New Roman" w:cs="Arial"/>
          <w:spacing w:val="0"/>
          <w:lang w:val="es-CR" w:eastAsia="es-ES"/>
        </w:rPr>
        <w:t>202</w:t>
      </w:r>
      <w:r w:rsidR="34138C36" w:rsidRPr="00033E65">
        <w:rPr>
          <w:rFonts w:eastAsia="Times New Roman" w:cs="Arial"/>
          <w:spacing w:val="0"/>
          <w:lang w:val="es-CR" w:eastAsia="es-ES"/>
        </w:rPr>
        <w:t>1</w:t>
      </w:r>
      <w:r w:rsidR="007D5A4C" w:rsidRPr="00033E65">
        <w:rPr>
          <w:rFonts w:eastAsia="Times New Roman" w:cs="Arial"/>
          <w:spacing w:val="0"/>
          <w:lang w:val="es-CR" w:eastAsia="es-ES"/>
        </w:rPr>
        <w:t xml:space="preserve"> y 202</w:t>
      </w:r>
      <w:r w:rsidR="2BFCBCC7" w:rsidRPr="00033E65">
        <w:rPr>
          <w:rFonts w:eastAsia="Times New Roman" w:cs="Arial"/>
          <w:spacing w:val="0"/>
          <w:lang w:val="es-CR" w:eastAsia="es-ES"/>
        </w:rPr>
        <w:t>2</w:t>
      </w:r>
    </w:p>
    <w:p w14:paraId="42FA7779" w14:textId="181EEE50" w:rsidR="003A07E0" w:rsidRPr="00033E65" w:rsidRDefault="00B90A47" w:rsidP="00B90A47">
      <w:pPr>
        <w:pStyle w:val="Ttulo"/>
        <w:spacing w:before="0" w:after="0"/>
      </w:pPr>
      <w:r w:rsidRPr="00033E65">
        <w:rPr>
          <w:noProof/>
          <w:shd w:val="clear" w:color="auto" w:fill="FFFF00"/>
        </w:rPr>
        <w:drawing>
          <wp:inline distT="0" distB="0" distL="0" distR="0" wp14:anchorId="56DAADFF" wp14:editId="38C341FD">
            <wp:extent cx="5612130" cy="3265805"/>
            <wp:effectExtent l="0" t="0" r="7620" b="0"/>
            <wp:docPr id="30" name="Gráfico 30">
              <a:extLst xmlns:a="http://schemas.openxmlformats.org/drawingml/2006/main">
                <a:ext uri="{FF2B5EF4-FFF2-40B4-BE49-F238E27FC236}">
                  <a16:creationId xmlns:a16="http://schemas.microsoft.com/office/drawing/2014/main" id="{BF53077E-1627-04E2-5936-DAF67FFC48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888DFB6" w14:textId="4C2D7C82" w:rsidR="005E5F59" w:rsidRPr="00033E65" w:rsidRDefault="00E73321" w:rsidP="005E5F59">
      <w:pPr>
        <w:pStyle w:val="Ttulo"/>
        <w:spacing w:before="0" w:after="0"/>
        <w:rPr>
          <w:b w:val="0"/>
          <w:bCs/>
          <w:i/>
          <w:color w:val="auto"/>
          <w:sz w:val="20"/>
          <w:szCs w:val="20"/>
          <w:lang w:eastAsia="en-US"/>
        </w:rPr>
      </w:pPr>
      <w:bookmarkStart w:id="178" w:name="_Hlk39741153"/>
      <w:bookmarkEnd w:id="177"/>
      <w:r w:rsidRPr="00033E65">
        <w:rPr>
          <w:b w:val="0"/>
          <w:bCs/>
          <w:i/>
          <w:color w:val="auto"/>
          <w:sz w:val="20"/>
          <w:szCs w:val="20"/>
          <w:lang w:eastAsia="en-US"/>
        </w:rPr>
        <w:t xml:space="preserve">Fuente: </w:t>
      </w:r>
      <w:r w:rsidR="00CE06AB" w:rsidRPr="00033E65">
        <w:rPr>
          <w:b w:val="0"/>
          <w:bCs/>
          <w:i/>
          <w:color w:val="auto"/>
          <w:sz w:val="20"/>
          <w:szCs w:val="20"/>
          <w:lang w:eastAsia="en-US"/>
        </w:rPr>
        <w:t>Subproceso de Modernización Institucional</w:t>
      </w:r>
      <w:r w:rsidR="00001560" w:rsidRPr="00033E65">
        <w:rPr>
          <w:b w:val="0"/>
          <w:bCs/>
          <w:i/>
          <w:color w:val="auto"/>
          <w:sz w:val="20"/>
          <w:szCs w:val="20"/>
          <w:lang w:eastAsia="en-US"/>
        </w:rPr>
        <w:t>, área No Penal</w:t>
      </w:r>
      <w:r w:rsidR="00FE7CF1" w:rsidRPr="00033E65">
        <w:rPr>
          <w:b w:val="0"/>
          <w:bCs/>
          <w:i/>
          <w:color w:val="auto"/>
          <w:sz w:val="20"/>
          <w:szCs w:val="20"/>
          <w:lang w:eastAsia="en-US"/>
        </w:rPr>
        <w:t>,</w:t>
      </w:r>
      <w:r w:rsidR="00001560" w:rsidRPr="00033E65">
        <w:rPr>
          <w:b w:val="0"/>
          <w:bCs/>
          <w:i/>
          <w:color w:val="auto"/>
          <w:sz w:val="20"/>
          <w:szCs w:val="20"/>
          <w:lang w:eastAsia="en-US"/>
        </w:rPr>
        <w:t xml:space="preserve"> con base en el Balance General Interactivo de la página web de la Dirección de Planificación</w:t>
      </w:r>
      <w:r w:rsidR="0012488D" w:rsidRPr="00033E65">
        <w:rPr>
          <w:b w:val="0"/>
          <w:bCs/>
          <w:i/>
          <w:color w:val="auto"/>
          <w:sz w:val="20"/>
          <w:szCs w:val="20"/>
          <w:lang w:eastAsia="en-US"/>
        </w:rPr>
        <w:t>.</w:t>
      </w:r>
      <w:r w:rsidR="00CE06AB" w:rsidRPr="00033E65">
        <w:rPr>
          <w:b w:val="0"/>
          <w:bCs/>
          <w:i/>
          <w:color w:val="auto"/>
          <w:sz w:val="20"/>
          <w:szCs w:val="20"/>
          <w:lang w:eastAsia="en-US"/>
        </w:rPr>
        <w:t xml:space="preserve"> </w:t>
      </w:r>
      <w:bookmarkEnd w:id="178"/>
    </w:p>
    <w:p w14:paraId="080E5EE5" w14:textId="77777777" w:rsidR="00E73321" w:rsidRPr="00033E65" w:rsidRDefault="00E73321" w:rsidP="005E5F59">
      <w:pPr>
        <w:pStyle w:val="Ttulo"/>
        <w:spacing w:before="0" w:after="0"/>
        <w:rPr>
          <w:rFonts w:eastAsia="Times New Roman" w:cs="Arial"/>
          <w:b w:val="0"/>
          <w:bCs/>
          <w:spacing w:val="0"/>
          <w:sz w:val="20"/>
          <w:szCs w:val="20"/>
          <w:lang w:val="es-CR" w:eastAsia="es-ES"/>
        </w:rPr>
      </w:pPr>
    </w:p>
    <w:p w14:paraId="4B4A45DA" w14:textId="16EF5A60" w:rsidR="007E5C82" w:rsidRPr="00033E65" w:rsidRDefault="00834335" w:rsidP="0071643B">
      <w:r w:rsidRPr="00033E65">
        <w:t>De acuerdo con el grafico, el Despacho</w:t>
      </w:r>
      <w:r w:rsidR="00090A9F" w:rsidRPr="00033E65">
        <w:t xml:space="preserve"> que presentó</w:t>
      </w:r>
      <w:r w:rsidR="006F7954" w:rsidRPr="00033E65">
        <w:t xml:space="preserve"> mayor comportamiento de ingreso</w:t>
      </w:r>
      <w:r w:rsidR="00090A9F" w:rsidRPr="00033E65">
        <w:t xml:space="preserve"> </w:t>
      </w:r>
      <w:r w:rsidR="006F7954" w:rsidRPr="00033E65">
        <w:t>entre el 202</w:t>
      </w:r>
      <w:r w:rsidR="00A156D2" w:rsidRPr="00033E65">
        <w:t>1</w:t>
      </w:r>
      <w:r w:rsidR="006F7954" w:rsidRPr="00033E65">
        <w:t xml:space="preserve"> y 202</w:t>
      </w:r>
      <w:r w:rsidR="00A156D2" w:rsidRPr="00033E65">
        <w:t>2</w:t>
      </w:r>
      <w:r w:rsidR="006F7954" w:rsidRPr="00033E65">
        <w:t xml:space="preserve">, </w:t>
      </w:r>
      <w:r w:rsidR="00090A9F" w:rsidRPr="00033E65">
        <w:t xml:space="preserve">fue el Juzgado Agrario del Segundo Circuito Judicial de Guanacaste (Santa Cruz), con una entrada promedio </w:t>
      </w:r>
      <w:r w:rsidR="00C559F8" w:rsidRPr="00033E65">
        <w:t xml:space="preserve">mensual </w:t>
      </w:r>
      <w:r w:rsidR="00A8403E" w:rsidRPr="00033E65">
        <w:t>62</w:t>
      </w:r>
      <w:r w:rsidR="007844F2" w:rsidRPr="00033E65">
        <w:t xml:space="preserve"> y </w:t>
      </w:r>
      <w:r w:rsidR="006F2023" w:rsidRPr="00033E65">
        <w:t>45</w:t>
      </w:r>
      <w:r w:rsidR="007844F2" w:rsidRPr="00033E65">
        <w:t xml:space="preserve"> respectivamente</w:t>
      </w:r>
      <w:r w:rsidR="007460F5" w:rsidRPr="00033E65">
        <w:t>, se refleja una disminución importante para el 2022 con relación al 2021 de 17 casos menos por mes</w:t>
      </w:r>
      <w:r w:rsidR="00C559F8" w:rsidRPr="00033E65">
        <w:t xml:space="preserve">, </w:t>
      </w:r>
      <w:r w:rsidR="006F2023" w:rsidRPr="00033E65">
        <w:t>también el Juzgado Agrario del Primer Circuito Judicial de la Zona Atlántica (Limón) con una entrada promedio mensual 47 y 55 asuntos respectivamente, este último</w:t>
      </w:r>
      <w:r w:rsidR="00C559F8" w:rsidRPr="00033E65">
        <w:t xml:space="preserve"> representó</w:t>
      </w:r>
      <w:r w:rsidR="006F7954" w:rsidRPr="00033E65">
        <w:t xml:space="preserve"> un incremento del </w:t>
      </w:r>
      <w:r w:rsidR="0092581F" w:rsidRPr="00033E65">
        <w:t>17</w:t>
      </w:r>
      <w:r w:rsidR="006F7954" w:rsidRPr="00033E65">
        <w:t>%</w:t>
      </w:r>
      <w:r w:rsidR="007844F2" w:rsidRPr="00033E65">
        <w:t xml:space="preserve">. </w:t>
      </w:r>
    </w:p>
    <w:p w14:paraId="2AE7A263" w14:textId="46FF4AE3" w:rsidR="00CD27FB" w:rsidRPr="00033E65" w:rsidRDefault="004B49F8" w:rsidP="0071643B">
      <w:r w:rsidRPr="00033E65">
        <w:t xml:space="preserve">A nivel general, </w:t>
      </w:r>
      <w:r w:rsidR="00837890" w:rsidRPr="00033E65">
        <w:t>las oficinas mantienen valores similares en la entrada de asuntos tanto para el 2021 y 20222, a excepción del Juzgado Agrario del Segundo Circui</w:t>
      </w:r>
      <w:r w:rsidR="00E73321" w:rsidRPr="00033E65">
        <w:t>t</w:t>
      </w:r>
      <w:r w:rsidR="00837890" w:rsidRPr="00033E65">
        <w:t xml:space="preserve">o Judicial de San José (Goicoechea) el cual muestra una disminución en el promedio de entrada de </w:t>
      </w:r>
      <w:r w:rsidR="00770376" w:rsidRPr="00033E65">
        <w:t xml:space="preserve">14 asuntos, es decir un 38% menos. </w:t>
      </w:r>
    </w:p>
    <w:p w14:paraId="134D82EA" w14:textId="4A390763" w:rsidR="00AC4D2F" w:rsidRPr="00033E65" w:rsidRDefault="00037ECA" w:rsidP="0071643B">
      <w:r w:rsidRPr="00033E65">
        <w:t xml:space="preserve">Lo anterior fue de esperarse debido a la problemática mundial que se vive, a raíz de la pandemia por el COVID 19, </w:t>
      </w:r>
      <w:r w:rsidR="00AC4D2F" w:rsidRPr="00033E65">
        <w:t xml:space="preserve">el cual ha impactado en el ingreso de casos nuevos. </w:t>
      </w:r>
    </w:p>
    <w:p w14:paraId="08DD35A3" w14:textId="77777777" w:rsidR="00033332" w:rsidRPr="00033E65" w:rsidRDefault="00033332" w:rsidP="0071643B"/>
    <w:p w14:paraId="1FA40168" w14:textId="24EE1196" w:rsidR="00037ECA" w:rsidRPr="00033E65" w:rsidRDefault="00554C4E" w:rsidP="00951D3E">
      <w:pPr>
        <w:pStyle w:val="Ttulo3"/>
      </w:pPr>
      <w:bookmarkStart w:id="179" w:name="_Toc132639536"/>
      <w:r>
        <w:lastRenderedPageBreak/>
        <w:t>7.</w:t>
      </w:r>
      <w:r w:rsidR="00A430F0" w:rsidRPr="00033E65">
        <w:t>2</w:t>
      </w:r>
      <w:r w:rsidR="00037ECA" w:rsidRPr="00033E65">
        <w:t xml:space="preserve"> </w:t>
      </w:r>
      <w:r w:rsidR="00CD27FB" w:rsidRPr="00033E65">
        <w:t>Casos Terminados</w:t>
      </w:r>
      <w:bookmarkEnd w:id="179"/>
    </w:p>
    <w:p w14:paraId="71D6C7AC" w14:textId="7DF1CECD" w:rsidR="00CD27FB" w:rsidRPr="00033E65" w:rsidRDefault="00B1336A" w:rsidP="00CD27FB">
      <w:pPr>
        <w:rPr>
          <w:lang w:val="es-MX"/>
        </w:rPr>
      </w:pPr>
      <w:r w:rsidRPr="00033E65">
        <w:rPr>
          <w:lang w:val="es-MX"/>
        </w:rPr>
        <w:t>En relación con los casos terminados, los Juzgados han exper</w:t>
      </w:r>
      <w:r w:rsidR="005D26D2" w:rsidRPr="00033E65">
        <w:rPr>
          <w:lang w:val="es-MX"/>
        </w:rPr>
        <w:t>imentado una disminución del 202</w:t>
      </w:r>
      <w:r w:rsidR="00337747" w:rsidRPr="00033E65">
        <w:rPr>
          <w:lang w:val="es-MX"/>
        </w:rPr>
        <w:t>1</w:t>
      </w:r>
      <w:r w:rsidR="005D26D2" w:rsidRPr="00033E65">
        <w:rPr>
          <w:lang w:val="es-MX"/>
        </w:rPr>
        <w:t xml:space="preserve"> al 202</w:t>
      </w:r>
      <w:r w:rsidR="00337747" w:rsidRPr="00033E65">
        <w:rPr>
          <w:lang w:val="es-MX"/>
        </w:rPr>
        <w:t>2</w:t>
      </w:r>
      <w:r w:rsidRPr="00033E65">
        <w:rPr>
          <w:lang w:val="es-MX"/>
        </w:rPr>
        <w:t xml:space="preserve">, con un promedio de salida de 30 </w:t>
      </w:r>
      <w:r w:rsidR="005D26D2" w:rsidRPr="00033E65">
        <w:rPr>
          <w:lang w:val="es-MX"/>
        </w:rPr>
        <w:t>casos</w:t>
      </w:r>
      <w:r w:rsidR="000A6F50" w:rsidRPr="00033E65">
        <w:rPr>
          <w:lang w:val="es-MX"/>
        </w:rPr>
        <w:t xml:space="preserve"> y 24 casos </w:t>
      </w:r>
      <w:r w:rsidR="00E73321" w:rsidRPr="00033E65">
        <w:rPr>
          <w:lang w:val="es-MX"/>
        </w:rPr>
        <w:t>r</w:t>
      </w:r>
      <w:r w:rsidR="000A6F50" w:rsidRPr="00033E65">
        <w:rPr>
          <w:lang w:val="es-MX"/>
        </w:rPr>
        <w:t>espectivamente.</w:t>
      </w:r>
    </w:p>
    <w:p w14:paraId="57B709F8" w14:textId="373F1964" w:rsidR="00B1336A" w:rsidRPr="00033E65" w:rsidRDefault="00B1336A" w:rsidP="00B1336A">
      <w:r w:rsidRPr="00033E65">
        <w:t xml:space="preserve">El siguiente gráfico muestra el comportamiento y comparación de un año al otro entre los Juzgados especializados en la materia: </w:t>
      </w:r>
    </w:p>
    <w:p w14:paraId="0ABDE3AE" w14:textId="77777777" w:rsidR="00033332" w:rsidRPr="00033E65" w:rsidRDefault="00033332" w:rsidP="00B1336A"/>
    <w:p w14:paraId="24064BEF" w14:textId="1063A4DE" w:rsidR="002536E5" w:rsidRPr="00033E65" w:rsidRDefault="002536E5"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2</w:t>
      </w:r>
      <w:r w:rsidRPr="00033E65">
        <w:rPr>
          <w:rFonts w:eastAsia="Times New Roman" w:cs="Arial"/>
          <w:iCs/>
          <w:spacing w:val="0"/>
          <w:szCs w:val="28"/>
          <w:lang w:val="es-CR" w:eastAsia="es-ES"/>
        </w:rPr>
        <w:fldChar w:fldCharType="end"/>
      </w:r>
    </w:p>
    <w:p w14:paraId="061855B4" w14:textId="5E161198" w:rsidR="00B1336A" w:rsidRPr="00033E65" w:rsidRDefault="002536E5" w:rsidP="00033332">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 xml:space="preserve">Comportamiento de los Casos Terminados de los Juzgados Especializados en Materia Agraria </w:t>
      </w:r>
      <w:r w:rsidR="00F54C2B" w:rsidRPr="00033E65">
        <w:rPr>
          <w:rFonts w:eastAsia="Times New Roman" w:cs="Arial"/>
          <w:spacing w:val="0"/>
          <w:lang w:val="es-CR" w:eastAsia="es-ES"/>
        </w:rPr>
        <w:t>en el Periodo 202</w:t>
      </w:r>
      <w:r w:rsidR="2C29AF84" w:rsidRPr="00033E65">
        <w:rPr>
          <w:rFonts w:eastAsia="Times New Roman" w:cs="Arial"/>
          <w:spacing w:val="0"/>
          <w:lang w:val="es-CR" w:eastAsia="es-ES"/>
        </w:rPr>
        <w:t>1</w:t>
      </w:r>
      <w:r w:rsidR="00F54C2B" w:rsidRPr="00033E65">
        <w:rPr>
          <w:rFonts w:eastAsia="Times New Roman" w:cs="Arial"/>
          <w:spacing w:val="0"/>
          <w:lang w:val="es-CR" w:eastAsia="es-ES"/>
        </w:rPr>
        <w:t xml:space="preserve"> al 202</w:t>
      </w:r>
      <w:r w:rsidR="533AF377" w:rsidRPr="00033E65">
        <w:rPr>
          <w:rFonts w:eastAsia="Times New Roman" w:cs="Arial"/>
          <w:spacing w:val="0"/>
          <w:lang w:val="es-CR" w:eastAsia="es-ES"/>
        </w:rPr>
        <w:t>2</w:t>
      </w:r>
    </w:p>
    <w:p w14:paraId="085DF0EC" w14:textId="4127257D" w:rsidR="00B1336A" w:rsidRPr="00033E65" w:rsidRDefault="00B1336A" w:rsidP="622C9D04">
      <w:pPr>
        <w:pStyle w:val="Ttulo"/>
        <w:spacing w:before="0" w:after="0"/>
        <w:rPr>
          <w:i/>
          <w:iCs/>
          <w:color w:val="auto"/>
          <w:sz w:val="16"/>
          <w:szCs w:val="16"/>
          <w:lang w:eastAsia="en-US"/>
        </w:rPr>
      </w:pPr>
    </w:p>
    <w:p w14:paraId="1CB4B90C" w14:textId="0985EE57" w:rsidR="00B1336A" w:rsidRPr="00033E65" w:rsidRDefault="00562E0B" w:rsidP="622C9D04">
      <w:pPr>
        <w:pStyle w:val="Ttulo"/>
        <w:spacing w:before="0" w:after="0"/>
        <w:rPr>
          <w:i/>
          <w:iCs/>
          <w:color w:val="auto"/>
          <w:sz w:val="16"/>
          <w:szCs w:val="16"/>
          <w:lang w:eastAsia="en-US"/>
        </w:rPr>
      </w:pPr>
      <w:r w:rsidRPr="00033E65">
        <w:rPr>
          <w:noProof/>
        </w:rPr>
        <w:drawing>
          <wp:inline distT="0" distB="0" distL="0" distR="0" wp14:anchorId="72153926" wp14:editId="5AB67F09">
            <wp:extent cx="5612130" cy="3536950"/>
            <wp:effectExtent l="0" t="0" r="7620" b="6350"/>
            <wp:docPr id="40" name="Gráfico 40">
              <a:extLst xmlns:a="http://schemas.openxmlformats.org/drawingml/2006/main">
                <a:ext uri="{FF2B5EF4-FFF2-40B4-BE49-F238E27FC236}">
                  <a16:creationId xmlns:a16="http://schemas.microsoft.com/office/drawing/2014/main" id="{563BE671-85AC-3A35-A228-78873820CE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88F7E53" w14:textId="401571B3" w:rsidR="00B1336A" w:rsidRPr="00033E65" w:rsidRDefault="00B1336A" w:rsidP="622C9D04">
      <w:pPr>
        <w:pStyle w:val="Ttulo"/>
        <w:spacing w:before="0" w:after="0"/>
        <w:rPr>
          <w:i/>
          <w:iCs/>
          <w:color w:val="auto"/>
          <w:sz w:val="16"/>
          <w:szCs w:val="16"/>
          <w:lang w:eastAsia="en-US"/>
        </w:rPr>
      </w:pPr>
    </w:p>
    <w:p w14:paraId="2F006D6F" w14:textId="59FBEA08" w:rsidR="00B1336A" w:rsidRPr="00033E65" w:rsidRDefault="00B1336A" w:rsidP="622C9D04">
      <w:pPr>
        <w:pStyle w:val="Ttulo"/>
        <w:spacing w:before="0" w:after="0"/>
        <w:rPr>
          <w:i/>
          <w:iCs/>
          <w:color w:val="auto"/>
          <w:sz w:val="16"/>
          <w:szCs w:val="16"/>
          <w:lang w:eastAsia="en-US"/>
        </w:rPr>
      </w:pPr>
    </w:p>
    <w:p w14:paraId="4830E861" w14:textId="49939451" w:rsidR="00B1336A" w:rsidRPr="00033E65" w:rsidRDefault="00B1336A" w:rsidP="004D4EDB">
      <w:pPr>
        <w:pStyle w:val="Ttulo"/>
        <w:spacing w:before="0" w:after="0"/>
        <w:rPr>
          <w:noProof/>
          <w:lang w:eastAsia="es-CR"/>
        </w:rPr>
      </w:pPr>
      <w:r w:rsidRPr="00033E65">
        <w:rPr>
          <w:i/>
          <w:color w:val="auto"/>
          <w:sz w:val="16"/>
          <w:szCs w:val="16"/>
          <w:lang w:eastAsia="en-US"/>
        </w:rPr>
        <w:t xml:space="preserve">Fuente: </w:t>
      </w:r>
      <w:r w:rsidRPr="00033E65">
        <w:rPr>
          <w:i/>
          <w:color w:val="auto"/>
          <w:sz w:val="16"/>
          <w:szCs w:val="16"/>
        </w:rPr>
        <w:t>Subproceso de Modernización Institucional</w:t>
      </w:r>
      <w:r w:rsidR="006B2EF2" w:rsidRPr="00033E65">
        <w:rPr>
          <w:i/>
          <w:color w:val="auto"/>
          <w:sz w:val="16"/>
          <w:szCs w:val="16"/>
        </w:rPr>
        <w:t xml:space="preserve">, área No </w:t>
      </w:r>
      <w:r w:rsidR="0077040A" w:rsidRPr="00033E65">
        <w:rPr>
          <w:i/>
          <w:color w:val="auto"/>
          <w:sz w:val="16"/>
          <w:szCs w:val="16"/>
        </w:rPr>
        <w:t>Penal</w:t>
      </w:r>
      <w:r w:rsidR="00FE7CF1" w:rsidRPr="00033E65">
        <w:rPr>
          <w:i/>
          <w:color w:val="auto"/>
          <w:sz w:val="16"/>
          <w:szCs w:val="16"/>
        </w:rPr>
        <w:t>,</w:t>
      </w:r>
      <w:r w:rsidR="0077040A" w:rsidRPr="00033E65">
        <w:rPr>
          <w:i/>
          <w:color w:val="auto"/>
          <w:sz w:val="16"/>
          <w:szCs w:val="16"/>
        </w:rPr>
        <w:t xml:space="preserve"> con base en el Balance General Interactivo de la página web de la Dirección de Planificació</w:t>
      </w:r>
      <w:r w:rsidR="00872715" w:rsidRPr="00033E65">
        <w:rPr>
          <w:i/>
          <w:color w:val="auto"/>
          <w:sz w:val="16"/>
          <w:szCs w:val="16"/>
        </w:rPr>
        <w:t xml:space="preserve">n. </w:t>
      </w:r>
    </w:p>
    <w:p w14:paraId="2B7D8093" w14:textId="4A8D2151" w:rsidR="00E228EA" w:rsidRPr="00033E65" w:rsidRDefault="00DD5164" w:rsidP="00B1336A">
      <w:r w:rsidRPr="00033E65">
        <w:t>De la información anterior se desprende que</w:t>
      </w:r>
      <w:r w:rsidR="004C7676" w:rsidRPr="00033E65">
        <w:t>,</w:t>
      </w:r>
      <w:r w:rsidRPr="00033E65">
        <w:t xml:space="preserve"> el 67% de los Juzgados</w:t>
      </w:r>
      <w:r w:rsidR="004C7676" w:rsidRPr="00033E65">
        <w:t xml:space="preserve"> experimentaron una reducción</w:t>
      </w:r>
      <w:r w:rsidR="009B6910" w:rsidRPr="00033E65">
        <w:t xml:space="preserve"> de los casos terminados en 202</w:t>
      </w:r>
      <w:r w:rsidR="00551A7F" w:rsidRPr="00033E65">
        <w:t>2</w:t>
      </w:r>
      <w:r w:rsidR="009B6910" w:rsidRPr="00033E65">
        <w:t xml:space="preserve"> con relación al 202</w:t>
      </w:r>
      <w:r w:rsidR="00551A7F" w:rsidRPr="00033E65">
        <w:t>1</w:t>
      </w:r>
      <w:r w:rsidR="004C7676" w:rsidRPr="00033E65">
        <w:t xml:space="preserve">, de los cuales el Juzgado Agrario de </w:t>
      </w:r>
      <w:r w:rsidR="008D5B95" w:rsidRPr="00033E65">
        <w:t xml:space="preserve">Puntarenas y </w:t>
      </w:r>
      <w:r w:rsidR="00145EBD" w:rsidRPr="00033E65">
        <w:t>Santa Cruz</w:t>
      </w:r>
      <w:r w:rsidR="004C7676" w:rsidRPr="00033E65">
        <w:t>, fueron los que mayor impacto tu</w:t>
      </w:r>
      <w:r w:rsidR="008D5B95" w:rsidRPr="00033E65">
        <w:t xml:space="preserve">vieron, </w:t>
      </w:r>
      <w:r w:rsidR="0080397E" w:rsidRPr="00033E65">
        <w:t>ya que en el caso de Puntarenas pasó de</w:t>
      </w:r>
      <w:r w:rsidR="008D5B95" w:rsidRPr="00033E65">
        <w:t xml:space="preserve"> </w:t>
      </w:r>
      <w:r w:rsidR="00807965" w:rsidRPr="00033E65">
        <w:t xml:space="preserve">terminar 30 casos en el 2021 a terminar en promedio 17 casos en el 2922 y </w:t>
      </w:r>
      <w:r w:rsidR="0080397E" w:rsidRPr="00033E65">
        <w:t xml:space="preserve">Santa Cruz </w:t>
      </w:r>
      <w:r w:rsidR="00807965" w:rsidRPr="00033E65">
        <w:t xml:space="preserve">de terminar en el 2021 69 casos </w:t>
      </w:r>
      <w:r w:rsidR="0080397E" w:rsidRPr="00033E65">
        <w:t xml:space="preserve">mensuales a terminar 31 casos en el 2022, </w:t>
      </w:r>
      <w:r w:rsidR="00145EBD" w:rsidRPr="00033E65">
        <w:t>30</w:t>
      </w:r>
      <w:r w:rsidR="008D5B95" w:rsidRPr="00033E65">
        <w:t xml:space="preserve"> y </w:t>
      </w:r>
      <w:r w:rsidR="004C7676" w:rsidRPr="00033E65">
        <w:t>. El restante 33% de los Despachos si lograron terminar</w:t>
      </w:r>
      <w:r w:rsidR="008D5B95" w:rsidRPr="00033E65">
        <w:t xml:space="preserve"> una cantidad mayor</w:t>
      </w:r>
      <w:r w:rsidR="002C2C38" w:rsidRPr="00033E65">
        <w:t xml:space="preserve"> o igual</w:t>
      </w:r>
      <w:r w:rsidR="008D5B95" w:rsidRPr="00033E65">
        <w:t xml:space="preserve"> en el 202</w:t>
      </w:r>
      <w:r w:rsidR="002C2C38" w:rsidRPr="00033E65">
        <w:t>2</w:t>
      </w:r>
      <w:r w:rsidR="008D5B95" w:rsidRPr="00033E65">
        <w:t xml:space="preserve"> con respecto al 202</w:t>
      </w:r>
      <w:r w:rsidR="002C2C38" w:rsidRPr="00033E65">
        <w:t>1</w:t>
      </w:r>
      <w:r w:rsidR="007E442A" w:rsidRPr="00033E65">
        <w:t xml:space="preserve">, de los cuales se puede considerar como los casos más </w:t>
      </w:r>
      <w:r w:rsidR="007E442A" w:rsidRPr="00033E65">
        <w:lastRenderedPageBreak/>
        <w:t xml:space="preserve">representativos los Juzgados Agrarios de </w:t>
      </w:r>
      <w:r w:rsidR="002C2C38" w:rsidRPr="00033E65">
        <w:t>Limón</w:t>
      </w:r>
      <w:r w:rsidR="00ED4F6F" w:rsidRPr="00033E65">
        <w:t xml:space="preserve"> y Pococí</w:t>
      </w:r>
      <w:r w:rsidR="008A66F1" w:rsidRPr="00033E65">
        <w:t>, quienes terminaron un 4</w:t>
      </w:r>
      <w:r w:rsidR="00ED4F6F" w:rsidRPr="00033E65">
        <w:t>3</w:t>
      </w:r>
      <w:r w:rsidR="00AA2124" w:rsidRPr="00033E65">
        <w:t xml:space="preserve">% y </w:t>
      </w:r>
      <w:r w:rsidR="008A66F1" w:rsidRPr="00033E65">
        <w:t xml:space="preserve">un </w:t>
      </w:r>
      <w:r w:rsidR="00ED4F6F" w:rsidRPr="00033E65">
        <w:t>16</w:t>
      </w:r>
      <w:r w:rsidR="007E442A" w:rsidRPr="00033E65">
        <w:t xml:space="preserve">% respectivamente, de más que el año que le antecede.  </w:t>
      </w:r>
    </w:p>
    <w:p w14:paraId="0E55EC4E" w14:textId="4D641599" w:rsidR="005268C2" w:rsidRPr="00033E65" w:rsidRDefault="00E228EA" w:rsidP="00B1336A">
      <w:r w:rsidRPr="00033E65">
        <w:t xml:space="preserve">Importante </w:t>
      </w:r>
      <w:r w:rsidR="005268C2" w:rsidRPr="00033E65">
        <w:t>indicar</w:t>
      </w:r>
      <w:r w:rsidRPr="00033E65">
        <w:t xml:space="preserve"> que, el Juzgado Agrario de </w:t>
      </w:r>
      <w:r w:rsidR="00AE4BAB" w:rsidRPr="00033E65">
        <w:t>Limón</w:t>
      </w:r>
      <w:r w:rsidRPr="00033E65">
        <w:t xml:space="preserve"> cont</w:t>
      </w:r>
      <w:r w:rsidR="00AE4BAB" w:rsidRPr="00033E65">
        <w:t>ó</w:t>
      </w:r>
      <w:r w:rsidRPr="00033E65">
        <w:t xml:space="preserve"> con colaboración </w:t>
      </w:r>
      <w:r w:rsidR="005268C2" w:rsidRPr="00033E65">
        <w:t xml:space="preserve">por medio de planes de descongestionamiento de </w:t>
      </w:r>
      <w:r w:rsidR="000C4D03" w:rsidRPr="00033E65">
        <w:t xml:space="preserve">setiembre </w:t>
      </w:r>
      <w:r w:rsidR="00AE4BAB" w:rsidRPr="00033E65">
        <w:t>a diciembre</w:t>
      </w:r>
      <w:r w:rsidR="005268C2" w:rsidRPr="00033E65">
        <w:t xml:space="preserve"> del 202</w:t>
      </w:r>
      <w:r w:rsidR="00AE4BAB" w:rsidRPr="00033E65">
        <w:t>2</w:t>
      </w:r>
      <w:r w:rsidR="005268C2" w:rsidRPr="00033E65">
        <w:t xml:space="preserve">, mediante la modalidad de licencias con goce de salario conforme al artículo 44 de la Ley Orgánica del Poder Judicial. </w:t>
      </w:r>
    </w:p>
    <w:p w14:paraId="174FA995" w14:textId="17BCF4C2" w:rsidR="00B1336A" w:rsidRPr="00033E65" w:rsidRDefault="005268C2" w:rsidP="00B1336A">
      <w:r w:rsidRPr="00033E65">
        <w:t xml:space="preserve">Por otro </w:t>
      </w:r>
      <w:r w:rsidR="006C5433" w:rsidRPr="00033E65">
        <w:t>lado,</w:t>
      </w:r>
      <w:r w:rsidRPr="00033E65">
        <w:t xml:space="preserve"> los Juzgados Agrarios de Upala, </w:t>
      </w:r>
      <w:r w:rsidR="00584F04" w:rsidRPr="00033E65">
        <w:t>Pococí, Corredores, Cartago y</w:t>
      </w:r>
      <w:r w:rsidRPr="00033E65">
        <w:t>, recibieron colaboración por parte del Centro de Apoyo, Coordinación y Mejoramiento de la Función Jurisdiccional (CACMFJ) en el dictado de sentencias</w:t>
      </w:r>
      <w:r w:rsidR="00FD6DA2" w:rsidRPr="00033E65">
        <w:t>.</w:t>
      </w:r>
      <w:r w:rsidR="00523717" w:rsidRPr="00033E65">
        <w:t xml:space="preserve"> También debe considerarse que a partir de la creación del Juzgado Agrario de Jicaral se dio </w:t>
      </w:r>
      <w:r w:rsidR="00E25B1B" w:rsidRPr="00033E65">
        <w:t>un traslado de expedientes de los Juzgados Agrarios de Puntarenas y Santa Cruz a esa nueva jurisdicción.</w:t>
      </w:r>
    </w:p>
    <w:p w14:paraId="66297286" w14:textId="0A859384" w:rsidR="002F1786" w:rsidRPr="00033E65" w:rsidRDefault="00554C4E" w:rsidP="00951D3E">
      <w:pPr>
        <w:pStyle w:val="Ttulo3"/>
      </w:pPr>
      <w:bookmarkStart w:id="180" w:name="_Toc132639537"/>
      <w:r>
        <w:t>7</w:t>
      </w:r>
      <w:r w:rsidR="00A430F0" w:rsidRPr="00033E65">
        <w:t xml:space="preserve">.3 </w:t>
      </w:r>
      <w:r w:rsidR="002F1786" w:rsidRPr="00033E65">
        <w:t>Circulante Final</w:t>
      </w:r>
      <w:bookmarkEnd w:id="180"/>
    </w:p>
    <w:p w14:paraId="5F1B5DC3" w14:textId="6935E563" w:rsidR="002F1786" w:rsidRPr="00033E65" w:rsidRDefault="00C608D8" w:rsidP="002F1786">
      <w:pPr>
        <w:rPr>
          <w:lang w:val="es-MX"/>
        </w:rPr>
      </w:pPr>
      <w:r w:rsidRPr="00033E65">
        <w:rPr>
          <w:lang w:val="es-MX"/>
        </w:rPr>
        <w:t xml:space="preserve">A pesar del momento que se vive a raíz de la pandemia mundial, </w:t>
      </w:r>
      <w:r w:rsidR="00E47CEB" w:rsidRPr="00033E65">
        <w:rPr>
          <w:lang w:val="es-MX"/>
        </w:rPr>
        <w:t xml:space="preserve">sólo </w:t>
      </w:r>
      <w:r w:rsidR="006F07E3" w:rsidRPr="00033E65">
        <w:rPr>
          <w:lang w:val="es-MX"/>
        </w:rPr>
        <w:t xml:space="preserve">cuatro </w:t>
      </w:r>
      <w:r w:rsidR="00E47CEB" w:rsidRPr="00033E65">
        <w:rPr>
          <w:lang w:val="es-MX"/>
        </w:rPr>
        <w:t>(</w:t>
      </w:r>
      <w:r w:rsidR="006F07E3" w:rsidRPr="00033E65">
        <w:rPr>
          <w:lang w:val="es-MX"/>
        </w:rPr>
        <w:t>4</w:t>
      </w:r>
      <w:r w:rsidRPr="00033E65">
        <w:rPr>
          <w:lang w:val="es-MX"/>
        </w:rPr>
        <w:t>) de los 12 Juzgados lograron re</w:t>
      </w:r>
      <w:r w:rsidR="00E47CEB" w:rsidRPr="00033E65">
        <w:rPr>
          <w:lang w:val="es-MX"/>
        </w:rPr>
        <w:t>ducir sus circulantes en el 202</w:t>
      </w:r>
      <w:r w:rsidR="00E72EB4" w:rsidRPr="00033E65">
        <w:rPr>
          <w:lang w:val="es-MX"/>
        </w:rPr>
        <w:t>2</w:t>
      </w:r>
      <w:r w:rsidRPr="00033E65">
        <w:rPr>
          <w:lang w:val="es-MX"/>
        </w:rPr>
        <w:t>, con relac</w:t>
      </w:r>
      <w:r w:rsidR="00E47CEB" w:rsidRPr="00033E65">
        <w:rPr>
          <w:lang w:val="es-MX"/>
        </w:rPr>
        <w:t>ión al circulante final del 202</w:t>
      </w:r>
      <w:r w:rsidR="006F07E3" w:rsidRPr="00033E65">
        <w:rPr>
          <w:lang w:val="es-MX"/>
        </w:rPr>
        <w:t>1</w:t>
      </w:r>
      <w:r w:rsidRPr="00033E65">
        <w:rPr>
          <w:lang w:val="es-MX"/>
        </w:rPr>
        <w:t xml:space="preserve">, </w:t>
      </w:r>
      <w:r w:rsidR="00E47CEB" w:rsidRPr="00033E65">
        <w:rPr>
          <w:lang w:val="es-MX"/>
        </w:rPr>
        <w:t xml:space="preserve">caso contrario se presentó en los </w:t>
      </w:r>
      <w:r w:rsidR="00B9573E" w:rsidRPr="00033E65">
        <w:rPr>
          <w:lang w:val="es-MX"/>
        </w:rPr>
        <w:t>8</w:t>
      </w:r>
      <w:r w:rsidR="00E47CEB" w:rsidRPr="00033E65">
        <w:rPr>
          <w:lang w:val="es-MX"/>
        </w:rPr>
        <w:t xml:space="preserve"> despachos restantes,</w:t>
      </w:r>
      <w:r w:rsidR="0083421D" w:rsidRPr="00033E65">
        <w:rPr>
          <w:lang w:val="es-MX"/>
        </w:rPr>
        <w:t xml:space="preserve"> se refleja un aumento de </w:t>
      </w:r>
      <w:r w:rsidR="00D85F45" w:rsidRPr="00033E65">
        <w:rPr>
          <w:lang w:val="es-MX"/>
        </w:rPr>
        <w:t>449</w:t>
      </w:r>
      <w:r w:rsidR="0083421D" w:rsidRPr="00033E65">
        <w:rPr>
          <w:lang w:val="es-MX"/>
        </w:rPr>
        <w:t xml:space="preserve"> expedientes del circulante total de los Despachos especializados del país</w:t>
      </w:r>
      <w:r w:rsidRPr="00033E65">
        <w:rPr>
          <w:lang w:val="es-MX"/>
        </w:rPr>
        <w:t>.</w:t>
      </w:r>
      <w:r w:rsidR="002536E5" w:rsidRPr="00033E65">
        <w:rPr>
          <w:lang w:val="es-MX"/>
        </w:rPr>
        <w:t xml:space="preserve"> El detalle se refleja en el siguiente gráfico</w:t>
      </w:r>
      <w:r w:rsidRPr="00033E65">
        <w:rPr>
          <w:lang w:val="es-MX"/>
        </w:rPr>
        <w:t>.</w:t>
      </w:r>
    </w:p>
    <w:p w14:paraId="37E8EEF0" w14:textId="28DEAE83" w:rsidR="002536E5" w:rsidRPr="00033E65" w:rsidRDefault="002536E5"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3</w:t>
      </w:r>
      <w:r w:rsidRPr="00033E65">
        <w:rPr>
          <w:rFonts w:eastAsia="Times New Roman" w:cs="Arial"/>
          <w:iCs/>
          <w:spacing w:val="0"/>
          <w:szCs w:val="28"/>
          <w:lang w:val="es-CR" w:eastAsia="es-ES"/>
        </w:rPr>
        <w:fldChar w:fldCharType="end"/>
      </w:r>
    </w:p>
    <w:p w14:paraId="41148187" w14:textId="4DB28DA4" w:rsidR="622C9D04" w:rsidRPr="00033E65" w:rsidRDefault="002536E5" w:rsidP="00033332">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Comportamiento del Circulante Final de los Juzgados Especializados en Ma</w:t>
      </w:r>
      <w:r w:rsidR="00386AE8" w:rsidRPr="00033E65">
        <w:rPr>
          <w:rFonts w:eastAsia="Times New Roman" w:cs="Arial"/>
          <w:spacing w:val="0"/>
          <w:lang w:val="es-CR" w:eastAsia="es-ES"/>
        </w:rPr>
        <w:t>teria Agraria en el Periodo 202</w:t>
      </w:r>
      <w:r w:rsidR="053B8B8D" w:rsidRPr="00033E65">
        <w:rPr>
          <w:rFonts w:eastAsia="Times New Roman" w:cs="Arial"/>
          <w:spacing w:val="0"/>
          <w:lang w:val="es-CR" w:eastAsia="es-ES"/>
        </w:rPr>
        <w:t>1</w:t>
      </w:r>
      <w:r w:rsidR="00386AE8" w:rsidRPr="00033E65">
        <w:rPr>
          <w:rFonts w:eastAsia="Times New Roman" w:cs="Arial"/>
          <w:spacing w:val="0"/>
          <w:lang w:val="es-CR" w:eastAsia="es-ES"/>
        </w:rPr>
        <w:t xml:space="preserve"> al 202</w:t>
      </w:r>
      <w:r w:rsidR="7C5DE055" w:rsidRPr="00033E65">
        <w:rPr>
          <w:rFonts w:eastAsia="Times New Roman" w:cs="Arial"/>
          <w:spacing w:val="0"/>
          <w:lang w:val="es-CR" w:eastAsia="es-ES"/>
        </w:rPr>
        <w:t>2</w:t>
      </w:r>
    </w:p>
    <w:p w14:paraId="25C240AD" w14:textId="0F02AB3A" w:rsidR="622C9D04" w:rsidRPr="00033E65" w:rsidRDefault="0051124A" w:rsidP="00B8602D">
      <w:pPr>
        <w:tabs>
          <w:tab w:val="left" w:pos="1884"/>
        </w:tabs>
        <w:jc w:val="center"/>
      </w:pPr>
      <w:r w:rsidRPr="00033E65">
        <w:rPr>
          <w:noProof/>
        </w:rPr>
        <w:drawing>
          <wp:inline distT="0" distB="0" distL="0" distR="0" wp14:anchorId="2A18E8BA" wp14:editId="42479701">
            <wp:extent cx="4751705" cy="3393440"/>
            <wp:effectExtent l="0" t="0" r="0" b="0"/>
            <wp:docPr id="41" name="Gráfico 41">
              <a:extLst xmlns:a="http://schemas.openxmlformats.org/drawingml/2006/main">
                <a:ext uri="{FF2B5EF4-FFF2-40B4-BE49-F238E27FC236}">
                  <a16:creationId xmlns:a16="http://schemas.microsoft.com/office/drawing/2014/main" id="{41B01CDB-3604-C511-BD4C-BE5C5D37B7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15FFA42" w14:textId="6702A153" w:rsidR="0036654C" w:rsidRPr="00033E65" w:rsidRDefault="0036654C" w:rsidP="0036654C">
      <w:pPr>
        <w:tabs>
          <w:tab w:val="left" w:pos="1884"/>
        </w:tabs>
        <w:rPr>
          <w:b/>
          <w:i/>
          <w:sz w:val="18"/>
          <w:szCs w:val="18"/>
          <w:lang w:eastAsia="en-US"/>
        </w:rPr>
      </w:pPr>
      <w:r w:rsidRPr="00033E65">
        <w:rPr>
          <w:b/>
          <w:i/>
          <w:sz w:val="18"/>
          <w:szCs w:val="18"/>
          <w:lang w:eastAsia="en-US"/>
        </w:rPr>
        <w:t xml:space="preserve">Fuente: </w:t>
      </w:r>
      <w:r w:rsidRPr="00033E65">
        <w:rPr>
          <w:b/>
          <w:i/>
          <w:sz w:val="18"/>
          <w:szCs w:val="18"/>
        </w:rPr>
        <w:t>Subproceso de Modernización Institucional</w:t>
      </w:r>
      <w:r w:rsidR="000E2293" w:rsidRPr="00033E65">
        <w:rPr>
          <w:b/>
          <w:i/>
          <w:sz w:val="18"/>
          <w:szCs w:val="18"/>
        </w:rPr>
        <w:t>,</w:t>
      </w:r>
      <w:r w:rsidRPr="00033E65">
        <w:rPr>
          <w:b/>
          <w:i/>
          <w:sz w:val="18"/>
          <w:szCs w:val="18"/>
        </w:rPr>
        <w:t xml:space="preserve"> </w:t>
      </w:r>
      <w:r w:rsidR="000E2293" w:rsidRPr="00033E65">
        <w:rPr>
          <w:b/>
          <w:i/>
          <w:sz w:val="18"/>
          <w:szCs w:val="18"/>
          <w:lang w:eastAsia="en-US"/>
        </w:rPr>
        <w:t>área No Penal</w:t>
      </w:r>
      <w:r w:rsidR="00FE7CF1" w:rsidRPr="00033E65">
        <w:rPr>
          <w:b/>
          <w:i/>
          <w:sz w:val="18"/>
          <w:szCs w:val="18"/>
          <w:lang w:eastAsia="en-US"/>
        </w:rPr>
        <w:t>,</w:t>
      </w:r>
      <w:r w:rsidRPr="00033E65">
        <w:rPr>
          <w:b/>
          <w:i/>
          <w:sz w:val="18"/>
          <w:szCs w:val="18"/>
          <w:lang w:eastAsia="en-US"/>
        </w:rPr>
        <w:t xml:space="preserve"> con base </w:t>
      </w:r>
      <w:r w:rsidR="000E2293" w:rsidRPr="00033E65">
        <w:rPr>
          <w:b/>
          <w:i/>
          <w:sz w:val="18"/>
          <w:szCs w:val="18"/>
          <w:lang w:eastAsia="en-US"/>
        </w:rPr>
        <w:t>en el Balance General Interactivo de la página web de la Dirección de Planificación</w:t>
      </w:r>
    </w:p>
    <w:p w14:paraId="72A84246" w14:textId="77CBB85F" w:rsidR="00D67F24" w:rsidRPr="00033E65" w:rsidRDefault="002826C1" w:rsidP="0036654C">
      <w:pPr>
        <w:tabs>
          <w:tab w:val="left" w:pos="2844"/>
        </w:tabs>
      </w:pPr>
      <w:r w:rsidRPr="00033E65">
        <w:lastRenderedPageBreak/>
        <w:t xml:space="preserve">La reducción más significativa se realizó por parte el Juzgado Agrario </w:t>
      </w:r>
      <w:r w:rsidR="00D76BCD" w:rsidRPr="00033E65">
        <w:t>de Pococí,</w:t>
      </w:r>
      <w:r w:rsidR="00B8602D" w:rsidRPr="00033E65">
        <w:t xml:space="preserve"> </w:t>
      </w:r>
      <w:r w:rsidR="00F45139" w:rsidRPr="00033E65">
        <w:t>que para finales del 202</w:t>
      </w:r>
      <w:r w:rsidR="00D76BCD" w:rsidRPr="00033E65">
        <w:t>1</w:t>
      </w:r>
      <w:r w:rsidRPr="00033E65">
        <w:t xml:space="preserve"> contó con </w:t>
      </w:r>
      <w:r w:rsidR="00D76BCD" w:rsidRPr="00033E65">
        <w:t xml:space="preserve">696 </w:t>
      </w:r>
      <w:r w:rsidRPr="00033E65">
        <w:t>expedientes dentro de su ci</w:t>
      </w:r>
      <w:r w:rsidR="00F45139" w:rsidRPr="00033E65">
        <w:t>rculante y para finales del 202</w:t>
      </w:r>
      <w:r w:rsidR="00D76BCD" w:rsidRPr="00033E65">
        <w:t>2</w:t>
      </w:r>
      <w:r w:rsidRPr="00033E65">
        <w:t xml:space="preserve"> lo redujo a </w:t>
      </w:r>
      <w:r w:rsidR="00D76BCD" w:rsidRPr="00033E65">
        <w:t>630</w:t>
      </w:r>
      <w:r w:rsidRPr="00033E65">
        <w:t xml:space="preserve"> expedientes,</w:t>
      </w:r>
      <w:r w:rsidR="00C47A15" w:rsidRPr="00033E65">
        <w:t xml:space="preserve"> </w:t>
      </w:r>
      <w:r w:rsidRPr="00033E65">
        <w:t xml:space="preserve">un </w:t>
      </w:r>
      <w:r w:rsidR="007970C9" w:rsidRPr="00033E65">
        <w:t>9,5</w:t>
      </w:r>
      <w:r w:rsidRPr="00033E65">
        <w:t xml:space="preserve">% menor que representan </w:t>
      </w:r>
      <w:r w:rsidR="007970C9" w:rsidRPr="00033E65">
        <w:t>66</w:t>
      </w:r>
      <w:r w:rsidR="0043410F" w:rsidRPr="00033E65">
        <w:t xml:space="preserve"> expedientes menos, esto debido a</w:t>
      </w:r>
      <w:r w:rsidR="00863DA0" w:rsidRPr="00033E65">
        <w:t xml:space="preserve"> la </w:t>
      </w:r>
      <w:r w:rsidR="001830DF" w:rsidRPr="00033E65">
        <w:t>ge</w:t>
      </w:r>
      <w:r w:rsidR="00B8602D" w:rsidRPr="00033E65">
        <w:t>s</w:t>
      </w:r>
      <w:r w:rsidR="001830DF" w:rsidRPr="00033E65">
        <w:t>tión de la oficina y la implementación de planes de trabajo con colaboración del Centro de Apoyo, Coordinación y Mejoramiento de la Función Jurisdiccional.</w:t>
      </w:r>
    </w:p>
    <w:p w14:paraId="3A109F54" w14:textId="2D7AAD09" w:rsidR="0036654C" w:rsidRPr="00033E65" w:rsidRDefault="007A2691" w:rsidP="0036654C">
      <w:pPr>
        <w:tabs>
          <w:tab w:val="left" w:pos="2844"/>
        </w:tabs>
      </w:pPr>
      <w:r w:rsidRPr="00033E65">
        <w:t>Caso contrario, un aumento</w:t>
      </w:r>
      <w:r w:rsidR="00A84E19" w:rsidRPr="00033E65">
        <w:t xml:space="preserve"> importante </w:t>
      </w:r>
      <w:r w:rsidR="00E229A8" w:rsidRPr="00033E65">
        <w:t>lo</w:t>
      </w:r>
      <w:r w:rsidR="00A84E19" w:rsidRPr="00033E65">
        <w:t xml:space="preserve"> generó el </w:t>
      </w:r>
      <w:r w:rsidR="00455D73" w:rsidRPr="00033E65">
        <w:t xml:space="preserve">Juzgado Agrario </w:t>
      </w:r>
      <w:r w:rsidR="006C1C42" w:rsidRPr="00033E65">
        <w:t xml:space="preserve">de </w:t>
      </w:r>
      <w:r w:rsidRPr="00033E65">
        <w:t>Limón</w:t>
      </w:r>
      <w:r w:rsidR="00455D73" w:rsidRPr="00033E65">
        <w:t xml:space="preserve"> </w:t>
      </w:r>
      <w:r w:rsidR="00A84E19" w:rsidRPr="00033E65">
        <w:t xml:space="preserve">el cual </w:t>
      </w:r>
      <w:r w:rsidRPr="00033E65">
        <w:t>creció</w:t>
      </w:r>
      <w:r w:rsidR="00A84E19" w:rsidRPr="00033E65">
        <w:t xml:space="preserve"> su circulante en un </w:t>
      </w:r>
      <w:r w:rsidR="001559D7" w:rsidRPr="00033E65">
        <w:t>20</w:t>
      </w:r>
      <w:r w:rsidR="00D072A3" w:rsidRPr="00033E65">
        <w:t>%. Otros Despachos que incrementaron</w:t>
      </w:r>
      <w:r w:rsidR="00A84E19" w:rsidRPr="00033E65">
        <w:t xml:space="preserve"> </w:t>
      </w:r>
      <w:r w:rsidR="00455D73" w:rsidRPr="00033E65">
        <w:t>el circulante f</w:t>
      </w:r>
      <w:r w:rsidR="00D072A3" w:rsidRPr="00033E65">
        <w:t xml:space="preserve">ueron el de </w:t>
      </w:r>
      <w:r w:rsidR="00E609CC" w:rsidRPr="00033E65">
        <w:t xml:space="preserve">Corredores con un 16,5%, San Carlos con un 12,6%, </w:t>
      </w:r>
      <w:r w:rsidR="00455D73" w:rsidRPr="00033E65">
        <w:t>Pérez Zeledón</w:t>
      </w:r>
      <w:r w:rsidR="00E609CC" w:rsidRPr="00033E65">
        <w:t xml:space="preserve"> con un 10%, Goicoechea con un 8,5%</w:t>
      </w:r>
      <w:r w:rsidR="00D072A3" w:rsidRPr="00033E65">
        <w:t xml:space="preserve"> y Cartago </w:t>
      </w:r>
      <w:r w:rsidR="00E609CC" w:rsidRPr="00033E65">
        <w:t xml:space="preserve">y Puntarenas con </w:t>
      </w:r>
      <w:r w:rsidR="00D072A3" w:rsidRPr="00033E65">
        <w:t xml:space="preserve">un </w:t>
      </w:r>
      <w:r w:rsidR="00E609CC" w:rsidRPr="00033E65">
        <w:t>6</w:t>
      </w:r>
      <w:r w:rsidR="00455D73" w:rsidRPr="00033E65">
        <w:t>%</w:t>
      </w:r>
      <w:r w:rsidR="00B8602D" w:rsidRPr="00033E65">
        <w:t>.</w:t>
      </w:r>
      <w:r w:rsidR="00455D73" w:rsidRPr="00033E65">
        <w:t xml:space="preserve"> </w:t>
      </w:r>
      <w:r w:rsidR="00E609CC" w:rsidRPr="00033E65">
        <w:t xml:space="preserve"> </w:t>
      </w:r>
    </w:p>
    <w:p w14:paraId="2ABD1BD4" w14:textId="1ACE4AD2" w:rsidR="00111439" w:rsidRPr="00033E65" w:rsidRDefault="00554C4E" w:rsidP="00951D3E">
      <w:pPr>
        <w:pStyle w:val="Ttulo3"/>
      </w:pPr>
      <w:bookmarkStart w:id="181" w:name="_Toc132639538"/>
      <w:bookmarkStart w:id="182" w:name="_Hlk63414873"/>
      <w:r>
        <w:t>7.</w:t>
      </w:r>
      <w:r w:rsidR="00A430F0" w:rsidRPr="00033E65">
        <w:t xml:space="preserve">4 </w:t>
      </w:r>
      <w:r w:rsidR="00D0239A" w:rsidRPr="00033E65">
        <w:t>Plazo de Espera de Dictado de Sentencia</w:t>
      </w:r>
      <w:bookmarkEnd w:id="181"/>
    </w:p>
    <w:bookmarkEnd w:id="182"/>
    <w:p w14:paraId="33E16457" w14:textId="4D2672B8" w:rsidR="00D0239A" w:rsidRPr="00033E65" w:rsidRDefault="003270F8" w:rsidP="00D0239A">
      <w:pPr>
        <w:rPr>
          <w:lang w:val="es-MX"/>
        </w:rPr>
      </w:pPr>
      <w:r w:rsidRPr="00033E65">
        <w:rPr>
          <w:lang w:val="es-MX"/>
        </w:rPr>
        <w:t xml:space="preserve">El Plazo de Espera de Dictado de Sentencia es un indicador que permite conocer la dinámica de los Juzgados con respecto al tiempo que otorga en el fallo de los procesos, el cual viene desde el momento que se envía el expediente a fallar hasta su sentencia. Los datos que se obtienen a nivel de los Juzgados especializados </w:t>
      </w:r>
      <w:r w:rsidR="001F172D" w:rsidRPr="00033E65">
        <w:rPr>
          <w:lang w:val="es-MX"/>
        </w:rPr>
        <w:t>son</w:t>
      </w:r>
      <w:r w:rsidRPr="00033E65">
        <w:rPr>
          <w:lang w:val="es-MX"/>
        </w:rPr>
        <w:t xml:space="preserve"> disperso</w:t>
      </w:r>
      <w:r w:rsidR="001F172D" w:rsidRPr="00033E65">
        <w:rPr>
          <w:lang w:val="es-MX"/>
        </w:rPr>
        <w:t>s</w:t>
      </w:r>
      <w:r w:rsidRPr="00033E65">
        <w:rPr>
          <w:lang w:val="es-MX"/>
        </w:rPr>
        <w:t>, ya que los plazos</w:t>
      </w:r>
      <w:r w:rsidR="001F172D" w:rsidRPr="00033E65">
        <w:rPr>
          <w:lang w:val="es-MX"/>
        </w:rPr>
        <w:t xml:space="preserve"> </w:t>
      </w:r>
      <w:r w:rsidR="001E2E99" w:rsidRPr="00033E65">
        <w:rPr>
          <w:lang w:val="es-MX"/>
        </w:rPr>
        <w:t>promedios</w:t>
      </w:r>
      <w:r w:rsidRPr="00033E65">
        <w:rPr>
          <w:lang w:val="es-MX"/>
        </w:rPr>
        <w:t xml:space="preserve"> varían de un Despacho a otro, por lo que a continuación, se </w:t>
      </w:r>
      <w:r w:rsidR="00900A7A" w:rsidRPr="00033E65">
        <w:rPr>
          <w:lang w:val="es-MX"/>
        </w:rPr>
        <w:t xml:space="preserve">visualiza el comportamiento y comparación en los últimos dos (2) años. </w:t>
      </w:r>
    </w:p>
    <w:p w14:paraId="570BD735" w14:textId="77777777" w:rsidR="00B8602D" w:rsidRPr="00033E65" w:rsidRDefault="00B8602D" w:rsidP="00D0239A">
      <w:pPr>
        <w:rPr>
          <w:lang w:val="es-MX"/>
        </w:rPr>
      </w:pPr>
    </w:p>
    <w:p w14:paraId="68D32CA7" w14:textId="703793A6" w:rsidR="00900A7A" w:rsidRPr="00033E65" w:rsidRDefault="00900A7A"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4</w:t>
      </w:r>
      <w:r w:rsidRPr="00033E65">
        <w:rPr>
          <w:rFonts w:eastAsia="Times New Roman" w:cs="Arial"/>
          <w:iCs/>
          <w:spacing w:val="0"/>
          <w:szCs w:val="28"/>
          <w:lang w:val="es-CR" w:eastAsia="es-ES"/>
        </w:rPr>
        <w:fldChar w:fldCharType="end"/>
      </w:r>
    </w:p>
    <w:p w14:paraId="167F01C2" w14:textId="6FF01048" w:rsidR="622C9D04" w:rsidRPr="00033E65" w:rsidRDefault="00900A7A" w:rsidP="00B8602D">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Comportamiento del Plazo de Espera de Dictado de Sentencia de los Juzgados Especializados en Ma</w:t>
      </w:r>
      <w:r w:rsidR="008F0E25" w:rsidRPr="00033E65">
        <w:rPr>
          <w:rFonts w:eastAsia="Times New Roman" w:cs="Arial"/>
          <w:spacing w:val="0"/>
          <w:lang w:val="es-CR" w:eastAsia="es-ES"/>
        </w:rPr>
        <w:t>teria Agraria en el Periodo 202</w:t>
      </w:r>
      <w:r w:rsidR="7F42B776" w:rsidRPr="00033E65">
        <w:rPr>
          <w:rFonts w:eastAsia="Times New Roman" w:cs="Arial"/>
          <w:spacing w:val="0"/>
          <w:lang w:val="es-CR" w:eastAsia="es-ES"/>
        </w:rPr>
        <w:t>1</w:t>
      </w:r>
      <w:r w:rsidR="008F0E25" w:rsidRPr="00033E65">
        <w:rPr>
          <w:rFonts w:eastAsia="Times New Roman" w:cs="Arial"/>
          <w:spacing w:val="0"/>
          <w:lang w:val="es-CR" w:eastAsia="es-ES"/>
        </w:rPr>
        <w:t xml:space="preserve"> al 202</w:t>
      </w:r>
      <w:r w:rsidR="43E070BE" w:rsidRPr="00033E65">
        <w:rPr>
          <w:rFonts w:eastAsia="Times New Roman" w:cs="Arial"/>
          <w:spacing w:val="0"/>
          <w:lang w:val="es-CR" w:eastAsia="es-ES"/>
        </w:rPr>
        <w:t>2</w:t>
      </w:r>
    </w:p>
    <w:p w14:paraId="2128CE36" w14:textId="7F4A7306" w:rsidR="622C9D04" w:rsidRPr="00033E65" w:rsidRDefault="004D2225" w:rsidP="004626EF">
      <w:pPr>
        <w:tabs>
          <w:tab w:val="left" w:pos="1884"/>
        </w:tabs>
        <w:jc w:val="center"/>
      </w:pPr>
      <w:r w:rsidRPr="00033E65">
        <w:rPr>
          <w:noProof/>
        </w:rPr>
        <w:drawing>
          <wp:inline distT="0" distB="0" distL="0" distR="0" wp14:anchorId="5EAD55FC" wp14:editId="2602D09C">
            <wp:extent cx="5060039" cy="3547718"/>
            <wp:effectExtent l="0" t="0" r="7620" b="0"/>
            <wp:docPr id="42" name="Gráfico 42">
              <a:extLst xmlns:a="http://schemas.openxmlformats.org/drawingml/2006/main">
                <a:ext uri="{FF2B5EF4-FFF2-40B4-BE49-F238E27FC236}">
                  <a16:creationId xmlns:a16="http://schemas.microsoft.com/office/drawing/2014/main" id="{3EA5EE87-1A6E-35BE-70FF-B9DAFEC921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5A743A2" w14:textId="73C04B1D" w:rsidR="00AF2470" w:rsidRPr="00033E65" w:rsidRDefault="00AF2470" w:rsidP="00AF2470">
      <w:pPr>
        <w:tabs>
          <w:tab w:val="left" w:pos="1884"/>
        </w:tabs>
        <w:rPr>
          <w:b/>
          <w:i/>
          <w:sz w:val="18"/>
          <w:szCs w:val="18"/>
          <w:lang w:eastAsia="en-US"/>
        </w:rPr>
      </w:pPr>
      <w:r w:rsidRPr="00033E65">
        <w:rPr>
          <w:b/>
          <w:i/>
          <w:sz w:val="18"/>
          <w:szCs w:val="18"/>
          <w:lang w:eastAsia="en-US"/>
        </w:rPr>
        <w:lastRenderedPageBreak/>
        <w:t xml:space="preserve">Fuente: </w:t>
      </w:r>
      <w:r w:rsidRPr="00033E65">
        <w:rPr>
          <w:b/>
          <w:i/>
          <w:sz w:val="18"/>
          <w:szCs w:val="18"/>
        </w:rPr>
        <w:t>Subproceso de Modernización Institucional</w:t>
      </w:r>
      <w:r w:rsidR="0063690C" w:rsidRPr="00033E65">
        <w:rPr>
          <w:b/>
          <w:i/>
          <w:sz w:val="18"/>
          <w:szCs w:val="18"/>
        </w:rPr>
        <w:t xml:space="preserve">, área No Penal, con base en </w:t>
      </w:r>
      <w:r w:rsidR="00DB21D6" w:rsidRPr="00033E65">
        <w:rPr>
          <w:b/>
          <w:i/>
          <w:sz w:val="18"/>
          <w:szCs w:val="18"/>
        </w:rPr>
        <w:t>la Matriz de Indicadores</w:t>
      </w:r>
      <w:r w:rsidR="00F630CD" w:rsidRPr="00033E65">
        <w:rPr>
          <w:b/>
          <w:i/>
          <w:sz w:val="18"/>
          <w:szCs w:val="18"/>
        </w:rPr>
        <w:t xml:space="preserve"> de Gestión.</w:t>
      </w:r>
    </w:p>
    <w:p w14:paraId="4CDA4BA2" w14:textId="2196A525" w:rsidR="006C1C42" w:rsidRPr="00033E65" w:rsidRDefault="00AF2470" w:rsidP="006679CF">
      <w:pPr>
        <w:tabs>
          <w:tab w:val="left" w:pos="2844"/>
        </w:tabs>
      </w:pPr>
      <w:r w:rsidRPr="00033E65">
        <w:t xml:space="preserve">De lo anterior se </w:t>
      </w:r>
      <w:r w:rsidR="001F172D" w:rsidRPr="00033E65">
        <w:t xml:space="preserve">puede observar que existen Juzgados que han logrado reducir considerablemente este plazo de un año al otro, un ejemplo muy representativo es el caso del Juzgado Agrario de </w:t>
      </w:r>
      <w:r w:rsidR="00C360EB" w:rsidRPr="00033E65">
        <w:t>Alajuela</w:t>
      </w:r>
      <w:r w:rsidR="001F172D" w:rsidRPr="00033E65">
        <w:t>, que se e</w:t>
      </w:r>
      <w:r w:rsidR="00F73930" w:rsidRPr="00033E65">
        <w:t>vid</w:t>
      </w:r>
      <w:r w:rsidR="0047350C" w:rsidRPr="00033E65">
        <w:t xml:space="preserve">encia una reducción de hasta </w:t>
      </w:r>
      <w:r w:rsidR="00AD6988" w:rsidRPr="00033E65">
        <w:t>575</w:t>
      </w:r>
      <w:r w:rsidR="00F73930" w:rsidRPr="00033E65">
        <w:t xml:space="preserve"> días en promedio en el 202</w:t>
      </w:r>
      <w:r w:rsidR="00AD6988" w:rsidRPr="00033E65">
        <w:t>2</w:t>
      </w:r>
      <w:r w:rsidR="001F172D" w:rsidRPr="00033E65">
        <w:t xml:space="preserve"> con respecto el año que le antecede. El Juzgado de </w:t>
      </w:r>
      <w:r w:rsidR="00AD6988" w:rsidRPr="00033E65">
        <w:t xml:space="preserve">Cartago </w:t>
      </w:r>
      <w:r w:rsidR="001F172D" w:rsidRPr="00033E65">
        <w:t>pasa de un plazo p</w:t>
      </w:r>
      <w:r w:rsidR="0047350C" w:rsidRPr="00033E65">
        <w:t xml:space="preserve">romedio de </w:t>
      </w:r>
      <w:r w:rsidR="00355BAD" w:rsidRPr="00033E65">
        <w:t>36</w:t>
      </w:r>
      <w:r w:rsidR="0047350C" w:rsidRPr="00033E65">
        <w:t xml:space="preserve"> días a </w:t>
      </w:r>
      <w:r w:rsidR="00355BAD" w:rsidRPr="00033E65">
        <w:t>16</w:t>
      </w:r>
      <w:r w:rsidR="00F73930" w:rsidRPr="00033E65">
        <w:t xml:space="preserve"> días al final del 202</w:t>
      </w:r>
      <w:r w:rsidR="00355BAD" w:rsidRPr="00033E65">
        <w:t>2</w:t>
      </w:r>
      <w:r w:rsidR="00714046" w:rsidRPr="00033E65">
        <w:t xml:space="preserve">. </w:t>
      </w:r>
    </w:p>
    <w:p w14:paraId="6D945F04" w14:textId="77777777" w:rsidR="00E0502D" w:rsidRPr="00033E65" w:rsidRDefault="00E0502D" w:rsidP="0036654C">
      <w:pPr>
        <w:tabs>
          <w:tab w:val="left" w:pos="2844"/>
        </w:tabs>
      </w:pPr>
      <w:r w:rsidRPr="00033E65">
        <w:t xml:space="preserve">Aunque la gestión de estos Juzgados ha sido buena y en otros casos sobresalientes, es importante mantener esta constancia, en la cual se busca la mejora continua, en busca de la reducción de tiempos de atención y se espera que a corto y mediano plazo las oficinas logren acercarse al plazo definido de atención para este indicador, que se encuentra entre cinco (5) y siente (7) días. </w:t>
      </w:r>
    </w:p>
    <w:p w14:paraId="75881D12" w14:textId="38213C37" w:rsidR="008145B6" w:rsidRPr="00033E65" w:rsidRDefault="00714046" w:rsidP="0036654C">
      <w:pPr>
        <w:tabs>
          <w:tab w:val="left" w:pos="2844"/>
        </w:tabs>
      </w:pPr>
      <w:r w:rsidRPr="00033E65">
        <w:t xml:space="preserve">Caso contrario ocurre en el </w:t>
      </w:r>
      <w:r w:rsidR="00EE1A1C" w:rsidRPr="00033E65">
        <w:t>Juzgado</w:t>
      </w:r>
      <w:r w:rsidR="004626EF" w:rsidRPr="00033E65">
        <w:t xml:space="preserve"> </w:t>
      </w:r>
      <w:r w:rsidR="00EE1A1C" w:rsidRPr="00033E65">
        <w:t xml:space="preserve">Agrario de Liberia el cual aumentó su plazo para el dictado de sentencia en </w:t>
      </w:r>
      <w:r w:rsidR="00D3252E" w:rsidRPr="00033E65">
        <w:t xml:space="preserve">175 días, pasando de 37 días de espera en el 2021 a 212 días de espera en el 2022, es decir aumentó un 648% </w:t>
      </w:r>
      <w:r w:rsidR="00F53F9A" w:rsidRPr="00033E65">
        <w:t xml:space="preserve">este plazo. El </w:t>
      </w:r>
      <w:r w:rsidRPr="00033E65">
        <w:t>Juzgado Agr</w:t>
      </w:r>
      <w:r w:rsidR="006679CF" w:rsidRPr="00033E65">
        <w:t xml:space="preserve">ario de </w:t>
      </w:r>
      <w:r w:rsidR="0074037F" w:rsidRPr="00033E65">
        <w:t>Goicoechea</w:t>
      </w:r>
      <w:r w:rsidR="006679CF" w:rsidRPr="00033E65">
        <w:t>, que en el 202</w:t>
      </w:r>
      <w:r w:rsidR="0074037F" w:rsidRPr="00033E65">
        <w:t>1</w:t>
      </w:r>
      <w:r w:rsidRPr="00033E65">
        <w:t xml:space="preserve"> obtuvo un plazo promedio de </w:t>
      </w:r>
      <w:r w:rsidR="0074037F" w:rsidRPr="00033E65">
        <w:t>295</w:t>
      </w:r>
      <w:r w:rsidR="006679CF" w:rsidRPr="00033E65">
        <w:t xml:space="preserve"> días y para finales del 202</w:t>
      </w:r>
      <w:r w:rsidR="0074037F" w:rsidRPr="00033E65">
        <w:t>2</w:t>
      </w:r>
      <w:r w:rsidRPr="00033E65">
        <w:t xml:space="preserve"> concluye con un promedio de </w:t>
      </w:r>
      <w:r w:rsidR="0074037F" w:rsidRPr="00033E65">
        <w:t>409</w:t>
      </w:r>
      <w:r w:rsidR="006679CF" w:rsidRPr="00033E65">
        <w:t xml:space="preserve"> días, es decir aumentó 3</w:t>
      </w:r>
      <w:r w:rsidR="00EE1A1C" w:rsidRPr="00033E65">
        <w:t>9</w:t>
      </w:r>
      <w:r w:rsidRPr="00033E65">
        <w:t xml:space="preserve">% ese dato. </w:t>
      </w:r>
      <w:r w:rsidR="00101C95" w:rsidRPr="00033E65">
        <w:t xml:space="preserve">Los restantes juzgados </w:t>
      </w:r>
      <w:r w:rsidR="00E0502D" w:rsidRPr="00033E65">
        <w:t>han aumentado el plazo de este indicador</w:t>
      </w:r>
      <w:r w:rsidR="00101C95" w:rsidRPr="00033E65">
        <w:t xml:space="preserve"> con diferencias que van desde los </w:t>
      </w:r>
      <w:r w:rsidR="00E0502D" w:rsidRPr="00033E65">
        <w:t xml:space="preserve"> </w:t>
      </w:r>
      <w:r w:rsidR="004C2B8F" w:rsidRPr="00033E65">
        <w:t xml:space="preserve">7 días hasta los 68 días, tales como </w:t>
      </w:r>
      <w:r w:rsidR="00EE1A1C" w:rsidRPr="00033E65">
        <w:t>Pococí</w:t>
      </w:r>
      <w:r w:rsidR="000566CB" w:rsidRPr="00033E65">
        <w:t xml:space="preserve">, </w:t>
      </w:r>
      <w:r w:rsidR="004C2B8F" w:rsidRPr="00033E65">
        <w:t>Pérez Zeledón,</w:t>
      </w:r>
      <w:r w:rsidR="00314AF9" w:rsidRPr="00033E65">
        <w:t xml:space="preserve"> Limón, Corredores, Santa Cruz, San Ramón, San Carlos y Puntarenas.</w:t>
      </w:r>
    </w:p>
    <w:p w14:paraId="014D6491" w14:textId="77777777" w:rsidR="00330690" w:rsidRPr="00033E65" w:rsidRDefault="00330690" w:rsidP="0036654C">
      <w:pPr>
        <w:tabs>
          <w:tab w:val="left" w:pos="2844"/>
        </w:tabs>
      </w:pPr>
    </w:p>
    <w:p w14:paraId="638EA2E7" w14:textId="7192E1DD" w:rsidR="001F029F" w:rsidRPr="00033E65" w:rsidRDefault="00554C4E" w:rsidP="00951D3E">
      <w:pPr>
        <w:pStyle w:val="Ttulo3"/>
      </w:pPr>
      <w:bookmarkStart w:id="183" w:name="_Toc132639539"/>
      <w:r>
        <w:t>7</w:t>
      </w:r>
      <w:r w:rsidR="00A430F0" w:rsidRPr="00033E65">
        <w:t xml:space="preserve">.5 </w:t>
      </w:r>
      <w:r w:rsidR="00237DA2" w:rsidRPr="00033E65">
        <w:t>Plazo Espera para Realización de Audiencia</w:t>
      </w:r>
      <w:bookmarkEnd w:id="183"/>
    </w:p>
    <w:p w14:paraId="10DE8830" w14:textId="25228599" w:rsidR="001720A8" w:rsidRPr="00033E65" w:rsidRDefault="00D313F9" w:rsidP="0036654C">
      <w:pPr>
        <w:tabs>
          <w:tab w:val="left" w:pos="2844"/>
        </w:tabs>
        <w:rPr>
          <w:lang w:val="es-MX"/>
        </w:rPr>
      </w:pPr>
      <w:r w:rsidRPr="00033E65">
        <w:rPr>
          <w:lang w:val="es-MX"/>
        </w:rPr>
        <w:t>En este indicador</w:t>
      </w:r>
      <w:r w:rsidR="00127E99" w:rsidRPr="00033E65">
        <w:rPr>
          <w:lang w:val="es-MX"/>
        </w:rPr>
        <w:t xml:space="preserve"> </w:t>
      </w:r>
      <w:r w:rsidR="00F83EC1" w:rsidRPr="00033E65">
        <w:rPr>
          <w:lang w:val="es-MX"/>
        </w:rPr>
        <w:t xml:space="preserve">siete </w:t>
      </w:r>
      <w:r w:rsidR="00127E99" w:rsidRPr="00033E65">
        <w:rPr>
          <w:lang w:val="es-MX"/>
        </w:rPr>
        <w:t>(</w:t>
      </w:r>
      <w:r w:rsidR="00F83EC1" w:rsidRPr="00033E65">
        <w:rPr>
          <w:lang w:val="es-MX"/>
        </w:rPr>
        <w:t>7</w:t>
      </w:r>
      <w:r w:rsidR="001E2E99" w:rsidRPr="00033E65">
        <w:rPr>
          <w:lang w:val="es-MX"/>
        </w:rPr>
        <w:t>) de los 12 Juzgado aumentaron el plazo promedio para la realización de los señalamientos a audiencia, el cual busca visibilizar la fecha a la que va la agenda del Despacho. El destalle se re</w:t>
      </w:r>
      <w:r w:rsidR="002B1303" w:rsidRPr="00033E65">
        <w:rPr>
          <w:lang w:val="es-MX"/>
        </w:rPr>
        <w:t xml:space="preserve">fleja en el siguiente gráfico. </w:t>
      </w:r>
    </w:p>
    <w:p w14:paraId="7296001C" w14:textId="77777777" w:rsidR="001720A8" w:rsidRPr="00033E65" w:rsidRDefault="001720A8" w:rsidP="0036654C">
      <w:pPr>
        <w:tabs>
          <w:tab w:val="left" w:pos="2844"/>
        </w:tabs>
        <w:rPr>
          <w:lang w:val="es-MX"/>
        </w:rPr>
      </w:pPr>
    </w:p>
    <w:p w14:paraId="62385CA4" w14:textId="6F08BCFB" w:rsidR="001E2E99" w:rsidRPr="00033E65" w:rsidRDefault="001E2E99"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5</w:t>
      </w:r>
      <w:r w:rsidRPr="00033E65">
        <w:rPr>
          <w:rFonts w:eastAsia="Times New Roman" w:cs="Arial"/>
          <w:iCs/>
          <w:spacing w:val="0"/>
          <w:szCs w:val="28"/>
          <w:lang w:val="es-CR" w:eastAsia="es-ES"/>
        </w:rPr>
        <w:fldChar w:fldCharType="end"/>
      </w:r>
    </w:p>
    <w:p w14:paraId="663796B6" w14:textId="3C73161E" w:rsidR="001E2E99" w:rsidRPr="00033E65" w:rsidRDefault="001E2E99" w:rsidP="004626EF">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 xml:space="preserve">Comportamiento del Plazo de </w:t>
      </w:r>
      <w:r w:rsidR="002D3B21" w:rsidRPr="00033E65">
        <w:rPr>
          <w:rFonts w:eastAsia="Times New Roman" w:cs="Arial"/>
          <w:spacing w:val="0"/>
          <w:lang w:val="es-CR" w:eastAsia="es-ES"/>
        </w:rPr>
        <w:t>Plazo Espera para Realización de Audiencia</w:t>
      </w:r>
      <w:r w:rsidRPr="00033E65">
        <w:rPr>
          <w:rFonts w:eastAsia="Times New Roman" w:cs="Arial"/>
          <w:spacing w:val="0"/>
          <w:lang w:val="es-CR" w:eastAsia="es-ES"/>
        </w:rPr>
        <w:t xml:space="preserve"> de los Juzgados Especializados en Materia</w:t>
      </w:r>
      <w:r w:rsidR="006E77CF" w:rsidRPr="00033E65">
        <w:rPr>
          <w:rFonts w:eastAsia="Times New Roman" w:cs="Arial"/>
          <w:spacing w:val="0"/>
          <w:lang w:val="es-CR" w:eastAsia="es-ES"/>
        </w:rPr>
        <w:t xml:space="preserve"> Agraria en el Periodo 202</w:t>
      </w:r>
      <w:r w:rsidR="1CE1B66B" w:rsidRPr="00033E65">
        <w:rPr>
          <w:rFonts w:eastAsia="Times New Roman" w:cs="Arial"/>
          <w:spacing w:val="0"/>
          <w:lang w:val="es-CR" w:eastAsia="es-ES"/>
        </w:rPr>
        <w:t>1</w:t>
      </w:r>
      <w:r w:rsidR="006E77CF" w:rsidRPr="00033E65">
        <w:rPr>
          <w:rFonts w:eastAsia="Times New Roman" w:cs="Arial"/>
          <w:spacing w:val="0"/>
          <w:lang w:val="es-CR" w:eastAsia="es-ES"/>
        </w:rPr>
        <w:t xml:space="preserve"> al 202</w:t>
      </w:r>
      <w:r w:rsidR="4CC1E10C" w:rsidRPr="00033E65">
        <w:rPr>
          <w:rFonts w:eastAsia="Times New Roman" w:cs="Arial"/>
          <w:spacing w:val="0"/>
          <w:lang w:val="es-CR" w:eastAsia="es-ES"/>
        </w:rPr>
        <w:t>2</w:t>
      </w:r>
    </w:p>
    <w:p w14:paraId="053E32B7" w14:textId="08FB4C22" w:rsidR="622C9D04" w:rsidRPr="00033E65" w:rsidRDefault="00940FAC" w:rsidP="002E4AEA">
      <w:pPr>
        <w:tabs>
          <w:tab w:val="left" w:pos="1884"/>
        </w:tabs>
        <w:jc w:val="center"/>
      </w:pPr>
      <w:r w:rsidRPr="00033E65">
        <w:rPr>
          <w:noProof/>
        </w:rPr>
        <w:lastRenderedPageBreak/>
        <w:drawing>
          <wp:inline distT="0" distB="0" distL="0" distR="0" wp14:anchorId="1D226094" wp14:editId="2D6959F9">
            <wp:extent cx="5168348" cy="3619086"/>
            <wp:effectExtent l="0" t="0" r="0" b="635"/>
            <wp:docPr id="43" name="Gráfico 43">
              <a:extLst xmlns:a="http://schemas.openxmlformats.org/drawingml/2006/main">
                <a:ext uri="{FF2B5EF4-FFF2-40B4-BE49-F238E27FC236}">
                  <a16:creationId xmlns:a16="http://schemas.microsoft.com/office/drawing/2014/main" id="{B47F5C6B-C362-4E6F-9FD4-F93EFFCC76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D9DABE4" w14:textId="1D16753E" w:rsidR="002D3B21" w:rsidRPr="00033E65" w:rsidRDefault="002D3B21" w:rsidP="0056799D">
      <w:pPr>
        <w:tabs>
          <w:tab w:val="left" w:pos="1884"/>
        </w:tabs>
        <w:ind w:left="426"/>
        <w:rPr>
          <w:bCs/>
          <w:i/>
          <w:sz w:val="18"/>
          <w:szCs w:val="18"/>
          <w:lang w:eastAsia="en-US"/>
        </w:rPr>
      </w:pPr>
      <w:r w:rsidRPr="00033E65">
        <w:rPr>
          <w:bCs/>
          <w:i/>
          <w:sz w:val="18"/>
          <w:szCs w:val="18"/>
          <w:lang w:eastAsia="en-US"/>
        </w:rPr>
        <w:t xml:space="preserve">Fuente: </w:t>
      </w:r>
      <w:r w:rsidRPr="00033E65">
        <w:rPr>
          <w:bCs/>
          <w:i/>
          <w:sz w:val="18"/>
          <w:szCs w:val="18"/>
        </w:rPr>
        <w:t>Subproceso de Modernización Institucional</w:t>
      </w:r>
      <w:r w:rsidR="00A55D29" w:rsidRPr="00033E65">
        <w:rPr>
          <w:bCs/>
          <w:i/>
          <w:sz w:val="18"/>
          <w:szCs w:val="18"/>
        </w:rPr>
        <w:t>, área No Penal, con base en la Matriz de Indicadores de Gestión.</w:t>
      </w:r>
    </w:p>
    <w:p w14:paraId="04933CD0" w14:textId="6E22857F" w:rsidR="008F2EBC" w:rsidRPr="00033E65" w:rsidRDefault="001102AB" w:rsidP="0036654C">
      <w:pPr>
        <w:tabs>
          <w:tab w:val="left" w:pos="2844"/>
        </w:tabs>
        <w:rPr>
          <w:lang w:val="es-MX"/>
        </w:rPr>
      </w:pPr>
      <w:r w:rsidRPr="00033E65">
        <w:rPr>
          <w:lang w:val="es-MX"/>
        </w:rPr>
        <w:t xml:space="preserve">De lo anterior se evidencia significativamente el incremento de este plazo en el Juzgado Agrario de </w:t>
      </w:r>
      <w:r w:rsidR="0018303A" w:rsidRPr="00033E65">
        <w:rPr>
          <w:lang w:val="es-MX"/>
        </w:rPr>
        <w:t>Limón</w:t>
      </w:r>
      <w:r w:rsidRPr="00033E65">
        <w:rPr>
          <w:lang w:val="es-MX"/>
        </w:rPr>
        <w:t>, el cual pasó de tener un plazo pr</w:t>
      </w:r>
      <w:r w:rsidR="0018303A" w:rsidRPr="00033E65">
        <w:rPr>
          <w:lang w:val="es-MX"/>
        </w:rPr>
        <w:t xml:space="preserve">omedio de </w:t>
      </w:r>
      <w:r w:rsidR="00491A86" w:rsidRPr="00033E65">
        <w:rPr>
          <w:lang w:val="es-MX"/>
        </w:rPr>
        <w:t>456</w:t>
      </w:r>
      <w:r w:rsidR="0018303A" w:rsidRPr="00033E65">
        <w:rPr>
          <w:lang w:val="es-MX"/>
        </w:rPr>
        <w:t xml:space="preserve"> días en el 202</w:t>
      </w:r>
      <w:r w:rsidR="00491A86" w:rsidRPr="00033E65">
        <w:rPr>
          <w:lang w:val="es-MX"/>
        </w:rPr>
        <w:t>1</w:t>
      </w:r>
      <w:r w:rsidR="0018303A" w:rsidRPr="00033E65">
        <w:rPr>
          <w:lang w:val="es-MX"/>
        </w:rPr>
        <w:t xml:space="preserve"> a </w:t>
      </w:r>
      <w:r w:rsidR="00491A86" w:rsidRPr="00033E65">
        <w:rPr>
          <w:lang w:val="es-MX"/>
        </w:rPr>
        <w:t>1066</w:t>
      </w:r>
      <w:r w:rsidRPr="00033E65">
        <w:rPr>
          <w:lang w:val="es-MX"/>
        </w:rPr>
        <w:t xml:space="preserve"> días en promedio al finalizar el 202</w:t>
      </w:r>
      <w:r w:rsidR="00491A86" w:rsidRPr="00033E65">
        <w:rPr>
          <w:lang w:val="es-MX"/>
        </w:rPr>
        <w:t>2</w:t>
      </w:r>
      <w:r w:rsidR="000D0D26" w:rsidRPr="00033E65">
        <w:rPr>
          <w:lang w:val="es-MX"/>
        </w:rPr>
        <w:t>, este despacho aumentó en más del 133% este plazo</w:t>
      </w:r>
      <w:r w:rsidRPr="00033E65">
        <w:rPr>
          <w:lang w:val="es-MX"/>
        </w:rPr>
        <w:t xml:space="preserve">. El Juzgado de </w:t>
      </w:r>
      <w:r w:rsidR="00171891" w:rsidRPr="00033E65">
        <w:rPr>
          <w:lang w:val="es-MX"/>
        </w:rPr>
        <w:t xml:space="preserve">Cartago </w:t>
      </w:r>
      <w:r w:rsidR="0018303A" w:rsidRPr="00033E65">
        <w:rPr>
          <w:lang w:val="es-MX"/>
        </w:rPr>
        <w:t xml:space="preserve">pasa de tener </w:t>
      </w:r>
      <w:r w:rsidR="00171891" w:rsidRPr="00033E65">
        <w:rPr>
          <w:lang w:val="es-MX"/>
        </w:rPr>
        <w:t>120</w:t>
      </w:r>
      <w:r w:rsidR="0018303A" w:rsidRPr="00033E65">
        <w:rPr>
          <w:lang w:val="es-MX"/>
        </w:rPr>
        <w:t xml:space="preserve"> días de plazo promedio a 1</w:t>
      </w:r>
      <w:r w:rsidR="009E7F88" w:rsidRPr="00033E65">
        <w:rPr>
          <w:lang w:val="es-MX"/>
        </w:rPr>
        <w:t>66</w:t>
      </w:r>
      <w:r w:rsidRPr="00033E65">
        <w:rPr>
          <w:lang w:val="es-MX"/>
        </w:rPr>
        <w:t xml:space="preserve"> días de plazo para el 202</w:t>
      </w:r>
      <w:r w:rsidR="009E7F88" w:rsidRPr="00033E65">
        <w:rPr>
          <w:lang w:val="es-MX"/>
        </w:rPr>
        <w:t>2</w:t>
      </w:r>
      <w:r w:rsidRPr="00033E65">
        <w:rPr>
          <w:lang w:val="es-MX"/>
        </w:rPr>
        <w:t xml:space="preserve">; </w:t>
      </w:r>
      <w:r w:rsidR="009E7F88" w:rsidRPr="00033E65">
        <w:rPr>
          <w:lang w:val="es-MX"/>
        </w:rPr>
        <w:t xml:space="preserve">Pérez Zeledón </w:t>
      </w:r>
      <w:r w:rsidR="001B2188" w:rsidRPr="00033E65">
        <w:rPr>
          <w:lang w:val="es-MX"/>
        </w:rPr>
        <w:t xml:space="preserve">de </w:t>
      </w:r>
      <w:r w:rsidR="009E7F88" w:rsidRPr="00033E65">
        <w:rPr>
          <w:lang w:val="es-MX"/>
        </w:rPr>
        <w:t>145</w:t>
      </w:r>
      <w:r w:rsidR="001B2188" w:rsidRPr="00033E65">
        <w:rPr>
          <w:lang w:val="es-MX"/>
        </w:rPr>
        <w:t xml:space="preserve"> días en promedio a </w:t>
      </w:r>
      <w:r w:rsidR="005B3A59" w:rsidRPr="00033E65">
        <w:rPr>
          <w:lang w:val="es-MX"/>
        </w:rPr>
        <w:t>241</w:t>
      </w:r>
      <w:r w:rsidRPr="00033E65">
        <w:rPr>
          <w:lang w:val="es-MX"/>
        </w:rPr>
        <w:t xml:space="preserve"> días</w:t>
      </w:r>
      <w:r w:rsidR="005B3A59" w:rsidRPr="00033E65">
        <w:rPr>
          <w:lang w:val="es-MX"/>
        </w:rPr>
        <w:t>, en Corredores pasó de tener 156 días a 191 días de espera, San Ramón de 66 días a 72 días</w:t>
      </w:r>
      <w:r w:rsidR="0056799D" w:rsidRPr="00033E65">
        <w:rPr>
          <w:lang w:val="es-MX"/>
        </w:rPr>
        <w:t xml:space="preserve"> </w:t>
      </w:r>
      <w:r w:rsidRPr="00033E65">
        <w:rPr>
          <w:lang w:val="es-MX"/>
        </w:rPr>
        <w:t xml:space="preserve">y en </w:t>
      </w:r>
      <w:r w:rsidR="00DA72B2" w:rsidRPr="00033E65">
        <w:rPr>
          <w:lang w:val="es-MX"/>
        </w:rPr>
        <w:t>Goicoechea</w:t>
      </w:r>
      <w:r w:rsidR="001B2188" w:rsidRPr="00033E65">
        <w:rPr>
          <w:lang w:val="es-MX"/>
        </w:rPr>
        <w:t xml:space="preserve"> el plazo fue de </w:t>
      </w:r>
      <w:r w:rsidR="00DA72B2" w:rsidRPr="00033E65">
        <w:rPr>
          <w:lang w:val="es-MX"/>
        </w:rPr>
        <w:t>67</w:t>
      </w:r>
      <w:r w:rsidRPr="00033E65">
        <w:rPr>
          <w:lang w:val="es-MX"/>
        </w:rPr>
        <w:t xml:space="preserve"> días en el 202</w:t>
      </w:r>
      <w:r w:rsidR="00DA72B2" w:rsidRPr="00033E65">
        <w:rPr>
          <w:lang w:val="es-MX"/>
        </w:rPr>
        <w:t>1</w:t>
      </w:r>
      <w:r w:rsidRPr="00033E65">
        <w:rPr>
          <w:lang w:val="es-MX"/>
        </w:rPr>
        <w:t xml:space="preserve"> y al finalizar el 202</w:t>
      </w:r>
      <w:r w:rsidR="00DA72B2" w:rsidRPr="00033E65">
        <w:rPr>
          <w:lang w:val="es-MX"/>
        </w:rPr>
        <w:t>2</w:t>
      </w:r>
      <w:r w:rsidRPr="00033E65">
        <w:rPr>
          <w:lang w:val="es-MX"/>
        </w:rPr>
        <w:t xml:space="preserve"> un plaz</w:t>
      </w:r>
      <w:r w:rsidR="001B2188" w:rsidRPr="00033E65">
        <w:rPr>
          <w:lang w:val="es-MX"/>
        </w:rPr>
        <w:t xml:space="preserve">o de </w:t>
      </w:r>
      <w:r w:rsidR="00DA72B2" w:rsidRPr="00033E65">
        <w:rPr>
          <w:lang w:val="es-MX"/>
        </w:rPr>
        <w:t>113</w:t>
      </w:r>
      <w:r w:rsidRPr="00033E65">
        <w:rPr>
          <w:lang w:val="es-MX"/>
        </w:rPr>
        <w:t xml:space="preserve"> días en promedio</w:t>
      </w:r>
    </w:p>
    <w:p w14:paraId="162762E7" w14:textId="1513052E" w:rsidR="00455D73" w:rsidRPr="00033E65" w:rsidRDefault="001E2E99" w:rsidP="0036654C">
      <w:pPr>
        <w:tabs>
          <w:tab w:val="left" w:pos="2844"/>
        </w:tabs>
        <w:rPr>
          <w:lang w:val="es-MX"/>
        </w:rPr>
      </w:pPr>
      <w:r w:rsidRPr="00033E65">
        <w:rPr>
          <w:lang w:val="es-MX"/>
        </w:rPr>
        <w:t xml:space="preserve">Varias oficinas achacan estos </w:t>
      </w:r>
      <w:r w:rsidR="00741B72" w:rsidRPr="00033E65">
        <w:rPr>
          <w:lang w:val="es-MX"/>
        </w:rPr>
        <w:t>incrementos en la agenda, producto a los señalamientos que se han tenido que cancelar y luego reprogramar, a raíz de la pandemia</w:t>
      </w:r>
      <w:r w:rsidR="00A6377A" w:rsidRPr="00033E65">
        <w:rPr>
          <w:lang w:val="es-MX"/>
        </w:rPr>
        <w:t>, además de la falta de vehículo disponible para realizar las giras o cambios por parte de las personas usu</w:t>
      </w:r>
      <w:r w:rsidR="004F12AC" w:rsidRPr="00033E65">
        <w:rPr>
          <w:lang w:val="es-MX"/>
        </w:rPr>
        <w:t>a</w:t>
      </w:r>
      <w:r w:rsidR="00A6377A" w:rsidRPr="00033E65">
        <w:rPr>
          <w:lang w:val="es-MX"/>
        </w:rPr>
        <w:t>rias</w:t>
      </w:r>
      <w:r w:rsidR="00741B72" w:rsidRPr="00033E65">
        <w:rPr>
          <w:lang w:val="es-MX"/>
        </w:rPr>
        <w:t xml:space="preserve">. </w:t>
      </w:r>
    </w:p>
    <w:p w14:paraId="2A095799" w14:textId="0E9D0989" w:rsidR="0010498A" w:rsidRPr="00033E65" w:rsidRDefault="00245C01" w:rsidP="0036654C">
      <w:pPr>
        <w:tabs>
          <w:tab w:val="left" w:pos="2844"/>
        </w:tabs>
        <w:rPr>
          <w:lang w:val="es-MX"/>
        </w:rPr>
      </w:pPr>
      <w:r w:rsidRPr="00033E65">
        <w:rPr>
          <w:lang w:val="es-MX"/>
        </w:rPr>
        <w:t xml:space="preserve">Por otro lado, el Juzgado Agrario de </w:t>
      </w:r>
      <w:r w:rsidR="00A6377A" w:rsidRPr="00033E65">
        <w:rPr>
          <w:lang w:val="es-MX"/>
        </w:rPr>
        <w:t xml:space="preserve">Pococí </w:t>
      </w:r>
      <w:r w:rsidR="00542543" w:rsidRPr="00033E65">
        <w:rPr>
          <w:lang w:val="es-MX"/>
        </w:rPr>
        <w:t>redujo este plazo en el 202</w:t>
      </w:r>
      <w:r w:rsidR="00A6377A" w:rsidRPr="00033E65">
        <w:rPr>
          <w:lang w:val="es-MX"/>
        </w:rPr>
        <w:t>2</w:t>
      </w:r>
      <w:r w:rsidR="006C16EB" w:rsidRPr="00033E65">
        <w:rPr>
          <w:lang w:val="es-MX"/>
        </w:rPr>
        <w:t>, pasan</w:t>
      </w:r>
      <w:r w:rsidR="002F5F2E" w:rsidRPr="00033E65">
        <w:rPr>
          <w:lang w:val="es-MX"/>
        </w:rPr>
        <w:t xml:space="preserve">do de un promedio mensual de </w:t>
      </w:r>
      <w:r w:rsidR="002B17BA" w:rsidRPr="00033E65">
        <w:rPr>
          <w:lang w:val="es-MX"/>
        </w:rPr>
        <w:t>388</w:t>
      </w:r>
      <w:r w:rsidR="002F5F2E" w:rsidRPr="00033E65">
        <w:rPr>
          <w:lang w:val="es-MX"/>
        </w:rPr>
        <w:t xml:space="preserve"> días a </w:t>
      </w:r>
      <w:r w:rsidR="002B17BA" w:rsidRPr="00033E65">
        <w:rPr>
          <w:lang w:val="es-MX"/>
        </w:rPr>
        <w:t>113</w:t>
      </w:r>
      <w:r w:rsidR="006C16EB" w:rsidRPr="00033E65">
        <w:rPr>
          <w:lang w:val="es-MX"/>
        </w:rPr>
        <w:t xml:space="preserve"> días. El Juzgado de </w:t>
      </w:r>
      <w:r w:rsidR="002B17BA" w:rsidRPr="00033E65">
        <w:rPr>
          <w:lang w:val="es-MX"/>
        </w:rPr>
        <w:t>Puntarenas</w:t>
      </w:r>
      <w:r w:rsidR="00542543" w:rsidRPr="00033E65">
        <w:rPr>
          <w:lang w:val="es-MX"/>
        </w:rPr>
        <w:t xml:space="preserve"> redu</w:t>
      </w:r>
      <w:r w:rsidR="005C35C5" w:rsidRPr="00033E65">
        <w:rPr>
          <w:lang w:val="es-MX"/>
        </w:rPr>
        <w:t xml:space="preserve">ce su plazo promedio </w:t>
      </w:r>
      <w:r w:rsidR="002F5F2E" w:rsidRPr="00033E65">
        <w:rPr>
          <w:lang w:val="es-MX"/>
        </w:rPr>
        <w:t xml:space="preserve">de </w:t>
      </w:r>
      <w:r w:rsidR="002B17BA" w:rsidRPr="00033E65">
        <w:rPr>
          <w:lang w:val="es-MX"/>
        </w:rPr>
        <w:t>170</w:t>
      </w:r>
      <w:r w:rsidR="002F5F2E" w:rsidRPr="00033E65">
        <w:rPr>
          <w:lang w:val="es-MX"/>
        </w:rPr>
        <w:t xml:space="preserve"> días en el 202</w:t>
      </w:r>
      <w:r w:rsidR="002B17BA" w:rsidRPr="00033E65">
        <w:rPr>
          <w:lang w:val="es-MX"/>
        </w:rPr>
        <w:t>1</w:t>
      </w:r>
      <w:r w:rsidR="002F5F2E" w:rsidRPr="00033E65">
        <w:rPr>
          <w:lang w:val="es-MX"/>
        </w:rPr>
        <w:t xml:space="preserve"> a </w:t>
      </w:r>
      <w:r w:rsidR="00F36F2B" w:rsidRPr="00033E65">
        <w:rPr>
          <w:lang w:val="es-MX"/>
        </w:rPr>
        <w:t>132</w:t>
      </w:r>
      <w:r w:rsidR="006C16EB" w:rsidRPr="00033E65">
        <w:rPr>
          <w:lang w:val="es-MX"/>
        </w:rPr>
        <w:t xml:space="preserve"> días en promedio e</w:t>
      </w:r>
      <w:r w:rsidR="00542543" w:rsidRPr="00033E65">
        <w:rPr>
          <w:lang w:val="es-MX"/>
        </w:rPr>
        <w:t>n el 202</w:t>
      </w:r>
      <w:r w:rsidR="00F36F2B" w:rsidRPr="00033E65">
        <w:rPr>
          <w:lang w:val="es-MX"/>
        </w:rPr>
        <w:t>2</w:t>
      </w:r>
      <w:r w:rsidR="002F5F2E" w:rsidRPr="00033E65">
        <w:rPr>
          <w:lang w:val="es-MX"/>
        </w:rPr>
        <w:t xml:space="preserve"> </w:t>
      </w:r>
      <w:r w:rsidR="00F36F2B" w:rsidRPr="00033E65">
        <w:rPr>
          <w:lang w:val="es-MX"/>
        </w:rPr>
        <w:t xml:space="preserve">el resto de </w:t>
      </w:r>
      <w:r w:rsidR="004F12AC" w:rsidRPr="00033E65">
        <w:rPr>
          <w:lang w:val="es-MX"/>
        </w:rPr>
        <w:t>los despachos</w:t>
      </w:r>
      <w:r w:rsidR="00F36F2B" w:rsidRPr="00033E65">
        <w:rPr>
          <w:lang w:val="es-MX"/>
        </w:rPr>
        <w:t xml:space="preserve"> lograron mantener</w:t>
      </w:r>
      <w:r w:rsidR="00644656" w:rsidRPr="00033E65">
        <w:rPr>
          <w:lang w:val="es-MX"/>
        </w:rPr>
        <w:t xml:space="preserve"> el plazo del 2021 o </w:t>
      </w:r>
      <w:r w:rsidR="00F36F2B" w:rsidRPr="00033E65">
        <w:rPr>
          <w:lang w:val="es-MX"/>
        </w:rPr>
        <w:t xml:space="preserve">disminuir </w:t>
      </w:r>
      <w:r w:rsidR="00644656" w:rsidRPr="00033E65">
        <w:rPr>
          <w:lang w:val="es-MX"/>
        </w:rPr>
        <w:t>algunos días de espera.</w:t>
      </w:r>
    </w:p>
    <w:p w14:paraId="1A8C515A" w14:textId="6F5227D0" w:rsidR="00245C01" w:rsidRPr="00033E65" w:rsidRDefault="00554C4E" w:rsidP="00951D3E">
      <w:pPr>
        <w:pStyle w:val="Ttulo3"/>
      </w:pPr>
      <w:bookmarkStart w:id="184" w:name="_Hlk63427463"/>
      <w:bookmarkStart w:id="185" w:name="_Toc132639540"/>
      <w:r>
        <w:t>7</w:t>
      </w:r>
      <w:r w:rsidR="00A430F0" w:rsidRPr="00033E65">
        <w:t xml:space="preserve">.6 </w:t>
      </w:r>
      <w:r w:rsidR="006C16EB" w:rsidRPr="00033E65">
        <w:t>Plazo para Resolver Demandas Nuevas</w:t>
      </w:r>
      <w:bookmarkEnd w:id="184"/>
      <w:bookmarkEnd w:id="185"/>
    </w:p>
    <w:p w14:paraId="1A3BB083" w14:textId="30B26C30" w:rsidR="007F195F" w:rsidRPr="00033E65" w:rsidRDefault="0062427A" w:rsidP="00475D52">
      <w:pPr>
        <w:tabs>
          <w:tab w:val="left" w:pos="2844"/>
        </w:tabs>
        <w:rPr>
          <w:lang w:val="es-MX"/>
        </w:rPr>
      </w:pPr>
      <w:r w:rsidRPr="00033E65">
        <w:rPr>
          <w:lang w:val="es-MX"/>
        </w:rPr>
        <w:t>Este indicador da a conocer el plazo que se tiene en espera la atención de expedientes nuevos desde su ingreso. Para la elaboración de este indicador, se consideró un parámetro de cinco (5) a siete (7) días plazo. Para el 2</w:t>
      </w:r>
      <w:r w:rsidR="001504D1" w:rsidRPr="00033E65">
        <w:rPr>
          <w:lang w:val="es-MX"/>
        </w:rPr>
        <w:t>0</w:t>
      </w:r>
      <w:r w:rsidR="00E505B0" w:rsidRPr="00033E65">
        <w:rPr>
          <w:lang w:val="es-MX"/>
        </w:rPr>
        <w:t>2</w:t>
      </w:r>
      <w:r w:rsidR="001504D1" w:rsidRPr="00033E65">
        <w:rPr>
          <w:lang w:val="es-MX"/>
        </w:rPr>
        <w:t xml:space="preserve">1, </w:t>
      </w:r>
      <w:r w:rsidR="001E3E62" w:rsidRPr="00033E65">
        <w:rPr>
          <w:lang w:val="es-MX"/>
        </w:rPr>
        <w:t>5</w:t>
      </w:r>
      <w:r w:rsidRPr="00033E65">
        <w:rPr>
          <w:lang w:val="es-MX"/>
        </w:rPr>
        <w:t xml:space="preserve"> de los 12 Despachos especializados alcanzaron a disminuir el plazo de atención de expedientes nuevos, tal como se muestra a continuación</w:t>
      </w:r>
      <w:r w:rsidR="008660E1" w:rsidRPr="00033E65">
        <w:rPr>
          <w:lang w:val="es-MX"/>
        </w:rPr>
        <w:t>:</w:t>
      </w:r>
    </w:p>
    <w:p w14:paraId="6298201A" w14:textId="77777777" w:rsidR="00475D52" w:rsidRPr="00033E65" w:rsidRDefault="00475D52" w:rsidP="00475D52">
      <w:pPr>
        <w:tabs>
          <w:tab w:val="left" w:pos="2844"/>
        </w:tabs>
        <w:rPr>
          <w:lang w:val="es-MX"/>
        </w:rPr>
      </w:pPr>
    </w:p>
    <w:p w14:paraId="39EB2F8F" w14:textId="51007956" w:rsidR="0062427A" w:rsidRPr="00033E65" w:rsidRDefault="0062427A"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6</w:t>
      </w:r>
      <w:r w:rsidRPr="00033E65">
        <w:rPr>
          <w:rFonts w:eastAsia="Times New Roman" w:cs="Arial"/>
          <w:iCs/>
          <w:spacing w:val="0"/>
          <w:szCs w:val="28"/>
          <w:lang w:val="es-CR" w:eastAsia="es-ES"/>
        </w:rPr>
        <w:fldChar w:fldCharType="end"/>
      </w:r>
    </w:p>
    <w:p w14:paraId="0E8C41A2" w14:textId="21A88AB4" w:rsidR="0062427A" w:rsidRPr="00033E65" w:rsidRDefault="0062427A" w:rsidP="003F0A3A">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 xml:space="preserve">Comportamiento del </w:t>
      </w:r>
      <w:r w:rsidR="002D3B21" w:rsidRPr="00033E65">
        <w:rPr>
          <w:rFonts w:eastAsia="Times New Roman" w:cs="Arial"/>
          <w:spacing w:val="0"/>
          <w:lang w:val="es-CR" w:eastAsia="es-ES"/>
        </w:rPr>
        <w:t xml:space="preserve">Plazo para Resolver Demandas Nuevas </w:t>
      </w:r>
      <w:r w:rsidRPr="00033E65">
        <w:rPr>
          <w:rFonts w:eastAsia="Times New Roman" w:cs="Arial"/>
          <w:spacing w:val="0"/>
          <w:lang w:val="es-CR" w:eastAsia="es-ES"/>
        </w:rPr>
        <w:t>de los Juzgados Especializados en Ma</w:t>
      </w:r>
      <w:r w:rsidR="00262146" w:rsidRPr="00033E65">
        <w:rPr>
          <w:rFonts w:eastAsia="Times New Roman" w:cs="Arial"/>
          <w:spacing w:val="0"/>
          <w:lang w:val="es-CR" w:eastAsia="es-ES"/>
        </w:rPr>
        <w:t>teria Agraria en el Periodo 202</w:t>
      </w:r>
      <w:r w:rsidR="29BCFD67" w:rsidRPr="00033E65">
        <w:rPr>
          <w:rFonts w:eastAsia="Times New Roman" w:cs="Arial"/>
          <w:spacing w:val="0"/>
          <w:lang w:val="es-CR" w:eastAsia="es-ES"/>
        </w:rPr>
        <w:t>1</w:t>
      </w:r>
      <w:r w:rsidR="00262146" w:rsidRPr="00033E65">
        <w:rPr>
          <w:rFonts w:eastAsia="Times New Roman" w:cs="Arial"/>
          <w:spacing w:val="0"/>
          <w:lang w:val="es-CR" w:eastAsia="es-ES"/>
        </w:rPr>
        <w:t xml:space="preserve"> al 202</w:t>
      </w:r>
      <w:r w:rsidR="6E545A52" w:rsidRPr="00033E65">
        <w:rPr>
          <w:rFonts w:eastAsia="Times New Roman" w:cs="Arial"/>
          <w:spacing w:val="0"/>
          <w:lang w:val="es-CR" w:eastAsia="es-ES"/>
        </w:rPr>
        <w:t>2</w:t>
      </w:r>
    </w:p>
    <w:p w14:paraId="6E7D3C69" w14:textId="318A63FB" w:rsidR="622C9D04" w:rsidRPr="00033E65" w:rsidRDefault="622C9D04" w:rsidP="622C9D04">
      <w:pPr>
        <w:pStyle w:val="Ttulo"/>
        <w:spacing w:before="0" w:after="0"/>
        <w:rPr>
          <w:i/>
          <w:iCs/>
          <w:color w:val="auto"/>
          <w:sz w:val="18"/>
          <w:szCs w:val="18"/>
          <w:lang w:eastAsia="en-US"/>
        </w:rPr>
      </w:pPr>
    </w:p>
    <w:p w14:paraId="64DD6A96" w14:textId="006CAAC2" w:rsidR="6D2A119D" w:rsidRPr="00033E65" w:rsidRDefault="00604237" w:rsidP="00CE1721">
      <w:pPr>
        <w:pStyle w:val="Ttulo"/>
        <w:spacing w:before="0" w:after="0"/>
        <w:jc w:val="center"/>
      </w:pPr>
      <w:r w:rsidRPr="00033E65">
        <w:rPr>
          <w:noProof/>
        </w:rPr>
        <w:drawing>
          <wp:inline distT="0" distB="0" distL="0" distR="0" wp14:anchorId="63DF90DE" wp14:editId="2DE541CD">
            <wp:extent cx="5072933" cy="3635265"/>
            <wp:effectExtent l="0" t="0" r="0" b="3810"/>
            <wp:docPr id="45" name="Gráfico 45">
              <a:extLst xmlns:a="http://schemas.openxmlformats.org/drawingml/2006/main">
                <a:ext uri="{FF2B5EF4-FFF2-40B4-BE49-F238E27FC236}">
                  <a16:creationId xmlns:a16="http://schemas.microsoft.com/office/drawing/2014/main" id="{E726712D-E0B9-43AB-8805-6169CB3448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916EBC6" w14:textId="23748C66" w:rsidR="622C9D04" w:rsidRPr="00033E65" w:rsidRDefault="622C9D04" w:rsidP="622C9D04">
      <w:pPr>
        <w:pStyle w:val="Ttulo"/>
        <w:spacing w:before="0" w:after="0"/>
        <w:rPr>
          <w:i/>
          <w:iCs/>
          <w:color w:val="auto"/>
          <w:sz w:val="18"/>
          <w:szCs w:val="18"/>
          <w:lang w:eastAsia="en-US"/>
        </w:rPr>
      </w:pPr>
    </w:p>
    <w:p w14:paraId="3DF3A57B" w14:textId="66CDD7D8" w:rsidR="622C9D04" w:rsidRPr="00033E65" w:rsidRDefault="622C9D04" w:rsidP="622C9D04">
      <w:pPr>
        <w:pStyle w:val="Ttulo"/>
        <w:spacing w:before="0" w:after="0"/>
        <w:rPr>
          <w:i/>
          <w:iCs/>
          <w:color w:val="auto"/>
          <w:sz w:val="18"/>
          <w:szCs w:val="18"/>
          <w:lang w:eastAsia="en-US"/>
        </w:rPr>
      </w:pPr>
    </w:p>
    <w:p w14:paraId="41D42650" w14:textId="34BB1922" w:rsidR="622C9D04" w:rsidRPr="00033E65" w:rsidRDefault="622C9D04" w:rsidP="622C9D04">
      <w:pPr>
        <w:pStyle w:val="Ttulo"/>
        <w:spacing w:before="0" w:after="0"/>
        <w:rPr>
          <w:i/>
          <w:iCs/>
          <w:color w:val="auto"/>
          <w:sz w:val="18"/>
          <w:szCs w:val="18"/>
          <w:lang w:eastAsia="en-US"/>
        </w:rPr>
      </w:pPr>
    </w:p>
    <w:p w14:paraId="35BEAC75" w14:textId="0BE300D8" w:rsidR="002D3B21" w:rsidRPr="00033E65" w:rsidRDefault="002D3B21" w:rsidP="00140B1A">
      <w:pPr>
        <w:pStyle w:val="Ttulo"/>
        <w:spacing w:before="0" w:after="0"/>
        <w:rPr>
          <w:rFonts w:eastAsia="Times New Roman" w:cs="Arial"/>
          <w:color w:val="auto"/>
          <w:spacing w:val="0"/>
          <w:lang w:val="es-CR" w:eastAsia="es-ES"/>
        </w:rPr>
      </w:pPr>
      <w:r w:rsidRPr="00033E65">
        <w:rPr>
          <w:i/>
          <w:color w:val="auto"/>
          <w:sz w:val="18"/>
          <w:szCs w:val="18"/>
          <w:lang w:eastAsia="en-US"/>
        </w:rPr>
        <w:t xml:space="preserve">Fuente: </w:t>
      </w:r>
      <w:r w:rsidRPr="00033E65">
        <w:rPr>
          <w:i/>
          <w:color w:val="auto"/>
          <w:sz w:val="18"/>
          <w:szCs w:val="18"/>
        </w:rPr>
        <w:t>Subproceso de Modernización Institucional</w:t>
      </w:r>
      <w:r w:rsidR="00B76393" w:rsidRPr="00033E65">
        <w:rPr>
          <w:i/>
          <w:color w:val="auto"/>
          <w:sz w:val="18"/>
          <w:szCs w:val="18"/>
        </w:rPr>
        <w:t>, área No Penal, con base en la Matriz de Indicadores de Gestión.</w:t>
      </w:r>
    </w:p>
    <w:p w14:paraId="392F631F" w14:textId="77777777" w:rsidR="00140B1A" w:rsidRPr="00033E65" w:rsidRDefault="00140B1A" w:rsidP="002D3B21">
      <w:pPr>
        <w:tabs>
          <w:tab w:val="left" w:pos="1884"/>
        </w:tabs>
        <w:rPr>
          <w:b/>
          <w:i/>
          <w:sz w:val="18"/>
          <w:lang w:eastAsia="en-US"/>
        </w:rPr>
      </w:pPr>
    </w:p>
    <w:p w14:paraId="6EEADEB7" w14:textId="2FABBFC6" w:rsidR="0062427A" w:rsidRPr="00033E65" w:rsidRDefault="0091695D" w:rsidP="0036654C">
      <w:pPr>
        <w:tabs>
          <w:tab w:val="left" w:pos="2844"/>
        </w:tabs>
      </w:pPr>
      <w:bookmarkStart w:id="186" w:name="_Hlk130297040"/>
      <w:r w:rsidRPr="00033E65">
        <w:t>E</w:t>
      </w:r>
      <w:r w:rsidR="000869F3" w:rsidRPr="00033E65">
        <w:t xml:space="preserve">l </w:t>
      </w:r>
      <w:r w:rsidR="001E3E62" w:rsidRPr="00033E65">
        <w:t>42</w:t>
      </w:r>
      <w:r w:rsidRPr="00033E65">
        <w:t>% de los Juzgados Agrarios especializados disminuyeron el plazo para la atención</w:t>
      </w:r>
      <w:r w:rsidR="00854935" w:rsidRPr="00033E65">
        <w:t xml:space="preserve"> de demandas nuevas para el 202</w:t>
      </w:r>
      <w:r w:rsidR="001E3E62" w:rsidRPr="00033E65">
        <w:t>2</w:t>
      </w:r>
      <w:r w:rsidRPr="00033E65">
        <w:t xml:space="preserve">, tal como se mencionó líneas atrás, incluso, sus promedios indica que se encuentran dentro de los parámetros establecidos (5 a 7 días), con excepción del Juzgado Agrario de </w:t>
      </w:r>
      <w:r w:rsidR="007F0AA6" w:rsidRPr="00033E65">
        <w:t>Liberia, Pérez Zeledón y Santa Cruz</w:t>
      </w:r>
      <w:bookmarkEnd w:id="186"/>
      <w:r w:rsidRPr="00033E65">
        <w:t xml:space="preserve">, </w:t>
      </w:r>
      <w:r w:rsidR="007F0AA6" w:rsidRPr="00033E65">
        <w:t>los cuales</w:t>
      </w:r>
      <w:r w:rsidR="00BC249D" w:rsidRPr="00033E65">
        <w:t xml:space="preserve"> </w:t>
      </w:r>
      <w:r w:rsidRPr="00033E65">
        <w:t>obtiene</w:t>
      </w:r>
      <w:r w:rsidR="007F0AA6" w:rsidRPr="00033E65">
        <w:t>n</w:t>
      </w:r>
      <w:r w:rsidRPr="00033E65">
        <w:t xml:space="preserve"> </w:t>
      </w:r>
      <w:r w:rsidR="00854935" w:rsidRPr="00033E65">
        <w:t>un promedio al finalizar el 202</w:t>
      </w:r>
      <w:r w:rsidR="007F0AA6" w:rsidRPr="00033E65">
        <w:t>2</w:t>
      </w:r>
      <w:r w:rsidR="00854935" w:rsidRPr="00033E65">
        <w:t xml:space="preserve"> de 1</w:t>
      </w:r>
      <w:r w:rsidR="007F0AA6" w:rsidRPr="00033E65">
        <w:t xml:space="preserve">1, 10 y 8 días respectivamente en este plazo. Alajuela, Pococí, Puntarenas y Goicoechea </w:t>
      </w:r>
      <w:r w:rsidRPr="00033E65">
        <w:t xml:space="preserve">por otro lado, </w:t>
      </w:r>
      <w:r w:rsidR="007F0AA6" w:rsidRPr="00033E65">
        <w:t>son</w:t>
      </w:r>
      <w:r w:rsidRPr="00033E65">
        <w:t xml:space="preserve"> </w:t>
      </w:r>
      <w:r w:rsidR="007F0AA6" w:rsidRPr="00033E65">
        <w:t>los Juzgados</w:t>
      </w:r>
      <w:r w:rsidRPr="00033E65">
        <w:t xml:space="preserve"> que mejor resultado ha</w:t>
      </w:r>
      <w:r w:rsidR="007F0AA6" w:rsidRPr="00033E65">
        <w:t>n</w:t>
      </w:r>
      <w:r w:rsidRPr="00033E65">
        <w:t xml:space="preserve"> obtenido en este indicador, con</w:t>
      </w:r>
      <w:r w:rsidR="00812AD6" w:rsidRPr="00033E65">
        <w:t xml:space="preserve"> tan solo</w:t>
      </w:r>
      <w:r w:rsidR="00BC249D" w:rsidRPr="00033E65">
        <w:t xml:space="preserve"> </w:t>
      </w:r>
      <w:r w:rsidR="007F0AA6" w:rsidRPr="00033E65">
        <w:t xml:space="preserve">un </w:t>
      </w:r>
      <w:r w:rsidRPr="00033E65">
        <w:t>(</w:t>
      </w:r>
      <w:r w:rsidR="007F0AA6" w:rsidRPr="00033E65">
        <w:t>1</w:t>
      </w:r>
      <w:r w:rsidR="00BC249D" w:rsidRPr="00033E65">
        <w:t>)</w:t>
      </w:r>
      <w:r w:rsidRPr="00033E65">
        <w:t xml:space="preserve"> días de atraso.</w:t>
      </w:r>
    </w:p>
    <w:p w14:paraId="436F06FE" w14:textId="15910FD9" w:rsidR="0091695D" w:rsidRPr="00033E65" w:rsidRDefault="00554C4E" w:rsidP="00951D3E">
      <w:pPr>
        <w:pStyle w:val="Ttulo3"/>
      </w:pPr>
      <w:bookmarkStart w:id="187" w:name="_Toc132639541"/>
      <w:r>
        <w:t>7</w:t>
      </w:r>
      <w:r w:rsidR="00A430F0" w:rsidRPr="00033E65">
        <w:t xml:space="preserve">.7 </w:t>
      </w:r>
      <w:r w:rsidR="003628FF" w:rsidRPr="00033E65">
        <w:t xml:space="preserve">Plazo para Resolver Escritos </w:t>
      </w:r>
      <w:r w:rsidR="0034780A" w:rsidRPr="00033E65">
        <w:t xml:space="preserve">de Expedientes </w:t>
      </w:r>
      <w:r w:rsidR="003628FF" w:rsidRPr="00033E65">
        <w:t>que se Encuentran Fuera del Despacho</w:t>
      </w:r>
      <w:bookmarkEnd w:id="187"/>
    </w:p>
    <w:p w14:paraId="49A57A18" w14:textId="4DA35563" w:rsidR="007F195F" w:rsidRPr="00033E65" w:rsidRDefault="003274A5" w:rsidP="006352E6">
      <w:pPr>
        <w:tabs>
          <w:tab w:val="left" w:pos="2844"/>
        </w:tabs>
      </w:pPr>
      <w:r w:rsidRPr="00033E65">
        <w:t xml:space="preserve">Este plazo obedece a la cantidad de días que se encuentra un escrito pendiente de resolver el cual, el expediente se encuentra fuera del Despacho. Esto puede originarse por razones </w:t>
      </w:r>
      <w:r w:rsidRPr="00033E65">
        <w:lastRenderedPageBreak/>
        <w:t>como, un expediente que se encuentre en apelación en segunda instancia, que se encuentre en el archivo judicial, entre otras</w:t>
      </w:r>
      <w:r w:rsidR="005B7A40" w:rsidRPr="00033E65">
        <w:t>; por lo que no depende del Juzgado su resultado</w:t>
      </w:r>
      <w:r w:rsidRPr="00033E65">
        <w:t xml:space="preserve">.  En el siguiente gráfico se realiza una comparación del plazo promedio entre los Juzgados Agrarios </w:t>
      </w:r>
      <w:r w:rsidR="003607D0" w:rsidRPr="00033E65">
        <w:t xml:space="preserve">especializados del país, en </w:t>
      </w:r>
      <w:r w:rsidR="000372DB" w:rsidRPr="00033E65">
        <w:t>el periodo 202</w:t>
      </w:r>
      <w:r w:rsidR="00214FA3" w:rsidRPr="00033E65">
        <w:t>1</w:t>
      </w:r>
      <w:r w:rsidR="000372DB" w:rsidRPr="00033E65">
        <w:t xml:space="preserve"> al 202</w:t>
      </w:r>
      <w:r w:rsidR="00214FA3" w:rsidRPr="00033E65">
        <w:t>2</w:t>
      </w:r>
      <w:r w:rsidR="003607D0" w:rsidRPr="00033E65">
        <w:t xml:space="preserve">. </w:t>
      </w:r>
    </w:p>
    <w:p w14:paraId="58768F46" w14:textId="77777777" w:rsidR="006352E6" w:rsidRPr="00033E65" w:rsidRDefault="006352E6" w:rsidP="006352E6">
      <w:pPr>
        <w:tabs>
          <w:tab w:val="left" w:pos="2844"/>
        </w:tabs>
      </w:pPr>
    </w:p>
    <w:p w14:paraId="7180C433" w14:textId="7A8489C0" w:rsidR="003607D0" w:rsidRPr="00033E65" w:rsidRDefault="003607D0"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7</w:t>
      </w:r>
      <w:r w:rsidRPr="00033E65">
        <w:rPr>
          <w:rFonts w:eastAsia="Times New Roman" w:cs="Arial"/>
          <w:iCs/>
          <w:spacing w:val="0"/>
          <w:szCs w:val="28"/>
          <w:lang w:val="es-CR" w:eastAsia="es-ES"/>
        </w:rPr>
        <w:fldChar w:fldCharType="end"/>
      </w:r>
    </w:p>
    <w:p w14:paraId="73F3DB46" w14:textId="793163AE" w:rsidR="003607D0" w:rsidRPr="00033E65" w:rsidRDefault="003607D0" w:rsidP="003F0A3A">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 xml:space="preserve">Comportamiento del Plazo para Resolver Escritos </w:t>
      </w:r>
      <w:r w:rsidR="0034780A" w:rsidRPr="00033E65">
        <w:rPr>
          <w:rFonts w:eastAsia="Times New Roman" w:cs="Arial"/>
          <w:spacing w:val="0"/>
          <w:lang w:val="es-CR" w:eastAsia="es-ES"/>
        </w:rPr>
        <w:t xml:space="preserve">de Expedientes </w:t>
      </w:r>
      <w:r w:rsidRPr="00033E65">
        <w:rPr>
          <w:rFonts w:eastAsia="Times New Roman" w:cs="Arial"/>
          <w:spacing w:val="0"/>
          <w:lang w:val="es-CR" w:eastAsia="es-ES"/>
        </w:rPr>
        <w:t>que se Encuentran Fuera del Despacho de los Juzgados Especializados en Ma</w:t>
      </w:r>
      <w:r w:rsidR="007F0CA8" w:rsidRPr="00033E65">
        <w:rPr>
          <w:rFonts w:eastAsia="Times New Roman" w:cs="Arial"/>
          <w:spacing w:val="0"/>
          <w:lang w:val="es-CR" w:eastAsia="es-ES"/>
        </w:rPr>
        <w:t>teria Agraria en el Periodo 202</w:t>
      </w:r>
      <w:r w:rsidR="5C310AF8" w:rsidRPr="00033E65">
        <w:rPr>
          <w:rFonts w:eastAsia="Times New Roman" w:cs="Arial"/>
          <w:spacing w:val="0"/>
          <w:lang w:val="es-CR" w:eastAsia="es-ES"/>
        </w:rPr>
        <w:t>1</w:t>
      </w:r>
      <w:r w:rsidR="007F0CA8" w:rsidRPr="00033E65">
        <w:rPr>
          <w:rFonts w:eastAsia="Times New Roman" w:cs="Arial"/>
          <w:spacing w:val="0"/>
          <w:lang w:val="es-CR" w:eastAsia="es-ES"/>
        </w:rPr>
        <w:t xml:space="preserve"> al 202</w:t>
      </w:r>
      <w:r w:rsidR="52C56A5E" w:rsidRPr="00033E65">
        <w:rPr>
          <w:rFonts w:eastAsia="Times New Roman" w:cs="Arial"/>
          <w:spacing w:val="0"/>
          <w:lang w:val="es-CR" w:eastAsia="es-ES"/>
        </w:rPr>
        <w:t>2</w:t>
      </w:r>
    </w:p>
    <w:p w14:paraId="6D300B48" w14:textId="17B126AE" w:rsidR="003607D0" w:rsidRPr="00033E65" w:rsidRDefault="003607D0" w:rsidP="006352E6">
      <w:pPr>
        <w:tabs>
          <w:tab w:val="left" w:pos="2844"/>
        </w:tabs>
        <w:jc w:val="center"/>
      </w:pPr>
    </w:p>
    <w:p w14:paraId="64F9F8E0" w14:textId="317C189A" w:rsidR="4321491B" w:rsidRPr="00033E65" w:rsidRDefault="4321491B" w:rsidP="622C9D04">
      <w:pPr>
        <w:tabs>
          <w:tab w:val="left" w:pos="2844"/>
        </w:tabs>
      </w:pPr>
    </w:p>
    <w:p w14:paraId="2D54485A" w14:textId="3F648690" w:rsidR="622C9D04" w:rsidRPr="00033E65" w:rsidRDefault="00776FB9" w:rsidP="00BC249D">
      <w:pPr>
        <w:tabs>
          <w:tab w:val="left" w:pos="2844"/>
        </w:tabs>
        <w:jc w:val="center"/>
        <w:rPr>
          <w:b/>
          <w:bCs/>
          <w:i/>
          <w:iCs/>
          <w:sz w:val="18"/>
          <w:szCs w:val="18"/>
          <w:lang w:eastAsia="en-US"/>
        </w:rPr>
      </w:pPr>
      <w:r w:rsidRPr="00033E65">
        <w:rPr>
          <w:noProof/>
        </w:rPr>
        <w:drawing>
          <wp:inline distT="0" distB="0" distL="0" distR="0" wp14:anchorId="64359F67" wp14:editId="1D4573F6">
            <wp:extent cx="5230467" cy="4357314"/>
            <wp:effectExtent l="0" t="0" r="8890" b="5715"/>
            <wp:docPr id="46" name="Gráfico 46">
              <a:extLst xmlns:a="http://schemas.openxmlformats.org/drawingml/2006/main">
                <a:ext uri="{FF2B5EF4-FFF2-40B4-BE49-F238E27FC236}">
                  <a16:creationId xmlns:a16="http://schemas.microsoft.com/office/drawing/2014/main" id="{EE3F20D9-6590-4686-98A6-85E63ECC9C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72DB6ED" w14:textId="5D53D5F7" w:rsidR="003607D0" w:rsidRPr="00033E65" w:rsidRDefault="003607D0" w:rsidP="0036654C">
      <w:pPr>
        <w:tabs>
          <w:tab w:val="left" w:pos="2844"/>
        </w:tabs>
        <w:rPr>
          <w:b/>
          <w:i/>
          <w:sz w:val="18"/>
          <w:szCs w:val="18"/>
          <w:lang w:eastAsia="en-US"/>
        </w:rPr>
      </w:pPr>
      <w:r w:rsidRPr="00033E65">
        <w:rPr>
          <w:b/>
          <w:i/>
          <w:sz w:val="18"/>
          <w:szCs w:val="18"/>
          <w:lang w:eastAsia="en-US"/>
        </w:rPr>
        <w:t xml:space="preserve">Fuente: </w:t>
      </w:r>
      <w:r w:rsidRPr="00033E65">
        <w:rPr>
          <w:b/>
          <w:i/>
          <w:sz w:val="18"/>
          <w:szCs w:val="18"/>
        </w:rPr>
        <w:t>Subproceso de Modernización Institucional</w:t>
      </w:r>
      <w:r w:rsidR="00B76393" w:rsidRPr="00033E65">
        <w:rPr>
          <w:b/>
          <w:i/>
          <w:sz w:val="18"/>
          <w:szCs w:val="18"/>
        </w:rPr>
        <w:t xml:space="preserve">, área No Penal, con base en la Matriz de Indicadores de Gestión. </w:t>
      </w:r>
    </w:p>
    <w:p w14:paraId="38C2263F" w14:textId="7A630DAE" w:rsidR="004D1E38" w:rsidRPr="00A90544" w:rsidRDefault="00231AC3" w:rsidP="00921A27">
      <w:pPr>
        <w:pStyle w:val="pf0"/>
        <w:jc w:val="both"/>
        <w:rPr>
          <w:rFonts w:ascii="Book Antiqua" w:hAnsi="Book Antiqua" w:cs="Arial"/>
          <w:b/>
          <w:bCs/>
          <w:sz w:val="22"/>
          <w:szCs w:val="22"/>
        </w:rPr>
      </w:pPr>
      <w:r w:rsidRPr="00033E65">
        <w:rPr>
          <w:rFonts w:ascii="Book Antiqua" w:hAnsi="Book Antiqua"/>
          <w:sz w:val="22"/>
          <w:szCs w:val="22"/>
        </w:rPr>
        <w:t>Se observa que para el 202</w:t>
      </w:r>
      <w:r w:rsidR="00214FA3" w:rsidRPr="00033E65">
        <w:rPr>
          <w:rFonts w:ascii="Book Antiqua" w:hAnsi="Book Antiqua"/>
          <w:sz w:val="22"/>
          <w:szCs w:val="22"/>
        </w:rPr>
        <w:t>2</w:t>
      </w:r>
      <w:r w:rsidR="0091685F" w:rsidRPr="00033E65">
        <w:rPr>
          <w:rFonts w:ascii="Book Antiqua" w:hAnsi="Book Antiqua"/>
          <w:sz w:val="22"/>
          <w:szCs w:val="22"/>
        </w:rPr>
        <w:t xml:space="preserve">, este indicador sufrió un aumento considerable en varias oficinas, ya que se puede evidenciar plazos promedios de hasta </w:t>
      </w:r>
      <w:r w:rsidR="00E14400" w:rsidRPr="00033E65">
        <w:rPr>
          <w:rFonts w:ascii="Book Antiqua" w:hAnsi="Book Antiqua"/>
          <w:sz w:val="22"/>
          <w:szCs w:val="22"/>
        </w:rPr>
        <w:t>1</w:t>
      </w:r>
      <w:r w:rsidR="00C91E07" w:rsidRPr="00033E65">
        <w:rPr>
          <w:rFonts w:ascii="Book Antiqua" w:hAnsi="Book Antiqua"/>
          <w:sz w:val="22"/>
          <w:szCs w:val="22"/>
        </w:rPr>
        <w:t>1</w:t>
      </w:r>
      <w:r w:rsidR="00E14400" w:rsidRPr="00033E65">
        <w:rPr>
          <w:rFonts w:ascii="Book Antiqua" w:hAnsi="Book Antiqua"/>
          <w:sz w:val="22"/>
          <w:szCs w:val="22"/>
        </w:rPr>
        <w:t>8</w:t>
      </w:r>
      <w:r w:rsidR="00C91E07" w:rsidRPr="00033E65">
        <w:rPr>
          <w:rFonts w:ascii="Book Antiqua" w:hAnsi="Book Antiqua"/>
          <w:sz w:val="22"/>
          <w:szCs w:val="22"/>
        </w:rPr>
        <w:t>2</w:t>
      </w:r>
      <w:r w:rsidRPr="00033E65">
        <w:rPr>
          <w:rFonts w:ascii="Book Antiqua" w:hAnsi="Book Antiqua"/>
          <w:sz w:val="22"/>
          <w:szCs w:val="22"/>
        </w:rPr>
        <w:t xml:space="preserve"> </w:t>
      </w:r>
      <w:r w:rsidR="0091685F" w:rsidRPr="00033E65">
        <w:rPr>
          <w:rFonts w:ascii="Book Antiqua" w:hAnsi="Book Antiqua"/>
          <w:sz w:val="22"/>
          <w:szCs w:val="22"/>
        </w:rPr>
        <w:t xml:space="preserve">días, como es en el caso </w:t>
      </w:r>
      <w:r w:rsidR="0091685F" w:rsidRPr="00033E65">
        <w:rPr>
          <w:rFonts w:ascii="Book Antiqua" w:hAnsi="Book Antiqua"/>
          <w:sz w:val="22"/>
          <w:szCs w:val="22"/>
        </w:rPr>
        <w:lastRenderedPageBreak/>
        <w:t xml:space="preserve">de San </w:t>
      </w:r>
      <w:r w:rsidR="00C91E07" w:rsidRPr="00033E65">
        <w:rPr>
          <w:rFonts w:ascii="Book Antiqua" w:hAnsi="Book Antiqua"/>
          <w:sz w:val="22"/>
          <w:szCs w:val="22"/>
        </w:rPr>
        <w:t>Ramón</w:t>
      </w:r>
      <w:r w:rsidRPr="00033E65">
        <w:rPr>
          <w:rFonts w:ascii="Book Antiqua" w:hAnsi="Book Antiqua"/>
          <w:sz w:val="22"/>
          <w:szCs w:val="22"/>
        </w:rPr>
        <w:t xml:space="preserve">, </w:t>
      </w:r>
      <w:r w:rsidR="00C91E07" w:rsidRPr="00033E65">
        <w:rPr>
          <w:rFonts w:ascii="Book Antiqua" w:hAnsi="Book Antiqua"/>
          <w:sz w:val="22"/>
          <w:szCs w:val="22"/>
        </w:rPr>
        <w:t xml:space="preserve">1113 </w:t>
      </w:r>
      <w:r w:rsidR="0091685F" w:rsidRPr="00033E65">
        <w:rPr>
          <w:rFonts w:ascii="Book Antiqua" w:hAnsi="Book Antiqua"/>
          <w:sz w:val="22"/>
          <w:szCs w:val="22"/>
        </w:rPr>
        <w:t xml:space="preserve">días en </w:t>
      </w:r>
      <w:r w:rsidR="00C91E07" w:rsidRPr="00033E65">
        <w:rPr>
          <w:rFonts w:ascii="Book Antiqua" w:hAnsi="Book Antiqua"/>
          <w:sz w:val="22"/>
          <w:szCs w:val="22"/>
        </w:rPr>
        <w:t>San Carlos</w:t>
      </w:r>
      <w:r w:rsidRPr="00033E65">
        <w:rPr>
          <w:rFonts w:ascii="Book Antiqua" w:hAnsi="Book Antiqua"/>
          <w:sz w:val="22"/>
          <w:szCs w:val="22"/>
        </w:rPr>
        <w:t xml:space="preserve">, </w:t>
      </w:r>
      <w:r w:rsidR="00BE52E3" w:rsidRPr="00033E65">
        <w:rPr>
          <w:rFonts w:ascii="Book Antiqua" w:hAnsi="Book Antiqua"/>
          <w:sz w:val="22"/>
          <w:szCs w:val="22"/>
        </w:rPr>
        <w:t>832</w:t>
      </w:r>
      <w:r w:rsidR="0091685F" w:rsidRPr="00033E65">
        <w:rPr>
          <w:rFonts w:ascii="Book Antiqua" w:hAnsi="Book Antiqua"/>
          <w:sz w:val="22"/>
          <w:szCs w:val="22"/>
        </w:rPr>
        <w:t xml:space="preserve"> días en Santa Cruz,</w:t>
      </w:r>
      <w:r w:rsidR="00BE52E3" w:rsidRPr="00033E65">
        <w:rPr>
          <w:rFonts w:ascii="Book Antiqua" w:hAnsi="Book Antiqua"/>
          <w:sz w:val="22"/>
          <w:szCs w:val="22"/>
        </w:rPr>
        <w:t xml:space="preserve"> 630 días en Limón y 532 días en Cartago</w:t>
      </w:r>
      <w:r w:rsidR="0091685F" w:rsidRPr="00033E65">
        <w:rPr>
          <w:rFonts w:ascii="Book Antiqua" w:hAnsi="Book Antiqua"/>
          <w:sz w:val="22"/>
          <w:szCs w:val="22"/>
        </w:rPr>
        <w:t xml:space="preserve">. </w:t>
      </w:r>
      <w:r w:rsidR="0091685F" w:rsidRPr="00A90544">
        <w:rPr>
          <w:rFonts w:ascii="Book Antiqua" w:hAnsi="Book Antiqua"/>
          <w:b/>
          <w:bCs/>
          <w:sz w:val="22"/>
          <w:szCs w:val="22"/>
          <w:u w:val="single"/>
        </w:rPr>
        <w:t>Como en líneas anteriores se indicó, que este indicador no depende el Juzgado, es importante poner en evidencia los grandes plazos que conlleva la no tramitación de escritos de los expedientes que se encuentran fuera de la oficina, cual sea su gestión</w:t>
      </w:r>
      <w:r w:rsidR="004D1E38" w:rsidRPr="00A90544">
        <w:rPr>
          <w:rFonts w:ascii="Book Antiqua" w:hAnsi="Book Antiqua"/>
          <w:b/>
          <w:bCs/>
          <w:sz w:val="22"/>
          <w:szCs w:val="22"/>
          <w:u w:val="single"/>
        </w:rPr>
        <w:t>, lo cual obedece a escritos de expedientes que se encuentra fuera del despacho y que no se pueden tramitar</w:t>
      </w:r>
      <w:r w:rsidR="004D1E38" w:rsidRPr="00A90544">
        <w:rPr>
          <w:rStyle w:val="cf01"/>
          <w:rFonts w:ascii="Book Antiqua" w:eastAsiaTheme="majorEastAsia" w:hAnsi="Book Antiqua"/>
          <w:b/>
          <w:bCs/>
          <w:sz w:val="22"/>
          <w:szCs w:val="22"/>
          <w:u w:val="single"/>
        </w:rPr>
        <w:t>, por lo que los plazos van en aumento. Esto s</w:t>
      </w:r>
      <w:r w:rsidR="004D1E38" w:rsidRPr="00A90544">
        <w:rPr>
          <w:rStyle w:val="cf11"/>
          <w:rFonts w:ascii="Book Antiqua" w:eastAsiaTheme="majorEastAsia" w:hAnsi="Book Antiqua"/>
          <w:b/>
          <w:bCs/>
          <w:sz w:val="22"/>
          <w:szCs w:val="22"/>
          <w:u w:val="single"/>
        </w:rPr>
        <w:t xml:space="preserve">e pude dar por varias razones, </w:t>
      </w:r>
      <w:r w:rsidR="001D1871" w:rsidRPr="00A90544">
        <w:rPr>
          <w:rStyle w:val="cf11"/>
          <w:rFonts w:ascii="Book Antiqua" w:eastAsiaTheme="majorEastAsia" w:hAnsi="Book Antiqua"/>
          <w:b/>
          <w:bCs/>
          <w:sz w:val="22"/>
          <w:szCs w:val="22"/>
          <w:u w:val="single"/>
        </w:rPr>
        <w:t>como,</w:t>
      </w:r>
      <w:r w:rsidR="004D1E38" w:rsidRPr="00A90544">
        <w:rPr>
          <w:rStyle w:val="cf11"/>
          <w:rFonts w:ascii="Book Antiqua" w:eastAsiaTheme="majorEastAsia" w:hAnsi="Book Antiqua"/>
          <w:b/>
          <w:bCs/>
          <w:sz w:val="22"/>
          <w:szCs w:val="22"/>
          <w:u w:val="single"/>
        </w:rPr>
        <w:t xml:space="preserve"> por ejemplo, un </w:t>
      </w:r>
      <w:r w:rsidR="001D1871" w:rsidRPr="00A90544">
        <w:rPr>
          <w:rStyle w:val="cf11"/>
          <w:rFonts w:ascii="Book Antiqua" w:eastAsiaTheme="majorEastAsia" w:hAnsi="Book Antiqua"/>
          <w:b/>
          <w:bCs/>
          <w:sz w:val="22"/>
          <w:szCs w:val="22"/>
          <w:u w:val="single"/>
        </w:rPr>
        <w:t>expediente físico</w:t>
      </w:r>
      <w:r w:rsidR="004D1E38" w:rsidRPr="00A90544">
        <w:rPr>
          <w:rStyle w:val="cf11"/>
          <w:rFonts w:ascii="Book Antiqua" w:eastAsiaTheme="majorEastAsia" w:hAnsi="Book Antiqua"/>
          <w:b/>
          <w:bCs/>
          <w:sz w:val="22"/>
          <w:szCs w:val="22"/>
          <w:u w:val="single"/>
        </w:rPr>
        <w:t xml:space="preserve"> que se encuentra en el archivo </w:t>
      </w:r>
      <w:r w:rsidR="001D1871" w:rsidRPr="00A90544">
        <w:rPr>
          <w:rStyle w:val="cf11"/>
          <w:rFonts w:ascii="Book Antiqua" w:eastAsiaTheme="majorEastAsia" w:hAnsi="Book Antiqua"/>
          <w:b/>
          <w:bCs/>
          <w:sz w:val="22"/>
          <w:szCs w:val="22"/>
          <w:u w:val="single"/>
        </w:rPr>
        <w:t>judicial</w:t>
      </w:r>
      <w:r w:rsidR="004D1E38" w:rsidRPr="00A90544">
        <w:rPr>
          <w:rStyle w:val="cf11"/>
          <w:rFonts w:ascii="Book Antiqua" w:eastAsiaTheme="majorEastAsia" w:hAnsi="Book Antiqua"/>
          <w:b/>
          <w:bCs/>
          <w:sz w:val="22"/>
          <w:szCs w:val="22"/>
          <w:u w:val="single"/>
        </w:rPr>
        <w:t xml:space="preserve"> se encuentra en alzada (en el Tribunal o la sala), entre otros.</w:t>
      </w:r>
      <w:r w:rsidR="004D1E38" w:rsidRPr="00A90544">
        <w:rPr>
          <w:rStyle w:val="cf11"/>
          <w:rFonts w:ascii="Book Antiqua" w:eastAsiaTheme="majorEastAsia" w:hAnsi="Book Antiqua"/>
          <w:b/>
          <w:bCs/>
          <w:sz w:val="22"/>
          <w:szCs w:val="22"/>
        </w:rPr>
        <w:t xml:space="preserve"> </w:t>
      </w:r>
    </w:p>
    <w:p w14:paraId="366DB0E0" w14:textId="398C6582" w:rsidR="0091685F" w:rsidRPr="00033E65" w:rsidRDefault="00554C4E" w:rsidP="00951D3E">
      <w:pPr>
        <w:pStyle w:val="Ttulo3"/>
      </w:pPr>
      <w:bookmarkStart w:id="188" w:name="_Toc132639542"/>
      <w:r>
        <w:t>7</w:t>
      </w:r>
      <w:r w:rsidR="00A430F0" w:rsidRPr="00033E65">
        <w:t xml:space="preserve">.8 </w:t>
      </w:r>
      <w:r w:rsidR="00A02B3A" w:rsidRPr="00033E65">
        <w:t>Plazo para Resolver Escritos que Están en el Despacho</w:t>
      </w:r>
      <w:bookmarkEnd w:id="188"/>
    </w:p>
    <w:p w14:paraId="2101509F" w14:textId="2AEDA42B" w:rsidR="008660E1" w:rsidRPr="00033E65" w:rsidRDefault="00A02B3A" w:rsidP="00234304">
      <w:pPr>
        <w:rPr>
          <w:lang w:val="es-MX"/>
        </w:rPr>
      </w:pPr>
      <w:r w:rsidRPr="00033E65">
        <w:rPr>
          <w:lang w:val="es-MX"/>
        </w:rPr>
        <w:t xml:space="preserve">Con este indicador se espera conocer el plazo de tiempo que transcurre del escrito más antiguo ingresado al Despacho, que no se le ha dado el trámite correspondiente. </w:t>
      </w:r>
      <w:r w:rsidR="00F37CD2" w:rsidRPr="00033E65">
        <w:rPr>
          <w:lang w:val="es-MX"/>
        </w:rPr>
        <w:t>Lo que difiere este indicador con el anterior, es que estos escritos cuentan con el expediente en trámite, es decir, el expediente está disponible para realizar lo correspondiente al escrito. En el siguiente gráfico se puede apreciar el comportamiento de este plazo, a nivel de los Juzgados especializados Agrarios del p</w:t>
      </w:r>
      <w:r w:rsidR="00161129" w:rsidRPr="00033E65">
        <w:rPr>
          <w:lang w:val="es-MX"/>
        </w:rPr>
        <w:t>aís, en relación con el año 202</w:t>
      </w:r>
      <w:r w:rsidR="00DD67F8" w:rsidRPr="00033E65">
        <w:rPr>
          <w:lang w:val="es-MX"/>
        </w:rPr>
        <w:t>1</w:t>
      </w:r>
      <w:r w:rsidR="00161129" w:rsidRPr="00033E65">
        <w:rPr>
          <w:lang w:val="es-MX"/>
        </w:rPr>
        <w:t xml:space="preserve"> y 202</w:t>
      </w:r>
      <w:r w:rsidR="00DD67F8" w:rsidRPr="00033E65">
        <w:rPr>
          <w:lang w:val="es-MX"/>
        </w:rPr>
        <w:t>2</w:t>
      </w:r>
      <w:r w:rsidR="00F37CD2" w:rsidRPr="00033E65">
        <w:rPr>
          <w:lang w:val="es-MX"/>
        </w:rPr>
        <w:t xml:space="preserve">. </w:t>
      </w:r>
    </w:p>
    <w:p w14:paraId="7A1A3BAD" w14:textId="77777777" w:rsidR="008660E1" w:rsidRPr="00033E65" w:rsidRDefault="008660E1" w:rsidP="003F0A3A">
      <w:pPr>
        <w:pStyle w:val="Ttulo"/>
        <w:spacing w:before="0" w:after="0"/>
        <w:jc w:val="center"/>
        <w:rPr>
          <w:rFonts w:eastAsia="Times New Roman" w:cs="Arial"/>
          <w:iCs/>
          <w:spacing w:val="0"/>
          <w:szCs w:val="28"/>
          <w:lang w:val="es-CR" w:eastAsia="es-ES"/>
        </w:rPr>
      </w:pPr>
    </w:p>
    <w:p w14:paraId="66F7123C" w14:textId="4A7EB608" w:rsidR="00F37CD2" w:rsidRPr="00033E65" w:rsidRDefault="00F37CD2"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8</w:t>
      </w:r>
      <w:r w:rsidRPr="00033E65">
        <w:rPr>
          <w:rFonts w:eastAsia="Times New Roman" w:cs="Arial"/>
          <w:iCs/>
          <w:spacing w:val="0"/>
          <w:szCs w:val="28"/>
          <w:lang w:val="es-CR" w:eastAsia="es-ES"/>
        </w:rPr>
        <w:fldChar w:fldCharType="end"/>
      </w:r>
    </w:p>
    <w:p w14:paraId="7FFC3392" w14:textId="3975E65A" w:rsidR="70CF22F7" w:rsidRPr="00033E65" w:rsidRDefault="00F37CD2" w:rsidP="00BC249D">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Comportamiento del Plazo para Resolver Escritos que se Encuentran Dentro del Despacho de los Juzgados Especializados en Ma</w:t>
      </w:r>
      <w:r w:rsidR="00234304" w:rsidRPr="00033E65">
        <w:rPr>
          <w:rFonts w:eastAsia="Times New Roman" w:cs="Arial"/>
          <w:spacing w:val="0"/>
          <w:lang w:val="es-CR" w:eastAsia="es-ES"/>
        </w:rPr>
        <w:t>teria Agraria en el Periodo 202</w:t>
      </w:r>
      <w:r w:rsidR="3ED1BF21" w:rsidRPr="00033E65">
        <w:rPr>
          <w:rFonts w:eastAsia="Times New Roman" w:cs="Arial"/>
          <w:spacing w:val="0"/>
          <w:lang w:val="es-CR" w:eastAsia="es-ES"/>
        </w:rPr>
        <w:t>1</w:t>
      </w:r>
      <w:r w:rsidR="00234304" w:rsidRPr="00033E65">
        <w:rPr>
          <w:rFonts w:eastAsia="Times New Roman" w:cs="Arial"/>
          <w:spacing w:val="0"/>
          <w:lang w:val="es-CR" w:eastAsia="es-ES"/>
        </w:rPr>
        <w:t xml:space="preserve"> al 202</w:t>
      </w:r>
      <w:r w:rsidR="766548D1" w:rsidRPr="00033E65">
        <w:rPr>
          <w:rFonts w:eastAsia="Times New Roman" w:cs="Arial"/>
          <w:spacing w:val="0"/>
          <w:lang w:val="es-CR" w:eastAsia="es-ES"/>
        </w:rPr>
        <w:t>2</w:t>
      </w:r>
    </w:p>
    <w:p w14:paraId="0FD62BCE" w14:textId="1B5735B8" w:rsidR="622C9D04" w:rsidRPr="00033E65" w:rsidRDefault="00122C81" w:rsidP="00BC249D">
      <w:pPr>
        <w:tabs>
          <w:tab w:val="left" w:pos="2844"/>
        </w:tabs>
        <w:jc w:val="center"/>
        <w:rPr>
          <w:b/>
          <w:bCs/>
          <w:i/>
          <w:iCs/>
          <w:sz w:val="18"/>
          <w:szCs w:val="18"/>
          <w:lang w:eastAsia="en-US"/>
        </w:rPr>
      </w:pPr>
      <w:r w:rsidRPr="00033E65">
        <w:rPr>
          <w:noProof/>
        </w:rPr>
        <w:lastRenderedPageBreak/>
        <w:drawing>
          <wp:inline distT="0" distB="0" distL="0" distR="0" wp14:anchorId="7BB4910F" wp14:editId="1AD10105">
            <wp:extent cx="5470498" cy="4245997"/>
            <wp:effectExtent l="0" t="0" r="0" b="2540"/>
            <wp:docPr id="47" name="Gráfico 47">
              <a:extLst xmlns:a="http://schemas.openxmlformats.org/drawingml/2006/main">
                <a:ext uri="{FF2B5EF4-FFF2-40B4-BE49-F238E27FC236}">
                  <a16:creationId xmlns:a16="http://schemas.microsoft.com/office/drawing/2014/main" id="{46A5DB9E-53FD-4FBD-A49D-335D2AF54C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15B375E" w14:textId="21CC1583" w:rsidR="622C9D04" w:rsidRPr="00033E65" w:rsidRDefault="622C9D04" w:rsidP="622C9D04">
      <w:pPr>
        <w:tabs>
          <w:tab w:val="left" w:pos="2844"/>
        </w:tabs>
        <w:rPr>
          <w:b/>
          <w:bCs/>
          <w:i/>
          <w:iCs/>
          <w:sz w:val="18"/>
          <w:szCs w:val="18"/>
          <w:lang w:eastAsia="en-US"/>
        </w:rPr>
      </w:pPr>
    </w:p>
    <w:p w14:paraId="35D9AB06" w14:textId="2DCED109" w:rsidR="007C23DB" w:rsidRPr="00033E65" w:rsidRDefault="007C23DB" w:rsidP="007C23DB">
      <w:pPr>
        <w:tabs>
          <w:tab w:val="left" w:pos="2844"/>
        </w:tabs>
        <w:rPr>
          <w:b/>
          <w:i/>
          <w:sz w:val="18"/>
          <w:szCs w:val="18"/>
          <w:lang w:eastAsia="en-US"/>
        </w:rPr>
      </w:pPr>
      <w:r w:rsidRPr="00033E65">
        <w:rPr>
          <w:b/>
          <w:i/>
          <w:sz w:val="18"/>
          <w:szCs w:val="18"/>
          <w:lang w:eastAsia="en-US"/>
        </w:rPr>
        <w:t xml:space="preserve">Fuente: </w:t>
      </w:r>
      <w:r w:rsidRPr="00033E65">
        <w:rPr>
          <w:b/>
          <w:i/>
          <w:sz w:val="18"/>
          <w:szCs w:val="18"/>
        </w:rPr>
        <w:t>Subproceso de Modernización Institucional</w:t>
      </w:r>
      <w:r w:rsidR="00317E9F" w:rsidRPr="00033E65">
        <w:rPr>
          <w:b/>
          <w:i/>
          <w:sz w:val="18"/>
          <w:szCs w:val="18"/>
        </w:rPr>
        <w:t xml:space="preserve">, área No Penal, con base en la Matriz de Indicadores de Gestión. </w:t>
      </w:r>
    </w:p>
    <w:p w14:paraId="7A82E1F0" w14:textId="0B237302" w:rsidR="007C23DB" w:rsidRPr="00033E65" w:rsidRDefault="00660284" w:rsidP="00A02B3A">
      <w:r w:rsidRPr="00033E65">
        <w:t xml:space="preserve">El </w:t>
      </w:r>
      <w:r w:rsidR="00E62DBA" w:rsidRPr="00033E65">
        <w:t>50</w:t>
      </w:r>
      <w:r w:rsidR="007C23DB" w:rsidRPr="00033E65">
        <w:t>% de los Juzgados lograron la red</w:t>
      </w:r>
      <w:r w:rsidR="00A50F16" w:rsidRPr="00033E65">
        <w:t>ucción de este plazo en el 202</w:t>
      </w:r>
      <w:r w:rsidR="00E62DBA" w:rsidRPr="00033E65">
        <w:t>2</w:t>
      </w:r>
      <w:r w:rsidR="00A50F16" w:rsidRPr="00033E65">
        <w:t xml:space="preserve"> </w:t>
      </w:r>
      <w:r w:rsidR="007C23DB" w:rsidRPr="00033E65">
        <w:t xml:space="preserve">en relación con el año anterior, de los cuales se puede observar el Juzgado Agrario de </w:t>
      </w:r>
      <w:r w:rsidR="00E62DBA" w:rsidRPr="00033E65">
        <w:t xml:space="preserve">Alajuela </w:t>
      </w:r>
      <w:r w:rsidR="007C23DB" w:rsidRPr="00033E65">
        <w:t>qu</w:t>
      </w:r>
      <w:r w:rsidR="00A50F16" w:rsidRPr="00033E65">
        <w:t xml:space="preserve">e pasó de un plazo promedio de </w:t>
      </w:r>
      <w:r w:rsidR="00C9490E" w:rsidRPr="00033E65">
        <w:t>21</w:t>
      </w:r>
      <w:r w:rsidR="007C23DB" w:rsidRPr="00033E65">
        <w:t xml:space="preserve"> días a </w:t>
      </w:r>
      <w:r w:rsidR="00C9490E" w:rsidRPr="00033E65">
        <w:t>17</w:t>
      </w:r>
      <w:r w:rsidRPr="00033E65">
        <w:t xml:space="preserve"> días</w:t>
      </w:r>
      <w:r w:rsidR="00A50F16" w:rsidRPr="00033E65">
        <w:t>,</w:t>
      </w:r>
      <w:r w:rsidR="00C9490E" w:rsidRPr="00033E65">
        <w:t xml:space="preserve"> Cartago de 41 días a 30 días</w:t>
      </w:r>
      <w:r w:rsidR="00146784" w:rsidRPr="00033E65">
        <w:t>,</w:t>
      </w:r>
      <w:r w:rsidR="00A50F16" w:rsidRPr="00033E65">
        <w:t xml:space="preserve"> San Carlos de </w:t>
      </w:r>
      <w:r w:rsidR="00146784" w:rsidRPr="00033E65">
        <w:t>37</w:t>
      </w:r>
      <w:r w:rsidR="00A50F16" w:rsidRPr="00033E65">
        <w:t xml:space="preserve"> a </w:t>
      </w:r>
      <w:r w:rsidR="00146784" w:rsidRPr="00033E65">
        <w:t>26</w:t>
      </w:r>
      <w:r w:rsidR="00A50F16" w:rsidRPr="00033E65">
        <w:t xml:space="preserve"> d</w:t>
      </w:r>
      <w:r w:rsidRPr="00033E65">
        <w:t>ías plazo</w:t>
      </w:r>
      <w:r w:rsidR="00146784" w:rsidRPr="00033E65">
        <w:t>,</w:t>
      </w:r>
      <w:r w:rsidR="00A50F16" w:rsidRPr="00033E65">
        <w:t xml:space="preserve"> Pococí de </w:t>
      </w:r>
      <w:r w:rsidR="00C9490E" w:rsidRPr="00033E65">
        <w:t>10</w:t>
      </w:r>
      <w:r w:rsidR="00A50F16" w:rsidRPr="00033E65">
        <w:t xml:space="preserve"> a </w:t>
      </w:r>
      <w:r w:rsidR="00C9490E" w:rsidRPr="00033E65">
        <w:t>4</w:t>
      </w:r>
      <w:r w:rsidR="00A50F16" w:rsidRPr="00033E65">
        <w:t xml:space="preserve"> días</w:t>
      </w:r>
      <w:r w:rsidR="00146784" w:rsidRPr="00033E65">
        <w:t xml:space="preserve"> y Goicoechea de 5 a 4 días</w:t>
      </w:r>
      <w:r w:rsidR="00A50F16" w:rsidRPr="00033E65">
        <w:t>.</w:t>
      </w:r>
    </w:p>
    <w:p w14:paraId="5EB1BAF1" w14:textId="06FEE11C" w:rsidR="00F32DCD" w:rsidRPr="00033E65" w:rsidRDefault="00F32DCD" w:rsidP="00A02B3A">
      <w:r w:rsidRPr="00033E65">
        <w:t>Se destaca que el parámetro de este indicador se establece como máximo en 15 días plazo.</w:t>
      </w:r>
    </w:p>
    <w:p w14:paraId="0A22AF73" w14:textId="5612018C" w:rsidR="00D73F25" w:rsidRPr="00033E65" w:rsidRDefault="00D73F25" w:rsidP="001C4598">
      <w:r w:rsidRPr="00033E65">
        <w:t xml:space="preserve">Contrario a lo anterior, se encuentra el Juzgado Agrario de Santa Cruz, el cual pasó de un promedio de </w:t>
      </w:r>
      <w:r w:rsidR="008E33E1" w:rsidRPr="00033E65">
        <w:t>1114</w:t>
      </w:r>
      <w:r w:rsidR="00080999" w:rsidRPr="00033E65">
        <w:t xml:space="preserve"> días a </w:t>
      </w:r>
      <w:r w:rsidR="008E33E1" w:rsidRPr="00033E65">
        <w:t>1129</w:t>
      </w:r>
      <w:r w:rsidRPr="00033E65">
        <w:t xml:space="preserve"> días plazo en promedio, lo cual muestra con este número que hubo escritos ingresados al Juzgado que no han sido tramitados en </w:t>
      </w:r>
      <w:r w:rsidR="00080999" w:rsidRPr="00033E65">
        <w:t>11</w:t>
      </w:r>
      <w:r w:rsidR="008E33E1" w:rsidRPr="00033E65">
        <w:t>29</w:t>
      </w:r>
      <w:r w:rsidRPr="00033E65">
        <w:t xml:space="preserve"> días.</w:t>
      </w:r>
      <w:r w:rsidR="008A5DED" w:rsidRPr="00033E65">
        <w:t xml:space="preserve"> </w:t>
      </w:r>
      <w:r w:rsidR="00080999" w:rsidRPr="00A90544">
        <w:rPr>
          <w:b/>
          <w:bCs/>
          <w:u w:val="single"/>
        </w:rPr>
        <w:t>(</w:t>
      </w:r>
      <w:r w:rsidR="001D1871" w:rsidRPr="00A90544">
        <w:rPr>
          <w:b/>
          <w:bCs/>
          <w:u w:val="single"/>
        </w:rPr>
        <w:t>El</w:t>
      </w:r>
      <w:r w:rsidR="008A5DED" w:rsidRPr="00A90544">
        <w:rPr>
          <w:b/>
          <w:bCs/>
          <w:u w:val="single"/>
        </w:rPr>
        <w:t xml:space="preserve"> Juzgado argumenta que corresponde a una contestación de demanda, y debido a la imposibilidad de notificar el traslado de la demanda a todos los demandados, no se ha podido tener por contestada la demanda. Se está gestionando ante el registro civil, por segunda vez, cuentas cedulares de los demandados a notificar</w:t>
      </w:r>
      <w:r w:rsidR="004E1956" w:rsidRPr="00A90544">
        <w:rPr>
          <w:u w:val="single"/>
        </w:rPr>
        <w:t>)</w:t>
      </w:r>
      <w:r w:rsidR="00F32DCD" w:rsidRPr="00A90544">
        <w:rPr>
          <w:u w:val="single"/>
        </w:rPr>
        <w:t>.</w:t>
      </w:r>
    </w:p>
    <w:p w14:paraId="6FB17A9C" w14:textId="4002E467" w:rsidR="00D73F25" w:rsidRPr="00033E65" w:rsidRDefault="00554C4E" w:rsidP="00951D3E">
      <w:pPr>
        <w:pStyle w:val="Ttulo3"/>
      </w:pPr>
      <w:bookmarkStart w:id="189" w:name="_Toc132639543"/>
      <w:r>
        <w:lastRenderedPageBreak/>
        <w:t>7</w:t>
      </w:r>
      <w:r w:rsidR="00A430F0" w:rsidRPr="00033E65">
        <w:t xml:space="preserve">.9 </w:t>
      </w:r>
      <w:r w:rsidR="00D73F25" w:rsidRPr="00033E65">
        <w:t>Plazo de Espera de Firma de Resoluciones Pendientes de Firma por Jueza o Juez</w:t>
      </w:r>
      <w:bookmarkEnd w:id="189"/>
    </w:p>
    <w:p w14:paraId="06B9967B" w14:textId="6E4243B8" w:rsidR="002D255B" w:rsidRPr="00033E65" w:rsidRDefault="002D255B" w:rsidP="002D255B">
      <w:pPr>
        <w:rPr>
          <w:lang w:val="es-MX"/>
        </w:rPr>
      </w:pPr>
      <w:r w:rsidRPr="00033E65">
        <w:rPr>
          <w:lang w:val="es-MX"/>
        </w:rPr>
        <w:t>Este indicador muestra la cantidad de días que han pasado desde que se envió un expediente resuelto por parte de la persona técnica judicial a la persona juzgadora para su respectiva firma. A continuación, una comparación gráfica de los resultados q</w:t>
      </w:r>
      <w:r w:rsidR="00803D15" w:rsidRPr="00033E65">
        <w:rPr>
          <w:lang w:val="es-MX"/>
        </w:rPr>
        <w:t>ue se obtuvieron el periodo 202</w:t>
      </w:r>
      <w:r w:rsidR="00E75F8C" w:rsidRPr="00033E65">
        <w:rPr>
          <w:lang w:val="es-MX"/>
        </w:rPr>
        <w:t>1</w:t>
      </w:r>
      <w:r w:rsidRPr="00033E65">
        <w:rPr>
          <w:lang w:val="es-MX"/>
        </w:rPr>
        <w:t xml:space="preserve"> y 202</w:t>
      </w:r>
      <w:r w:rsidR="00E75F8C" w:rsidRPr="00033E65">
        <w:rPr>
          <w:lang w:val="es-MX"/>
        </w:rPr>
        <w:t>2</w:t>
      </w:r>
      <w:r w:rsidRPr="00033E65">
        <w:rPr>
          <w:lang w:val="es-MX"/>
        </w:rPr>
        <w:t xml:space="preserve"> de este indicador, entre los Juzgados especializados Agrarios del país. </w:t>
      </w:r>
    </w:p>
    <w:p w14:paraId="18CE9E10" w14:textId="1F6B6E00" w:rsidR="002D255B" w:rsidRPr="00033E65" w:rsidRDefault="002D255B"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9</w:t>
      </w:r>
      <w:r w:rsidRPr="00033E65">
        <w:rPr>
          <w:rFonts w:eastAsia="Times New Roman" w:cs="Arial"/>
          <w:iCs/>
          <w:spacing w:val="0"/>
          <w:szCs w:val="28"/>
          <w:lang w:val="es-CR" w:eastAsia="es-ES"/>
        </w:rPr>
        <w:fldChar w:fldCharType="end"/>
      </w:r>
    </w:p>
    <w:p w14:paraId="452B1942" w14:textId="739EEAC7" w:rsidR="622C9D04" w:rsidRPr="00033E65" w:rsidRDefault="002D255B" w:rsidP="00BC249D">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Comportamiento del Plazo de Espera de Firma de Resoluciones Pendientes de Firma por Jueza o Juez de los Juzgados Especializados en Materia Agrari</w:t>
      </w:r>
      <w:r w:rsidR="004060F3" w:rsidRPr="00033E65">
        <w:rPr>
          <w:rFonts w:eastAsia="Times New Roman" w:cs="Arial"/>
          <w:spacing w:val="0"/>
          <w:lang w:val="es-CR" w:eastAsia="es-ES"/>
        </w:rPr>
        <w:t>a en el Periodo 202</w:t>
      </w:r>
      <w:r w:rsidR="7586DEAF" w:rsidRPr="00033E65">
        <w:rPr>
          <w:rFonts w:eastAsia="Times New Roman" w:cs="Arial"/>
          <w:spacing w:val="0"/>
          <w:lang w:val="es-CR" w:eastAsia="es-ES"/>
        </w:rPr>
        <w:t>1</w:t>
      </w:r>
      <w:r w:rsidR="004060F3" w:rsidRPr="00033E65">
        <w:rPr>
          <w:rFonts w:eastAsia="Times New Roman" w:cs="Arial"/>
          <w:spacing w:val="0"/>
          <w:lang w:val="es-CR" w:eastAsia="es-ES"/>
        </w:rPr>
        <w:t xml:space="preserve"> al 202</w:t>
      </w:r>
      <w:r w:rsidR="26C1DD1D" w:rsidRPr="00033E65">
        <w:rPr>
          <w:rFonts w:eastAsia="Times New Roman" w:cs="Arial"/>
          <w:spacing w:val="0"/>
          <w:lang w:val="es-CR" w:eastAsia="es-ES"/>
        </w:rPr>
        <w:t>2</w:t>
      </w:r>
    </w:p>
    <w:p w14:paraId="52471175" w14:textId="34C46F3D" w:rsidR="7CFB9C13" w:rsidRPr="00033E65" w:rsidRDefault="00863C6B" w:rsidP="00BC249D">
      <w:pPr>
        <w:tabs>
          <w:tab w:val="left" w:pos="2844"/>
        </w:tabs>
        <w:jc w:val="center"/>
      </w:pPr>
      <w:r w:rsidRPr="00033E65">
        <w:rPr>
          <w:noProof/>
        </w:rPr>
        <w:drawing>
          <wp:inline distT="0" distB="0" distL="0" distR="0" wp14:anchorId="23549298" wp14:editId="3DBF3192">
            <wp:extent cx="5055538" cy="4110824"/>
            <wp:effectExtent l="0" t="0" r="0" b="4445"/>
            <wp:docPr id="48" name="Gráfico 48">
              <a:extLst xmlns:a="http://schemas.openxmlformats.org/drawingml/2006/main">
                <a:ext uri="{FF2B5EF4-FFF2-40B4-BE49-F238E27FC236}">
                  <a16:creationId xmlns:a16="http://schemas.microsoft.com/office/drawing/2014/main" id="{D3CAC56A-3008-4208-9847-BE034E4C2D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BC249D" w:rsidRPr="00033E65">
        <w:t xml:space="preserve">                             </w:t>
      </w:r>
    </w:p>
    <w:p w14:paraId="4769D75F" w14:textId="29612681" w:rsidR="622C9D04" w:rsidRPr="00033E65" w:rsidRDefault="622C9D04" w:rsidP="622C9D04">
      <w:pPr>
        <w:tabs>
          <w:tab w:val="left" w:pos="2844"/>
        </w:tabs>
        <w:rPr>
          <w:b/>
          <w:bCs/>
          <w:i/>
          <w:iCs/>
          <w:sz w:val="18"/>
          <w:szCs w:val="18"/>
          <w:lang w:eastAsia="en-US"/>
        </w:rPr>
      </w:pPr>
    </w:p>
    <w:p w14:paraId="50C89EB9" w14:textId="05EAE684" w:rsidR="00935C89" w:rsidRPr="00033E65" w:rsidRDefault="00935C89" w:rsidP="00935C89">
      <w:pPr>
        <w:tabs>
          <w:tab w:val="left" w:pos="2844"/>
        </w:tabs>
        <w:rPr>
          <w:b/>
          <w:i/>
          <w:sz w:val="18"/>
          <w:szCs w:val="18"/>
          <w:lang w:eastAsia="en-US"/>
        </w:rPr>
      </w:pPr>
      <w:r w:rsidRPr="00033E65">
        <w:rPr>
          <w:b/>
          <w:i/>
          <w:sz w:val="18"/>
          <w:szCs w:val="18"/>
          <w:lang w:eastAsia="en-US"/>
        </w:rPr>
        <w:t xml:space="preserve">Fuente: </w:t>
      </w:r>
      <w:r w:rsidRPr="00033E65">
        <w:rPr>
          <w:b/>
          <w:i/>
          <w:sz w:val="18"/>
          <w:szCs w:val="18"/>
        </w:rPr>
        <w:t>Subproceso de Modernización Institucional</w:t>
      </w:r>
      <w:r w:rsidR="00867C92" w:rsidRPr="00033E65">
        <w:rPr>
          <w:b/>
          <w:i/>
          <w:sz w:val="18"/>
          <w:szCs w:val="18"/>
        </w:rPr>
        <w:t xml:space="preserve">, área No Penal, con base en la Matriz de Indicadores de Gestión. </w:t>
      </w:r>
    </w:p>
    <w:p w14:paraId="3B7E00D7" w14:textId="3A32B57D" w:rsidR="00935C89" w:rsidRPr="00033E65" w:rsidRDefault="00935C89" w:rsidP="002D255B">
      <w:r w:rsidRPr="00033E65">
        <w:t>Se cuenta con un parámetro para este indicador de 2 a 3 días plazo; y por lo que se obser</w:t>
      </w:r>
      <w:r w:rsidR="00F426C7" w:rsidRPr="00033E65">
        <w:t>va en el gráfico anterior, 9</w:t>
      </w:r>
      <w:r w:rsidRPr="00033E65">
        <w:t xml:space="preserve"> de los Juzgado cue</w:t>
      </w:r>
      <w:r w:rsidR="00F426C7" w:rsidRPr="00033E65">
        <w:t>ntan con resultados para el 202</w:t>
      </w:r>
      <w:r w:rsidR="007C702C" w:rsidRPr="00033E65">
        <w:t>2</w:t>
      </w:r>
      <w:r w:rsidRPr="00033E65">
        <w:t xml:space="preserve"> dentro del parámetro establecido. Caso contrario con el Juzgado Agrario de San Ramón, que c</w:t>
      </w:r>
      <w:r w:rsidR="00F426C7" w:rsidRPr="00033E65">
        <w:t xml:space="preserve">uenta con un plazo promedio de </w:t>
      </w:r>
      <w:r w:rsidR="007C702C" w:rsidRPr="00033E65">
        <w:t>6</w:t>
      </w:r>
      <w:r w:rsidRPr="00033E65">
        <w:t xml:space="preserve"> días. En términos generales, se evidencia reducciones en es</w:t>
      </w:r>
      <w:r w:rsidR="00F426C7" w:rsidRPr="00033E65">
        <w:t xml:space="preserve">te </w:t>
      </w:r>
      <w:r w:rsidR="00F426C7" w:rsidRPr="00033E65">
        <w:lastRenderedPageBreak/>
        <w:t>plazo en relación con el 2021</w:t>
      </w:r>
      <w:r w:rsidRPr="00033E65">
        <w:t xml:space="preserve">, donde se puede observar que </w:t>
      </w:r>
      <w:r w:rsidR="00F426C7" w:rsidRPr="00033E65">
        <w:t>los</w:t>
      </w:r>
      <w:r w:rsidRPr="00033E65">
        <w:t xml:space="preserve"> Juzgado</w:t>
      </w:r>
      <w:r w:rsidR="00F426C7" w:rsidRPr="00033E65">
        <w:t>s</w:t>
      </w:r>
      <w:r w:rsidRPr="00033E65">
        <w:t xml:space="preserve"> de </w:t>
      </w:r>
      <w:r w:rsidR="007C702C" w:rsidRPr="00033E65">
        <w:t xml:space="preserve">Pococí, </w:t>
      </w:r>
      <w:r w:rsidR="00F426C7" w:rsidRPr="00033E65">
        <w:t>Cartago</w:t>
      </w:r>
      <w:r w:rsidRPr="00033E65">
        <w:t xml:space="preserve"> </w:t>
      </w:r>
      <w:r w:rsidR="007C702C" w:rsidRPr="00033E65">
        <w:t xml:space="preserve">Santa Cruz y Goicoechea </w:t>
      </w:r>
      <w:r w:rsidR="00F426C7" w:rsidRPr="00033E65">
        <w:t>se encuentran al día para el 202</w:t>
      </w:r>
      <w:r w:rsidR="007C702C" w:rsidRPr="00033E65">
        <w:t>2</w:t>
      </w:r>
      <w:r w:rsidR="001528CF" w:rsidRPr="00033E65">
        <w:t xml:space="preserve">. </w:t>
      </w:r>
    </w:p>
    <w:p w14:paraId="6BF30594" w14:textId="4DD77499" w:rsidR="009B6ED1" w:rsidRPr="00033E65" w:rsidRDefault="00554C4E" w:rsidP="00951D3E">
      <w:pPr>
        <w:pStyle w:val="Ttulo3"/>
      </w:pPr>
      <w:bookmarkStart w:id="190" w:name="_Toc132639544"/>
      <w:r>
        <w:t>7</w:t>
      </w:r>
      <w:r w:rsidR="00A430F0" w:rsidRPr="00033E65">
        <w:t xml:space="preserve">.10 </w:t>
      </w:r>
      <w:r w:rsidR="00385CD4" w:rsidRPr="00033E65">
        <w:t>Cantidad de audiencias pendientes de realización</w:t>
      </w:r>
      <w:bookmarkEnd w:id="190"/>
    </w:p>
    <w:p w14:paraId="6529F7EC" w14:textId="0554D2BD" w:rsidR="00385CD4" w:rsidRPr="00033E65" w:rsidRDefault="00385CD4" w:rsidP="00385CD4">
      <w:pPr>
        <w:rPr>
          <w:lang w:val="es-MX"/>
        </w:rPr>
      </w:pPr>
      <w:r w:rsidRPr="00033E65">
        <w:rPr>
          <w:lang w:val="es-MX"/>
        </w:rPr>
        <w:t>Para la cantidad de audiencias pendientes de realización, se realiza un análisis de cuantas audiencias en promedio se han quedado pendientes de efectuarse al mes. Para eso se analizan las matrices</w:t>
      </w:r>
      <w:r w:rsidR="00BD2FD0" w:rsidRPr="00033E65">
        <w:rPr>
          <w:lang w:val="es-MX"/>
        </w:rPr>
        <w:t xml:space="preserve"> de indicadores de los años 202</w:t>
      </w:r>
      <w:r w:rsidR="008A1C42" w:rsidRPr="00033E65">
        <w:rPr>
          <w:lang w:val="es-MX"/>
        </w:rPr>
        <w:t>1</w:t>
      </w:r>
      <w:r w:rsidR="00BD2FD0" w:rsidRPr="00033E65">
        <w:rPr>
          <w:lang w:val="es-MX"/>
        </w:rPr>
        <w:t xml:space="preserve"> y 202</w:t>
      </w:r>
      <w:r w:rsidR="008A1C42" w:rsidRPr="00033E65">
        <w:rPr>
          <w:lang w:val="es-MX"/>
        </w:rPr>
        <w:t>2</w:t>
      </w:r>
      <w:r w:rsidRPr="00033E65">
        <w:rPr>
          <w:lang w:val="es-MX"/>
        </w:rPr>
        <w:t xml:space="preserve"> en el siguiente gráfico. </w:t>
      </w:r>
    </w:p>
    <w:p w14:paraId="5176814B" w14:textId="3ECB85C1" w:rsidR="00BD2FD0" w:rsidRPr="00033E65" w:rsidRDefault="00BD2FD0" w:rsidP="00385CD4">
      <w:pPr>
        <w:rPr>
          <w:lang w:val="es-MX"/>
        </w:rPr>
      </w:pPr>
    </w:p>
    <w:p w14:paraId="16190E00" w14:textId="57B1E699" w:rsidR="00385CD4" w:rsidRPr="00033E65" w:rsidRDefault="00385CD4"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10</w:t>
      </w:r>
      <w:r w:rsidRPr="00033E65">
        <w:rPr>
          <w:rFonts w:eastAsia="Times New Roman" w:cs="Arial"/>
          <w:iCs/>
          <w:spacing w:val="0"/>
          <w:szCs w:val="28"/>
          <w:lang w:val="es-CR" w:eastAsia="es-ES"/>
        </w:rPr>
        <w:fldChar w:fldCharType="end"/>
      </w:r>
    </w:p>
    <w:p w14:paraId="7C61BFBB" w14:textId="17633BFF" w:rsidR="622C9D04" w:rsidRPr="00033E65" w:rsidRDefault="00385CD4" w:rsidP="00BC249D">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 xml:space="preserve">Comportamiento </w:t>
      </w:r>
      <w:r w:rsidR="00170AEF" w:rsidRPr="00033E65">
        <w:rPr>
          <w:rFonts w:eastAsia="Times New Roman" w:cs="Arial"/>
          <w:spacing w:val="0"/>
          <w:lang w:val="es-CR" w:eastAsia="es-ES"/>
        </w:rPr>
        <w:t xml:space="preserve">de las Cantidad de audiencias pendientes de realización </w:t>
      </w:r>
      <w:r w:rsidRPr="00033E65">
        <w:rPr>
          <w:rFonts w:eastAsia="Times New Roman" w:cs="Arial"/>
          <w:spacing w:val="0"/>
          <w:lang w:val="es-CR" w:eastAsia="es-ES"/>
        </w:rPr>
        <w:t>de los Juzgados Especializados en Ma</w:t>
      </w:r>
      <w:r w:rsidR="00BD2FD0" w:rsidRPr="00033E65">
        <w:rPr>
          <w:rFonts w:eastAsia="Times New Roman" w:cs="Arial"/>
          <w:spacing w:val="0"/>
          <w:lang w:val="es-CR" w:eastAsia="es-ES"/>
        </w:rPr>
        <w:t>teria Agraria en el Periodo 202</w:t>
      </w:r>
      <w:r w:rsidR="17D706E5" w:rsidRPr="00033E65">
        <w:rPr>
          <w:rFonts w:eastAsia="Times New Roman" w:cs="Arial"/>
          <w:spacing w:val="0"/>
          <w:lang w:val="es-CR" w:eastAsia="es-ES"/>
        </w:rPr>
        <w:t>1</w:t>
      </w:r>
      <w:r w:rsidR="00BD2FD0" w:rsidRPr="00033E65">
        <w:rPr>
          <w:rFonts w:eastAsia="Times New Roman" w:cs="Arial"/>
          <w:spacing w:val="0"/>
          <w:lang w:val="es-CR" w:eastAsia="es-ES"/>
        </w:rPr>
        <w:t xml:space="preserve"> al 202</w:t>
      </w:r>
      <w:r w:rsidR="00BC249D" w:rsidRPr="00033E65">
        <w:rPr>
          <w:rFonts w:eastAsia="Times New Roman" w:cs="Arial"/>
          <w:spacing w:val="0"/>
          <w:lang w:val="es-CR" w:eastAsia="es-ES"/>
        </w:rPr>
        <w:t>2</w:t>
      </w:r>
    </w:p>
    <w:p w14:paraId="77500A3F" w14:textId="21083A57" w:rsidR="777F8B1E" w:rsidRPr="00033E65" w:rsidRDefault="00360272" w:rsidP="00BC249D">
      <w:pPr>
        <w:tabs>
          <w:tab w:val="left" w:pos="2844"/>
        </w:tabs>
        <w:jc w:val="center"/>
      </w:pPr>
      <w:r w:rsidRPr="00033E65">
        <w:rPr>
          <w:noProof/>
        </w:rPr>
        <w:drawing>
          <wp:inline distT="0" distB="0" distL="0" distR="0" wp14:anchorId="53B2EDCD" wp14:editId="46A211BC">
            <wp:extent cx="5327374" cy="3927944"/>
            <wp:effectExtent l="0" t="0" r="6985" b="0"/>
            <wp:docPr id="50" name="Gráfico 50">
              <a:extLst xmlns:a="http://schemas.openxmlformats.org/drawingml/2006/main">
                <a:ext uri="{FF2B5EF4-FFF2-40B4-BE49-F238E27FC236}">
                  <a16:creationId xmlns:a16="http://schemas.microsoft.com/office/drawing/2014/main" id="{C71405BE-4AEF-2F0A-6948-F337F3B3C1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B46561E" w14:textId="2FA8701E" w:rsidR="622C9D04" w:rsidRPr="00033E65" w:rsidRDefault="622C9D04" w:rsidP="622C9D04">
      <w:pPr>
        <w:tabs>
          <w:tab w:val="left" w:pos="2844"/>
        </w:tabs>
        <w:rPr>
          <w:b/>
          <w:bCs/>
          <w:i/>
          <w:iCs/>
          <w:sz w:val="18"/>
          <w:szCs w:val="18"/>
          <w:lang w:eastAsia="en-US"/>
        </w:rPr>
      </w:pPr>
    </w:p>
    <w:p w14:paraId="121F66C4" w14:textId="1FFEA023" w:rsidR="00170AEF" w:rsidRPr="00033E65" w:rsidRDefault="00170AEF" w:rsidP="00170AEF">
      <w:pPr>
        <w:tabs>
          <w:tab w:val="left" w:pos="2844"/>
        </w:tabs>
        <w:rPr>
          <w:b/>
          <w:i/>
          <w:sz w:val="18"/>
          <w:szCs w:val="18"/>
          <w:lang w:eastAsia="en-US"/>
        </w:rPr>
      </w:pPr>
      <w:r w:rsidRPr="00033E65">
        <w:rPr>
          <w:b/>
          <w:i/>
          <w:sz w:val="18"/>
          <w:szCs w:val="18"/>
          <w:lang w:eastAsia="en-US"/>
        </w:rPr>
        <w:t xml:space="preserve">Fuente: </w:t>
      </w:r>
      <w:r w:rsidRPr="00033E65">
        <w:rPr>
          <w:b/>
          <w:i/>
          <w:sz w:val="18"/>
          <w:szCs w:val="18"/>
        </w:rPr>
        <w:t>Subproceso de Modernización Institucional</w:t>
      </w:r>
      <w:r w:rsidR="00867C92" w:rsidRPr="00033E65">
        <w:rPr>
          <w:b/>
          <w:i/>
          <w:sz w:val="18"/>
          <w:szCs w:val="18"/>
        </w:rPr>
        <w:t>, área No Penal, con base en la Matriz de Indicadores de Gestión</w:t>
      </w:r>
      <w:r w:rsidR="00EB4BD6" w:rsidRPr="00033E65">
        <w:rPr>
          <w:b/>
          <w:i/>
          <w:sz w:val="18"/>
          <w:szCs w:val="18"/>
        </w:rPr>
        <w:t xml:space="preserve">. </w:t>
      </w:r>
    </w:p>
    <w:p w14:paraId="10758704" w14:textId="40623212" w:rsidR="00F666F8" w:rsidRPr="00033E65" w:rsidRDefault="00B207C3" w:rsidP="00385CD4">
      <w:bookmarkStart w:id="191" w:name="_Hlk130297201"/>
      <w:r w:rsidRPr="00033E65">
        <w:t xml:space="preserve">El dato de este indicador mayormente se ha visto afectado por la pandemia mundial, ya que muchos indican que se han tenido que suspender señalamientos porque las partes no llegan o han solicitado una reprogramación. En este caso se puede visualizar que el Juzgado de </w:t>
      </w:r>
      <w:r w:rsidR="00896078" w:rsidRPr="00033E65">
        <w:t>Limón</w:t>
      </w:r>
      <w:r w:rsidRPr="00033E65">
        <w:t xml:space="preserve"> tuvo un aumento considerable en la cantidad de audiencias pendientes </w:t>
      </w:r>
      <w:r w:rsidR="00737331" w:rsidRPr="00033E65">
        <w:t xml:space="preserve">de realizar, </w:t>
      </w:r>
      <w:r w:rsidR="00737331" w:rsidRPr="00033E65">
        <w:lastRenderedPageBreak/>
        <w:t>ya que para el 202</w:t>
      </w:r>
      <w:r w:rsidR="00896078" w:rsidRPr="00033E65">
        <w:t>1</w:t>
      </w:r>
      <w:r w:rsidRPr="00033E65">
        <w:t xml:space="preserve">, se </w:t>
      </w:r>
      <w:r w:rsidR="00737331" w:rsidRPr="00033E65">
        <w:t xml:space="preserve">obtuvo un promedio mensual de </w:t>
      </w:r>
      <w:r w:rsidR="00896078" w:rsidRPr="00033E65">
        <w:t>364</w:t>
      </w:r>
      <w:r w:rsidRPr="00033E65">
        <w:t xml:space="preserve"> seña</w:t>
      </w:r>
      <w:r w:rsidR="00737331" w:rsidRPr="00033E65">
        <w:t>lamientos pendientes y para 202</w:t>
      </w:r>
      <w:r w:rsidR="00896078" w:rsidRPr="00033E65">
        <w:t>2</w:t>
      </w:r>
      <w:r w:rsidR="00737331" w:rsidRPr="00033E65">
        <w:t xml:space="preserve"> aumentó a </w:t>
      </w:r>
      <w:r w:rsidR="00896078" w:rsidRPr="00033E65">
        <w:t>598</w:t>
      </w:r>
      <w:r w:rsidRPr="00033E65">
        <w:t xml:space="preserve"> casos en promedio</w:t>
      </w:r>
      <w:r w:rsidR="00911E5F" w:rsidRPr="00033E65">
        <w:t xml:space="preserve">, es decir una elevación del </w:t>
      </w:r>
      <w:r w:rsidR="00F71DD6" w:rsidRPr="00033E65">
        <w:t>64</w:t>
      </w:r>
      <w:r w:rsidRPr="00033E65">
        <w:t>%</w:t>
      </w:r>
      <w:r w:rsidR="00B43921" w:rsidRPr="00033E65">
        <w:t xml:space="preserve">. </w:t>
      </w:r>
      <w:r w:rsidR="00A6675C" w:rsidRPr="00033E65">
        <w:t xml:space="preserve">Cartago y Pérez Zeledón tuvieron aumentos de este plazo entre los </w:t>
      </w:r>
      <w:r w:rsidR="00C45A1C" w:rsidRPr="00033E65">
        <w:t xml:space="preserve">22 y 20 días respectivamente. </w:t>
      </w:r>
    </w:p>
    <w:p w14:paraId="08CB6CCC" w14:textId="2273C1D1" w:rsidR="00E1284E" w:rsidRPr="00033E65" w:rsidRDefault="00F666F8" w:rsidP="00385CD4">
      <w:r w:rsidRPr="00033E65">
        <w:t xml:space="preserve">Se destaca la disminución lograda en el Juzgado de Pococí el cuál logró bajar </w:t>
      </w:r>
      <w:r w:rsidR="005F2279" w:rsidRPr="00033E65">
        <w:t>la cantidad</w:t>
      </w:r>
      <w:r w:rsidRPr="00033E65">
        <w:t xml:space="preserve"> de este indicador </w:t>
      </w:r>
      <w:r w:rsidR="00E1284E" w:rsidRPr="00033E65">
        <w:t xml:space="preserve">213 </w:t>
      </w:r>
      <w:r w:rsidR="005F2279" w:rsidRPr="00033E65">
        <w:t xml:space="preserve">asuntos </w:t>
      </w:r>
      <w:r w:rsidR="00E1284E" w:rsidRPr="00033E65">
        <w:t>para el 2022 con respecto al 2021, es decir un 83%.</w:t>
      </w:r>
    </w:p>
    <w:p w14:paraId="2557E76C" w14:textId="13989675" w:rsidR="000F59E9" w:rsidRPr="00033E65" w:rsidRDefault="00E1284E" w:rsidP="00385CD4">
      <w:r w:rsidRPr="00033E65">
        <w:t>Los despachos restantes para el 2022</w:t>
      </w:r>
      <w:r w:rsidR="00B43921" w:rsidRPr="00033E65">
        <w:t xml:space="preserve"> lograron </w:t>
      </w:r>
      <w:r w:rsidRPr="00033E65">
        <w:t xml:space="preserve">mantener </w:t>
      </w:r>
      <w:r w:rsidR="005F2279" w:rsidRPr="00033E65">
        <w:t>la cantidad</w:t>
      </w:r>
      <w:r w:rsidRPr="00033E65">
        <w:t xml:space="preserve"> similar al 2021 y </w:t>
      </w:r>
      <w:r w:rsidR="00B43921" w:rsidRPr="00033E65">
        <w:t>reducir</w:t>
      </w:r>
      <w:r w:rsidR="00297AC6" w:rsidRPr="00033E65">
        <w:t xml:space="preserve"> levemente</w:t>
      </w:r>
      <w:r w:rsidR="00B43921" w:rsidRPr="00033E65">
        <w:t xml:space="preserve"> este dato. </w:t>
      </w:r>
    </w:p>
    <w:bookmarkEnd w:id="191"/>
    <w:p w14:paraId="32003704" w14:textId="5CE35D88" w:rsidR="00243816" w:rsidRPr="00033E65" w:rsidRDefault="00243816" w:rsidP="00385CD4"/>
    <w:p w14:paraId="3B63E122" w14:textId="4DEA9935" w:rsidR="00B43921" w:rsidRPr="00033E65" w:rsidRDefault="00554C4E" w:rsidP="00951D3E">
      <w:pPr>
        <w:pStyle w:val="Ttulo3"/>
      </w:pPr>
      <w:bookmarkStart w:id="192" w:name="_Toc132639545"/>
      <w:r>
        <w:t>7</w:t>
      </w:r>
      <w:r w:rsidR="00A430F0" w:rsidRPr="00033E65">
        <w:t xml:space="preserve">.11 </w:t>
      </w:r>
      <w:r w:rsidR="00B43921" w:rsidRPr="00033E65">
        <w:t>Cantidad de Expedientes Pendientes de Fallo</w:t>
      </w:r>
      <w:bookmarkEnd w:id="192"/>
    </w:p>
    <w:p w14:paraId="3F12FC31" w14:textId="73153E28" w:rsidR="008660E1" w:rsidRPr="00033E65" w:rsidRDefault="002814DE" w:rsidP="00640A1D">
      <w:pPr>
        <w:rPr>
          <w:lang w:val="es-MX"/>
        </w:rPr>
      </w:pPr>
      <w:r w:rsidRPr="00033E65">
        <w:rPr>
          <w:lang w:val="es-MX"/>
        </w:rPr>
        <w:t>La cantidad de expedientes pendientes de fallo, son todos aquello expedientes que ya se encuentran listos y ha sido enviados al personal juzgador para el dictado de sentencia. Este indicador muestra esa cantidad de expedientes que se han pasado para el dictado de sentencia y el persona</w:t>
      </w:r>
      <w:r w:rsidR="002A7151" w:rsidRPr="00033E65">
        <w:rPr>
          <w:lang w:val="es-MX"/>
        </w:rPr>
        <w:t>l</w:t>
      </w:r>
      <w:r w:rsidRPr="00033E65">
        <w:rPr>
          <w:lang w:val="es-MX"/>
        </w:rPr>
        <w:t xml:space="preserve"> juzgador no los ha atendido o no ha terminado el proceso de fallo, es decir se pueden encontrar en estudio, entre otras. </w:t>
      </w:r>
      <w:r w:rsidR="002A7151" w:rsidRPr="00033E65">
        <w:rPr>
          <w:lang w:val="es-MX"/>
        </w:rPr>
        <w:t>En el siguiente gr</w:t>
      </w:r>
      <w:r w:rsidR="00C8508F" w:rsidRPr="00033E65">
        <w:rPr>
          <w:lang w:val="es-MX"/>
        </w:rPr>
        <w:t>á</w:t>
      </w:r>
      <w:r w:rsidR="002A7151" w:rsidRPr="00033E65">
        <w:rPr>
          <w:lang w:val="es-MX"/>
        </w:rPr>
        <w:t>fico se puede apreciar una comparación de los Juzgados especializad</w:t>
      </w:r>
      <w:r w:rsidR="00DA60F3" w:rsidRPr="00033E65">
        <w:rPr>
          <w:lang w:val="es-MX"/>
        </w:rPr>
        <w:t>os, considerando el periodo 202</w:t>
      </w:r>
      <w:r w:rsidR="00DE28E0" w:rsidRPr="00033E65">
        <w:rPr>
          <w:lang w:val="es-MX"/>
        </w:rPr>
        <w:t>1</w:t>
      </w:r>
      <w:r w:rsidR="00DA60F3" w:rsidRPr="00033E65">
        <w:rPr>
          <w:lang w:val="es-MX"/>
        </w:rPr>
        <w:t xml:space="preserve"> al 202</w:t>
      </w:r>
      <w:r w:rsidR="00DE28E0" w:rsidRPr="00033E65">
        <w:rPr>
          <w:lang w:val="es-MX"/>
        </w:rPr>
        <w:t>2</w:t>
      </w:r>
      <w:r w:rsidR="002A7151" w:rsidRPr="00033E65">
        <w:rPr>
          <w:lang w:val="es-MX"/>
        </w:rPr>
        <w:t xml:space="preserve">. </w:t>
      </w:r>
    </w:p>
    <w:p w14:paraId="7DAC9A25" w14:textId="2E44CD3B" w:rsidR="008660E1" w:rsidRPr="00033E65" w:rsidRDefault="008660E1" w:rsidP="003F0A3A">
      <w:pPr>
        <w:pStyle w:val="Ttulo"/>
        <w:spacing w:before="0" w:after="0"/>
        <w:jc w:val="center"/>
        <w:rPr>
          <w:rFonts w:eastAsia="Times New Roman" w:cs="Arial"/>
          <w:iCs/>
          <w:spacing w:val="0"/>
          <w:szCs w:val="28"/>
          <w:lang w:val="es-CR" w:eastAsia="es-ES"/>
        </w:rPr>
      </w:pPr>
    </w:p>
    <w:p w14:paraId="20822721" w14:textId="0405F94F" w:rsidR="00BC249D" w:rsidRPr="00033E65" w:rsidRDefault="00BC249D" w:rsidP="003F0A3A">
      <w:pPr>
        <w:pStyle w:val="Ttulo"/>
        <w:spacing w:before="0" w:after="0"/>
        <w:jc w:val="center"/>
        <w:rPr>
          <w:rFonts w:eastAsia="Times New Roman" w:cs="Arial"/>
          <w:iCs/>
          <w:spacing w:val="0"/>
          <w:szCs w:val="28"/>
          <w:lang w:val="es-CR" w:eastAsia="es-ES"/>
        </w:rPr>
      </w:pPr>
    </w:p>
    <w:p w14:paraId="743A1128" w14:textId="77777777" w:rsidR="00BC249D" w:rsidRPr="00033E65" w:rsidRDefault="00BC249D" w:rsidP="003F0A3A">
      <w:pPr>
        <w:pStyle w:val="Ttulo"/>
        <w:spacing w:before="0" w:after="0"/>
        <w:jc w:val="center"/>
        <w:rPr>
          <w:rFonts w:eastAsia="Times New Roman" w:cs="Arial"/>
          <w:iCs/>
          <w:spacing w:val="0"/>
          <w:szCs w:val="28"/>
          <w:lang w:val="es-CR" w:eastAsia="es-ES"/>
        </w:rPr>
      </w:pPr>
    </w:p>
    <w:p w14:paraId="5752E4E1" w14:textId="5661B6BF" w:rsidR="002A7151" w:rsidRPr="00033E65" w:rsidRDefault="002A7151"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11</w:t>
      </w:r>
      <w:r w:rsidRPr="00033E65">
        <w:rPr>
          <w:rFonts w:eastAsia="Times New Roman" w:cs="Arial"/>
          <w:iCs/>
          <w:spacing w:val="0"/>
          <w:szCs w:val="28"/>
          <w:lang w:val="es-CR" w:eastAsia="es-ES"/>
        </w:rPr>
        <w:fldChar w:fldCharType="end"/>
      </w:r>
    </w:p>
    <w:p w14:paraId="32B48B39" w14:textId="7CFC4B40" w:rsidR="00BC249D" w:rsidRPr="00033E65" w:rsidRDefault="002A7151" w:rsidP="00BC249D">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Comportamiento de las Cantidad de los Expedientes Pendientes de Fallo de los Juzgados Especializados en Ma</w:t>
      </w:r>
      <w:r w:rsidR="00DA60F3" w:rsidRPr="00033E65">
        <w:rPr>
          <w:rFonts w:eastAsia="Times New Roman" w:cs="Arial"/>
          <w:spacing w:val="0"/>
          <w:lang w:val="es-CR" w:eastAsia="es-ES"/>
        </w:rPr>
        <w:t>teria Agraria en el Periodo 202</w:t>
      </w:r>
      <w:r w:rsidR="2A63C39A" w:rsidRPr="00033E65">
        <w:rPr>
          <w:rFonts w:eastAsia="Times New Roman" w:cs="Arial"/>
          <w:spacing w:val="0"/>
          <w:lang w:val="es-CR" w:eastAsia="es-ES"/>
        </w:rPr>
        <w:t>1</w:t>
      </w:r>
      <w:r w:rsidR="00DA60F3" w:rsidRPr="00033E65">
        <w:rPr>
          <w:rFonts w:eastAsia="Times New Roman" w:cs="Arial"/>
          <w:spacing w:val="0"/>
          <w:lang w:val="es-CR" w:eastAsia="es-ES"/>
        </w:rPr>
        <w:t xml:space="preserve"> al 202</w:t>
      </w:r>
      <w:r w:rsidR="0C112EF4" w:rsidRPr="00033E65">
        <w:rPr>
          <w:rFonts w:eastAsia="Times New Roman" w:cs="Arial"/>
          <w:spacing w:val="0"/>
          <w:lang w:val="es-CR" w:eastAsia="es-ES"/>
        </w:rPr>
        <w:t>2</w:t>
      </w:r>
      <w:r w:rsidR="00BC249D" w:rsidRPr="00033E65">
        <w:rPr>
          <w:rFonts w:eastAsia="Times New Roman" w:cs="Arial"/>
          <w:spacing w:val="0"/>
          <w:lang w:val="es-CR" w:eastAsia="es-ES"/>
        </w:rPr>
        <w:t xml:space="preserve"> </w:t>
      </w:r>
    </w:p>
    <w:p w14:paraId="322FB6AF" w14:textId="4DF62A00" w:rsidR="622C9D04" w:rsidRPr="00033E65" w:rsidRDefault="00200233" w:rsidP="622C9D04">
      <w:pPr>
        <w:tabs>
          <w:tab w:val="left" w:pos="2844"/>
        </w:tabs>
        <w:rPr>
          <w:b/>
          <w:bCs/>
          <w:i/>
          <w:iCs/>
          <w:sz w:val="18"/>
          <w:szCs w:val="18"/>
          <w:lang w:eastAsia="en-US"/>
        </w:rPr>
      </w:pPr>
      <w:r w:rsidRPr="00033E65">
        <w:rPr>
          <w:noProof/>
        </w:rPr>
        <w:lastRenderedPageBreak/>
        <w:drawing>
          <wp:inline distT="0" distB="0" distL="0" distR="0" wp14:anchorId="77B6220E" wp14:editId="2EA5B0F9">
            <wp:extent cx="5239910" cy="3570135"/>
            <wp:effectExtent l="0" t="0" r="0" b="0"/>
            <wp:docPr id="51" name="Gráfico 51">
              <a:extLst xmlns:a="http://schemas.openxmlformats.org/drawingml/2006/main">
                <a:ext uri="{FF2B5EF4-FFF2-40B4-BE49-F238E27FC236}">
                  <a16:creationId xmlns:a16="http://schemas.microsoft.com/office/drawing/2014/main" id="{41444E40-9CD7-44ED-904A-6039AE8DD5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74969E5" w14:textId="19DB1D4D" w:rsidR="622C9D04" w:rsidRPr="00033E65" w:rsidRDefault="622C9D04" w:rsidP="622C9D04">
      <w:pPr>
        <w:tabs>
          <w:tab w:val="left" w:pos="2844"/>
        </w:tabs>
        <w:rPr>
          <w:b/>
          <w:bCs/>
          <w:i/>
          <w:iCs/>
          <w:sz w:val="18"/>
          <w:szCs w:val="18"/>
          <w:lang w:eastAsia="en-US"/>
        </w:rPr>
      </w:pPr>
    </w:p>
    <w:p w14:paraId="005BD605" w14:textId="54003DCD" w:rsidR="002A7151" w:rsidRPr="00033E65" w:rsidRDefault="002A7151" w:rsidP="002A7151">
      <w:pPr>
        <w:tabs>
          <w:tab w:val="left" w:pos="2844"/>
        </w:tabs>
        <w:rPr>
          <w:b/>
          <w:i/>
          <w:sz w:val="18"/>
          <w:szCs w:val="18"/>
          <w:lang w:eastAsia="en-US"/>
        </w:rPr>
      </w:pPr>
      <w:r w:rsidRPr="00033E65">
        <w:rPr>
          <w:b/>
          <w:i/>
          <w:sz w:val="18"/>
          <w:szCs w:val="18"/>
          <w:lang w:eastAsia="en-US"/>
        </w:rPr>
        <w:t xml:space="preserve">Fuente: </w:t>
      </w:r>
      <w:r w:rsidRPr="00033E65">
        <w:rPr>
          <w:b/>
          <w:i/>
          <w:sz w:val="18"/>
          <w:szCs w:val="18"/>
        </w:rPr>
        <w:t>Subproceso de Modernización Institucional</w:t>
      </w:r>
      <w:r w:rsidR="00C73CAA" w:rsidRPr="00033E65">
        <w:rPr>
          <w:b/>
          <w:i/>
          <w:sz w:val="18"/>
          <w:szCs w:val="18"/>
        </w:rPr>
        <w:t xml:space="preserve">, área No Penal, con base en la Matriz de Indicadores de Gestión. </w:t>
      </w:r>
    </w:p>
    <w:p w14:paraId="521452C3" w14:textId="6E0CDA10" w:rsidR="006F3E4A" w:rsidRPr="00033E65" w:rsidRDefault="001E6FF2" w:rsidP="00B43921">
      <w:r w:rsidRPr="00033E65">
        <w:t xml:space="preserve">Los Juzgados de </w:t>
      </w:r>
      <w:r w:rsidR="00BE2074" w:rsidRPr="00033E65">
        <w:t>Alajuela y Cartago</w:t>
      </w:r>
      <w:r w:rsidR="00BC249D" w:rsidRPr="00033E65">
        <w:t xml:space="preserve"> </w:t>
      </w:r>
      <w:r w:rsidRPr="00033E65">
        <w:t>consiguieron reducir el promedio de la cantidad de expedientes pendi</w:t>
      </w:r>
      <w:r w:rsidR="00412B06" w:rsidRPr="00033E65">
        <w:t>entes del dictado de sentencia en el 202</w:t>
      </w:r>
      <w:r w:rsidR="00BE2074" w:rsidRPr="00033E65">
        <w:t>2</w:t>
      </w:r>
      <w:r w:rsidR="00412B06" w:rsidRPr="00033E65">
        <w:t>, los cuales pasaron de 3</w:t>
      </w:r>
      <w:r w:rsidR="006F3E4A" w:rsidRPr="00033E65">
        <w:t>4</w:t>
      </w:r>
      <w:r w:rsidR="00412B06" w:rsidRPr="00033E65">
        <w:t xml:space="preserve"> a 2</w:t>
      </w:r>
      <w:r w:rsidR="006F3E4A" w:rsidRPr="00033E65">
        <w:t>1</w:t>
      </w:r>
      <w:r w:rsidRPr="00033E65">
        <w:t xml:space="preserve"> expedientes en promedio en </w:t>
      </w:r>
      <w:r w:rsidR="006F3E4A" w:rsidRPr="00033E65">
        <w:t xml:space="preserve">Alajuela </w:t>
      </w:r>
      <w:r w:rsidR="00412B06" w:rsidRPr="00033E65">
        <w:t xml:space="preserve">y de </w:t>
      </w:r>
      <w:r w:rsidR="006F3E4A" w:rsidRPr="00033E65">
        <w:t>8</w:t>
      </w:r>
      <w:r w:rsidR="00412B06" w:rsidRPr="00033E65">
        <w:t xml:space="preserve"> a </w:t>
      </w:r>
      <w:r w:rsidR="006F3E4A" w:rsidRPr="00033E65">
        <w:t>3</w:t>
      </w:r>
      <w:r w:rsidRPr="00033E65">
        <w:t xml:space="preserve"> expedientes en promedio</w:t>
      </w:r>
      <w:r w:rsidR="00412B06" w:rsidRPr="00033E65">
        <w:t xml:space="preserve"> en </w:t>
      </w:r>
      <w:r w:rsidR="006F3E4A" w:rsidRPr="00033E65">
        <w:t>Cartago</w:t>
      </w:r>
      <w:r w:rsidRPr="00033E65">
        <w:t>.</w:t>
      </w:r>
    </w:p>
    <w:p w14:paraId="5E2E20E2" w14:textId="09867E0D" w:rsidR="002A7151" w:rsidRPr="00033E65" w:rsidRDefault="006F3E4A" w:rsidP="00B43921">
      <w:r w:rsidRPr="00033E65">
        <w:t xml:space="preserve">Los aumentos más críticos en este indicador </w:t>
      </w:r>
      <w:r w:rsidR="0042111D" w:rsidRPr="00033E65">
        <w:t xml:space="preserve">para el 2022 los mantienen Pococí el cual pasó de 41 a 72 expedientes, Limón que mantenía 29 asuntos en el 2021 </w:t>
      </w:r>
      <w:r w:rsidR="00A322E8" w:rsidRPr="00033E65">
        <w:t>y aumentó a 72 asuntos en el 2022, Corredores que pasó de 33 a 69 asuntos y Goicoechea que pasó de 47 a 72 asuntos en el 2022.</w:t>
      </w:r>
      <w:r w:rsidR="001E6FF2" w:rsidRPr="00033E65">
        <w:t xml:space="preserve"> </w:t>
      </w:r>
    </w:p>
    <w:p w14:paraId="2AB0583E" w14:textId="21370F38" w:rsidR="00925390" w:rsidRPr="00033E65" w:rsidRDefault="00CD528B" w:rsidP="00B43921">
      <w:r w:rsidRPr="00033E65">
        <w:t>Por su parte, los Juzgados Agrarios de</w:t>
      </w:r>
      <w:r w:rsidR="00A114B6" w:rsidRPr="00033E65">
        <w:t xml:space="preserve"> </w:t>
      </w:r>
      <w:r w:rsidR="001B3DF2" w:rsidRPr="00033E65">
        <w:t>Liberia, Pérez Zeledón, Santa Cruz, San Ramón, San Carlos</w:t>
      </w:r>
      <w:r w:rsidR="000C406A" w:rsidRPr="00033E65">
        <w:t xml:space="preserve"> y Puntarenas </w:t>
      </w:r>
      <w:r w:rsidRPr="00033E65">
        <w:t xml:space="preserve">aumentaron la cantidad promedio mensual </w:t>
      </w:r>
      <w:r w:rsidR="00925390" w:rsidRPr="00033E65">
        <w:t xml:space="preserve">entre </w:t>
      </w:r>
      <w:r w:rsidR="009435A7" w:rsidRPr="00033E65">
        <w:t>1</w:t>
      </w:r>
      <w:r w:rsidR="00A114B6" w:rsidRPr="00033E65">
        <w:t xml:space="preserve"> y </w:t>
      </w:r>
      <w:r w:rsidR="009435A7" w:rsidRPr="00033E65">
        <w:t xml:space="preserve">16 </w:t>
      </w:r>
      <w:r w:rsidR="00925390" w:rsidRPr="00033E65">
        <w:t xml:space="preserve">casos. </w:t>
      </w:r>
    </w:p>
    <w:p w14:paraId="3C7BEA2C" w14:textId="0AC3BE0F" w:rsidR="008660E1" w:rsidRPr="00033E65" w:rsidRDefault="001E6FF2" w:rsidP="00D264A9">
      <w:r w:rsidRPr="00033E65">
        <w:t xml:space="preserve">Con un rango de aceptación establecido de 15 a 30 expedientes pendientes del dictado de sentencia, se puede apreciar que la mayoría se encuentran dentro de los parámetros, con la excepción del Juzgado Agrario de </w:t>
      </w:r>
      <w:r w:rsidR="00737A35" w:rsidRPr="00033E65">
        <w:t>Cartago, Liberia y Santa Cruz</w:t>
      </w:r>
      <w:r w:rsidR="00D264A9" w:rsidRPr="00033E65">
        <w:t xml:space="preserve">. </w:t>
      </w:r>
    </w:p>
    <w:p w14:paraId="184714D5" w14:textId="63CEA628" w:rsidR="00BB1894" w:rsidRPr="00033E65" w:rsidRDefault="00D264A9" w:rsidP="00B43921">
      <w:r w:rsidRPr="00033E65">
        <w:t>Para el final del periodo 202</w:t>
      </w:r>
      <w:r w:rsidR="00614C55" w:rsidRPr="00033E65">
        <w:t>2</w:t>
      </w:r>
      <w:r w:rsidR="00BB1894" w:rsidRPr="00033E65">
        <w:t xml:space="preserve">, los Juzgados Agrarios especializados contó </w:t>
      </w:r>
      <w:r w:rsidRPr="00033E65">
        <w:t xml:space="preserve">con un pendiente de fallo de </w:t>
      </w:r>
      <w:r w:rsidR="000F5AA8" w:rsidRPr="00033E65">
        <w:t xml:space="preserve">545 </w:t>
      </w:r>
      <w:r w:rsidR="00BB1894" w:rsidRPr="00033E65">
        <w:t xml:space="preserve">expedientes en total, tal y como se muestra a continuación: </w:t>
      </w:r>
    </w:p>
    <w:p w14:paraId="56FB3DB6" w14:textId="77777777" w:rsidR="001B65B3" w:rsidRPr="00033E65" w:rsidRDefault="001B65B3" w:rsidP="003F0A3A">
      <w:pPr>
        <w:pStyle w:val="Ttulo"/>
        <w:spacing w:before="0" w:after="0"/>
        <w:jc w:val="center"/>
        <w:rPr>
          <w:rFonts w:eastAsia="Times New Roman" w:cs="Arial"/>
          <w:iCs/>
          <w:spacing w:val="0"/>
          <w:szCs w:val="28"/>
          <w:lang w:val="es-CR" w:eastAsia="es-ES"/>
        </w:rPr>
      </w:pPr>
    </w:p>
    <w:p w14:paraId="3BEC1FA9" w14:textId="59233DC7" w:rsidR="001B65B3" w:rsidRDefault="001B65B3" w:rsidP="003F0A3A">
      <w:pPr>
        <w:pStyle w:val="Ttulo"/>
        <w:spacing w:before="0" w:after="0"/>
        <w:jc w:val="center"/>
        <w:rPr>
          <w:rFonts w:eastAsia="Times New Roman" w:cs="Arial"/>
          <w:iCs/>
          <w:spacing w:val="0"/>
          <w:szCs w:val="28"/>
          <w:lang w:val="es-CR" w:eastAsia="es-ES"/>
        </w:rPr>
      </w:pPr>
    </w:p>
    <w:p w14:paraId="3805EFBB" w14:textId="77777777" w:rsidR="004F391E" w:rsidRPr="00033E65" w:rsidRDefault="004F391E" w:rsidP="003F0A3A">
      <w:pPr>
        <w:pStyle w:val="Ttulo"/>
        <w:spacing w:before="0" w:after="0"/>
        <w:jc w:val="center"/>
        <w:rPr>
          <w:rFonts w:eastAsia="Times New Roman" w:cs="Arial"/>
          <w:iCs/>
          <w:spacing w:val="0"/>
          <w:szCs w:val="28"/>
          <w:lang w:val="es-CR" w:eastAsia="es-ES"/>
        </w:rPr>
      </w:pPr>
    </w:p>
    <w:p w14:paraId="79F6E71F" w14:textId="7F7B655A" w:rsidR="00BB1894" w:rsidRPr="00033E65" w:rsidRDefault="00BB1894"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lastRenderedPageBreak/>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12</w:t>
      </w:r>
      <w:r w:rsidRPr="00033E65">
        <w:rPr>
          <w:rFonts w:eastAsia="Times New Roman" w:cs="Arial"/>
          <w:iCs/>
          <w:spacing w:val="0"/>
          <w:szCs w:val="28"/>
          <w:lang w:val="es-CR" w:eastAsia="es-ES"/>
        </w:rPr>
        <w:fldChar w:fldCharType="end"/>
      </w:r>
    </w:p>
    <w:p w14:paraId="19EAED42" w14:textId="668B8A5A" w:rsidR="00E57221" w:rsidRPr="00033E65" w:rsidRDefault="00BB1894" w:rsidP="00BC249D">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 xml:space="preserve">Cantidad de los Expedientes Pendientes de Fallo de los Juzgados Especializados en Materia Agraria </w:t>
      </w:r>
      <w:r w:rsidR="00E57221" w:rsidRPr="00033E65">
        <w:rPr>
          <w:rFonts w:eastAsia="Times New Roman" w:cs="Arial"/>
          <w:spacing w:val="0"/>
          <w:lang w:val="es-CR" w:eastAsia="es-ES"/>
        </w:rPr>
        <w:t xml:space="preserve">a </w:t>
      </w:r>
      <w:r w:rsidR="00437EA9" w:rsidRPr="00033E65">
        <w:rPr>
          <w:rFonts w:eastAsia="Times New Roman" w:cs="Arial"/>
          <w:spacing w:val="0"/>
          <w:lang w:val="es-CR" w:eastAsia="es-ES"/>
        </w:rPr>
        <w:t>diciembre</w:t>
      </w:r>
      <w:r w:rsidR="00E57221" w:rsidRPr="00033E65">
        <w:rPr>
          <w:rFonts w:eastAsia="Times New Roman" w:cs="Arial"/>
          <w:spacing w:val="0"/>
          <w:lang w:val="es-CR" w:eastAsia="es-ES"/>
        </w:rPr>
        <w:t xml:space="preserve"> del</w:t>
      </w:r>
      <w:r w:rsidR="00393322" w:rsidRPr="00033E65">
        <w:rPr>
          <w:rFonts w:eastAsia="Times New Roman" w:cs="Arial"/>
          <w:spacing w:val="0"/>
          <w:lang w:val="es-CR" w:eastAsia="es-ES"/>
        </w:rPr>
        <w:t xml:space="preserve"> 202</w:t>
      </w:r>
      <w:r w:rsidR="09D201CC" w:rsidRPr="00033E65">
        <w:rPr>
          <w:rFonts w:eastAsia="Times New Roman" w:cs="Arial"/>
          <w:spacing w:val="0"/>
          <w:lang w:val="es-CR" w:eastAsia="es-ES"/>
        </w:rPr>
        <w:t>2</w:t>
      </w:r>
    </w:p>
    <w:p w14:paraId="4B2BB95F" w14:textId="5E00ED31" w:rsidR="00E57221" w:rsidRPr="00033E65" w:rsidRDefault="00882B81" w:rsidP="00BC249D">
      <w:pPr>
        <w:ind w:left="-1560" w:firstLine="852"/>
        <w:jc w:val="center"/>
      </w:pPr>
      <w:r w:rsidRPr="00033E65">
        <w:rPr>
          <w:noProof/>
        </w:rPr>
        <w:drawing>
          <wp:inline distT="0" distB="0" distL="0" distR="0" wp14:anchorId="30AAFCB5" wp14:editId="40EECD66">
            <wp:extent cx="5592251" cy="2894275"/>
            <wp:effectExtent l="0" t="0" r="8890" b="1905"/>
            <wp:docPr id="52" name="Gráfico 52">
              <a:extLst xmlns:a="http://schemas.openxmlformats.org/drawingml/2006/main">
                <a:ext uri="{FF2B5EF4-FFF2-40B4-BE49-F238E27FC236}">
                  <a16:creationId xmlns:a16="http://schemas.microsoft.com/office/drawing/2014/main" id="{4C52F3C8-52DB-D0B0-165E-547B724672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3BC7D4F" w14:textId="6CECB589" w:rsidR="00E57221" w:rsidRPr="00033E65" w:rsidRDefault="000F6403" w:rsidP="000F6403">
      <w:pPr>
        <w:ind w:left="-1560" w:firstLine="852"/>
        <w:rPr>
          <w:noProof/>
          <w:lang w:eastAsia="es-CR"/>
        </w:rPr>
      </w:pPr>
      <w:r w:rsidRPr="00033E65">
        <w:rPr>
          <w:b/>
          <w:i/>
          <w:sz w:val="18"/>
          <w:szCs w:val="18"/>
          <w:lang w:eastAsia="en-US"/>
        </w:rPr>
        <w:t xml:space="preserve">  </w:t>
      </w:r>
      <w:r w:rsidR="00E57221" w:rsidRPr="00033E65">
        <w:rPr>
          <w:b/>
          <w:i/>
          <w:sz w:val="18"/>
          <w:szCs w:val="18"/>
          <w:lang w:eastAsia="en-US"/>
        </w:rPr>
        <w:t xml:space="preserve">Fuente: </w:t>
      </w:r>
      <w:r w:rsidR="00E57221" w:rsidRPr="00033E65">
        <w:rPr>
          <w:b/>
          <w:i/>
          <w:sz w:val="18"/>
          <w:szCs w:val="18"/>
        </w:rPr>
        <w:t>Subproceso de Modernización Institucional</w:t>
      </w:r>
      <w:r w:rsidR="00E90823" w:rsidRPr="00033E65">
        <w:rPr>
          <w:b/>
          <w:i/>
          <w:sz w:val="18"/>
          <w:szCs w:val="18"/>
        </w:rPr>
        <w:t>, área No Penal, con base en la Matriz de Indicadores de Gestión</w:t>
      </w:r>
      <w:r w:rsidR="005E7132" w:rsidRPr="00033E65">
        <w:rPr>
          <w:b/>
          <w:i/>
          <w:sz w:val="18"/>
          <w:szCs w:val="18"/>
        </w:rPr>
        <w:t>.</w:t>
      </w:r>
    </w:p>
    <w:p w14:paraId="3E67DE97" w14:textId="77777777" w:rsidR="008660E1" w:rsidRPr="00033E65" w:rsidRDefault="008660E1" w:rsidP="00B43921"/>
    <w:p w14:paraId="0375C35E" w14:textId="79CF676C" w:rsidR="004064CE" w:rsidRPr="00033E65" w:rsidRDefault="00554C4E" w:rsidP="00951D3E">
      <w:pPr>
        <w:pStyle w:val="Ttulo3"/>
      </w:pPr>
      <w:bookmarkStart w:id="193" w:name="_Toc132639546"/>
      <w:r>
        <w:t>7</w:t>
      </w:r>
      <w:r w:rsidR="00A430F0" w:rsidRPr="00033E65">
        <w:t xml:space="preserve">.12 </w:t>
      </w:r>
      <w:r w:rsidR="00334E3D" w:rsidRPr="00033E65">
        <w:t>Cantidad de Escritos Pendientes de Resolver</w:t>
      </w:r>
      <w:bookmarkEnd w:id="193"/>
    </w:p>
    <w:p w14:paraId="57D49396" w14:textId="349850D9" w:rsidR="004064CE" w:rsidRPr="00033E65" w:rsidRDefault="00EE2F72" w:rsidP="00B43921">
      <w:pPr>
        <w:rPr>
          <w:lang w:val="es-MX"/>
        </w:rPr>
      </w:pPr>
      <w:r w:rsidRPr="00033E65">
        <w:rPr>
          <w:lang w:val="es-MX"/>
        </w:rPr>
        <w:t>Este indicador muestra la cantidad de escritos pendientes de resolver que se encuentra en el Juzgado desde su ingreso</w:t>
      </w:r>
      <w:r w:rsidR="00764962" w:rsidRPr="00033E65">
        <w:rPr>
          <w:lang w:val="es-MX"/>
        </w:rPr>
        <w:t xml:space="preserve"> hasta la revisión mensual de los Indicadores de Gestión. Para ello se realiza un análisis de comparación de los Despachos especializados en la m</w:t>
      </w:r>
      <w:r w:rsidR="00ED0F32" w:rsidRPr="00033E65">
        <w:rPr>
          <w:lang w:val="es-MX"/>
        </w:rPr>
        <w:t>ateria Agrario, en los años 202</w:t>
      </w:r>
      <w:r w:rsidR="001B660D" w:rsidRPr="00033E65">
        <w:rPr>
          <w:lang w:val="es-MX"/>
        </w:rPr>
        <w:t>1</w:t>
      </w:r>
      <w:r w:rsidR="00ED0F32" w:rsidRPr="00033E65">
        <w:rPr>
          <w:lang w:val="es-MX"/>
        </w:rPr>
        <w:t xml:space="preserve"> al 202</w:t>
      </w:r>
      <w:r w:rsidR="001B660D" w:rsidRPr="00033E65">
        <w:rPr>
          <w:lang w:val="es-MX"/>
        </w:rPr>
        <w:t>2</w:t>
      </w:r>
      <w:r w:rsidR="00764962" w:rsidRPr="00033E65">
        <w:rPr>
          <w:lang w:val="es-MX"/>
        </w:rPr>
        <w:t xml:space="preserve">. </w:t>
      </w:r>
    </w:p>
    <w:p w14:paraId="26603A6A" w14:textId="77777777" w:rsidR="00BC249D" w:rsidRPr="00033E65" w:rsidRDefault="00BC249D" w:rsidP="00B43921">
      <w:pPr>
        <w:rPr>
          <w:lang w:val="es-MX"/>
        </w:rPr>
      </w:pPr>
    </w:p>
    <w:p w14:paraId="112EC24D" w14:textId="5391DE49" w:rsidR="00764962" w:rsidRPr="00033E65" w:rsidRDefault="00764962"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13</w:t>
      </w:r>
      <w:r w:rsidRPr="00033E65">
        <w:rPr>
          <w:rFonts w:eastAsia="Times New Roman" w:cs="Arial"/>
          <w:iCs/>
          <w:spacing w:val="0"/>
          <w:szCs w:val="28"/>
          <w:lang w:val="es-CR" w:eastAsia="es-ES"/>
        </w:rPr>
        <w:fldChar w:fldCharType="end"/>
      </w:r>
    </w:p>
    <w:p w14:paraId="49E0D186" w14:textId="08F448EF" w:rsidR="00764962" w:rsidRPr="00033E65" w:rsidRDefault="00764962" w:rsidP="003F0A3A">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Comportamiento de las Cantidad de los Escritos Pendientes de Resolver de los Juzgados Especializados en Ma</w:t>
      </w:r>
      <w:r w:rsidR="00ED0F32" w:rsidRPr="00033E65">
        <w:rPr>
          <w:rFonts w:eastAsia="Times New Roman" w:cs="Arial"/>
          <w:spacing w:val="0"/>
          <w:lang w:val="es-CR" w:eastAsia="es-ES"/>
        </w:rPr>
        <w:t>teria Agraria en el Periodo 202</w:t>
      </w:r>
      <w:r w:rsidR="777B1C1A" w:rsidRPr="00033E65">
        <w:rPr>
          <w:rFonts w:eastAsia="Times New Roman" w:cs="Arial"/>
          <w:spacing w:val="0"/>
          <w:lang w:val="es-CR" w:eastAsia="es-ES"/>
        </w:rPr>
        <w:t>1</w:t>
      </w:r>
      <w:r w:rsidR="00ED0F32" w:rsidRPr="00033E65">
        <w:rPr>
          <w:rFonts w:eastAsia="Times New Roman" w:cs="Arial"/>
          <w:spacing w:val="0"/>
          <w:lang w:val="es-CR" w:eastAsia="es-ES"/>
        </w:rPr>
        <w:t xml:space="preserve"> al 202</w:t>
      </w:r>
      <w:r w:rsidR="6F5B4853" w:rsidRPr="00033E65">
        <w:rPr>
          <w:rFonts w:eastAsia="Times New Roman" w:cs="Arial"/>
          <w:spacing w:val="0"/>
          <w:lang w:val="es-CR" w:eastAsia="es-ES"/>
        </w:rPr>
        <w:t>2</w:t>
      </w:r>
    </w:p>
    <w:p w14:paraId="50D2DB71" w14:textId="150C1A4C" w:rsidR="00764962" w:rsidRPr="00033E65" w:rsidRDefault="00764962" w:rsidP="00B43921"/>
    <w:p w14:paraId="28412B5F" w14:textId="20571B62" w:rsidR="622C9D04" w:rsidRPr="00033E65" w:rsidRDefault="622C9D04" w:rsidP="622C9D04">
      <w:pPr>
        <w:tabs>
          <w:tab w:val="left" w:pos="2844"/>
        </w:tabs>
        <w:rPr>
          <w:b/>
          <w:bCs/>
          <w:i/>
          <w:iCs/>
          <w:sz w:val="18"/>
          <w:szCs w:val="18"/>
          <w:lang w:eastAsia="en-US"/>
        </w:rPr>
      </w:pPr>
    </w:p>
    <w:p w14:paraId="1DA32B9B" w14:textId="17FCFAE2" w:rsidR="622C9D04" w:rsidRPr="00033E65" w:rsidRDefault="005247E2" w:rsidP="622C9D04">
      <w:pPr>
        <w:tabs>
          <w:tab w:val="left" w:pos="2844"/>
        </w:tabs>
      </w:pPr>
      <w:r w:rsidRPr="00033E65">
        <w:rPr>
          <w:noProof/>
        </w:rPr>
        <w:lastRenderedPageBreak/>
        <w:drawing>
          <wp:inline distT="0" distB="0" distL="0" distR="0" wp14:anchorId="556FF27A" wp14:editId="1AB83953">
            <wp:extent cx="5360670" cy="4063116"/>
            <wp:effectExtent l="0" t="0" r="0" b="0"/>
            <wp:docPr id="53" name="Gráfico 53">
              <a:extLst xmlns:a="http://schemas.openxmlformats.org/drawingml/2006/main">
                <a:ext uri="{FF2B5EF4-FFF2-40B4-BE49-F238E27FC236}">
                  <a16:creationId xmlns:a16="http://schemas.microsoft.com/office/drawing/2014/main" id="{A416B8D6-7C93-4256-800A-73402FC67E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4396F1E" w14:textId="026D1959" w:rsidR="00764962" w:rsidRPr="00033E65" w:rsidRDefault="00764962" w:rsidP="00764962">
      <w:pPr>
        <w:tabs>
          <w:tab w:val="left" w:pos="2844"/>
        </w:tabs>
        <w:rPr>
          <w:b/>
          <w:i/>
          <w:sz w:val="18"/>
          <w:szCs w:val="18"/>
          <w:lang w:eastAsia="en-US"/>
        </w:rPr>
      </w:pPr>
      <w:r w:rsidRPr="00033E65">
        <w:rPr>
          <w:b/>
          <w:i/>
          <w:sz w:val="18"/>
          <w:szCs w:val="18"/>
          <w:lang w:eastAsia="en-US"/>
        </w:rPr>
        <w:t xml:space="preserve">Fuente: </w:t>
      </w:r>
      <w:r w:rsidRPr="00033E65">
        <w:rPr>
          <w:b/>
          <w:i/>
          <w:sz w:val="18"/>
          <w:szCs w:val="18"/>
        </w:rPr>
        <w:t>Subproceso de Modernización Institucional</w:t>
      </w:r>
      <w:r w:rsidR="005E7132" w:rsidRPr="00033E65">
        <w:rPr>
          <w:b/>
          <w:i/>
          <w:sz w:val="18"/>
          <w:szCs w:val="18"/>
        </w:rPr>
        <w:t xml:space="preserve">, área No Penal, con base en la Matriz de Indicadores de Gestión. </w:t>
      </w:r>
    </w:p>
    <w:p w14:paraId="6DE268C1" w14:textId="5EE0B9C4" w:rsidR="00830102" w:rsidRPr="00033E65" w:rsidRDefault="00ED2D7D" w:rsidP="00921A27">
      <w:pPr>
        <w:pStyle w:val="NormalWeb"/>
        <w:jc w:val="both"/>
        <w:rPr>
          <w:rFonts w:ascii="Book Antiqua" w:hAnsi="Book Antiqua"/>
          <w:sz w:val="22"/>
          <w:szCs w:val="20"/>
          <w:lang w:eastAsia="es-ES"/>
        </w:rPr>
      </w:pPr>
      <w:r w:rsidRPr="00033E65">
        <w:rPr>
          <w:rFonts w:ascii="Book Antiqua" w:hAnsi="Book Antiqua"/>
          <w:sz w:val="22"/>
          <w:szCs w:val="20"/>
          <w:lang w:eastAsia="es-ES"/>
        </w:rPr>
        <w:t>La cantidad de escritos pen</w:t>
      </w:r>
      <w:r w:rsidR="008267EE" w:rsidRPr="00033E65">
        <w:rPr>
          <w:rFonts w:ascii="Book Antiqua" w:hAnsi="Book Antiqua"/>
          <w:sz w:val="22"/>
          <w:szCs w:val="20"/>
          <w:lang w:eastAsia="es-ES"/>
        </w:rPr>
        <w:t>dientes de resolver para el 202</w:t>
      </w:r>
      <w:r w:rsidR="001B660D" w:rsidRPr="00033E65">
        <w:rPr>
          <w:rFonts w:ascii="Book Antiqua" w:hAnsi="Book Antiqua"/>
          <w:sz w:val="22"/>
          <w:szCs w:val="20"/>
          <w:lang w:eastAsia="es-ES"/>
        </w:rPr>
        <w:t>2</w:t>
      </w:r>
      <w:r w:rsidRPr="00033E65">
        <w:rPr>
          <w:rFonts w:ascii="Book Antiqua" w:hAnsi="Book Antiqua"/>
          <w:sz w:val="22"/>
          <w:szCs w:val="20"/>
          <w:lang w:eastAsia="es-ES"/>
        </w:rPr>
        <w:t xml:space="preserve">, </w:t>
      </w:r>
      <w:r w:rsidR="008267EE" w:rsidRPr="00033E65">
        <w:rPr>
          <w:rFonts w:ascii="Book Antiqua" w:hAnsi="Book Antiqua"/>
          <w:sz w:val="22"/>
          <w:szCs w:val="20"/>
          <w:lang w:eastAsia="es-ES"/>
        </w:rPr>
        <w:t>aumenta</w:t>
      </w:r>
      <w:r w:rsidRPr="00033E65">
        <w:rPr>
          <w:rFonts w:ascii="Book Antiqua" w:hAnsi="Book Antiqua"/>
          <w:sz w:val="22"/>
          <w:szCs w:val="20"/>
          <w:lang w:eastAsia="es-ES"/>
        </w:rPr>
        <w:t xml:space="preserve"> el promedio de </w:t>
      </w:r>
      <w:r w:rsidR="00A04680" w:rsidRPr="00033E65">
        <w:rPr>
          <w:rFonts w:ascii="Book Antiqua" w:hAnsi="Book Antiqua"/>
          <w:sz w:val="22"/>
          <w:szCs w:val="20"/>
          <w:lang w:eastAsia="es-ES"/>
        </w:rPr>
        <w:t xml:space="preserve">documentos </w:t>
      </w:r>
      <w:r w:rsidRPr="00033E65">
        <w:rPr>
          <w:rFonts w:ascii="Book Antiqua" w:hAnsi="Book Antiqua"/>
          <w:sz w:val="22"/>
          <w:szCs w:val="20"/>
          <w:lang w:eastAsia="es-ES"/>
        </w:rPr>
        <w:t>en relación con el 20</w:t>
      </w:r>
      <w:r w:rsidR="00A04680" w:rsidRPr="00033E65">
        <w:rPr>
          <w:rFonts w:ascii="Book Antiqua" w:hAnsi="Book Antiqua"/>
          <w:sz w:val="22"/>
          <w:szCs w:val="20"/>
          <w:lang w:eastAsia="es-ES"/>
        </w:rPr>
        <w:t>2</w:t>
      </w:r>
      <w:r w:rsidRPr="00033E65">
        <w:rPr>
          <w:rFonts w:ascii="Book Antiqua" w:hAnsi="Book Antiqua"/>
          <w:sz w:val="22"/>
          <w:szCs w:val="20"/>
          <w:lang w:eastAsia="es-ES"/>
        </w:rPr>
        <w:t xml:space="preserve">1. </w:t>
      </w:r>
      <w:r w:rsidR="00830102" w:rsidRPr="00033E65">
        <w:rPr>
          <w:rFonts w:ascii="Book Antiqua" w:hAnsi="Book Antiqua"/>
          <w:sz w:val="22"/>
          <w:szCs w:val="20"/>
          <w:lang w:eastAsia="es-ES"/>
        </w:rPr>
        <w:t>En especial el Juzgado Agrario de Santa Cruz que es el que mantiene la mayor cantidad de escritos pendientes, con un total de 756 escritos para el 2022, a pesar de que se disminuye levemente la cantidad con respecto al 2021, el resultado sobrepasa en gran medida el parámetro del indicador de gestión.</w:t>
      </w:r>
    </w:p>
    <w:p w14:paraId="1F17E14B" w14:textId="0BE4C978" w:rsidR="008267EE" w:rsidRPr="00033E65" w:rsidRDefault="009F1EC6" w:rsidP="00921A27">
      <w:pPr>
        <w:pStyle w:val="NormalWeb"/>
        <w:jc w:val="both"/>
        <w:rPr>
          <w:rFonts w:ascii="Book Antiqua" w:hAnsi="Book Antiqua"/>
          <w:sz w:val="22"/>
          <w:szCs w:val="20"/>
          <w:lang w:eastAsia="es-ES"/>
        </w:rPr>
      </w:pPr>
      <w:r w:rsidRPr="00033E65">
        <w:rPr>
          <w:rFonts w:ascii="Book Antiqua" w:hAnsi="Book Antiqua"/>
          <w:sz w:val="22"/>
          <w:szCs w:val="20"/>
          <w:lang w:eastAsia="es-ES"/>
        </w:rPr>
        <w:t>Otros</w:t>
      </w:r>
      <w:r w:rsidR="00ED2D7D" w:rsidRPr="00033E65">
        <w:rPr>
          <w:rFonts w:ascii="Book Antiqua" w:hAnsi="Book Antiqua"/>
          <w:sz w:val="22"/>
          <w:szCs w:val="20"/>
          <w:lang w:eastAsia="es-ES"/>
        </w:rPr>
        <w:t xml:space="preserve"> Juzgados Agrarios</w:t>
      </w:r>
      <w:r w:rsidRPr="00033E65">
        <w:rPr>
          <w:rFonts w:ascii="Book Antiqua" w:hAnsi="Book Antiqua"/>
          <w:sz w:val="22"/>
          <w:szCs w:val="20"/>
          <w:lang w:eastAsia="es-ES"/>
        </w:rPr>
        <w:t xml:space="preserve"> que aumentaron la cantidad de escritos en el 2022 son,</w:t>
      </w:r>
      <w:r w:rsidR="00ED2D7D" w:rsidRPr="00033E65">
        <w:rPr>
          <w:rFonts w:ascii="Book Antiqua" w:hAnsi="Book Antiqua"/>
          <w:sz w:val="22"/>
          <w:szCs w:val="20"/>
          <w:lang w:eastAsia="es-ES"/>
        </w:rPr>
        <w:t xml:space="preserve"> </w:t>
      </w:r>
      <w:r w:rsidR="00B729B0" w:rsidRPr="00033E65">
        <w:rPr>
          <w:rFonts w:ascii="Book Antiqua" w:hAnsi="Book Antiqua"/>
          <w:sz w:val="22"/>
          <w:szCs w:val="20"/>
          <w:lang w:eastAsia="es-ES"/>
        </w:rPr>
        <w:t xml:space="preserve">Liberia, Pérez Zeledón, Limón, </w:t>
      </w:r>
      <w:r w:rsidRPr="00033E65">
        <w:rPr>
          <w:rFonts w:ascii="Book Antiqua" w:hAnsi="Book Antiqua"/>
          <w:sz w:val="22"/>
          <w:szCs w:val="20"/>
          <w:lang w:eastAsia="es-ES"/>
        </w:rPr>
        <w:t xml:space="preserve">Corredores, Puntarenas y Goicoechea, los cuales </w:t>
      </w:r>
      <w:r w:rsidR="008267EE" w:rsidRPr="00033E65">
        <w:rPr>
          <w:rFonts w:ascii="Book Antiqua" w:hAnsi="Book Antiqua"/>
          <w:sz w:val="22"/>
          <w:szCs w:val="20"/>
          <w:lang w:eastAsia="es-ES"/>
        </w:rPr>
        <w:t>incrementaron</w:t>
      </w:r>
      <w:r w:rsidR="002B5488" w:rsidRPr="00033E65">
        <w:rPr>
          <w:rFonts w:ascii="Book Antiqua" w:hAnsi="Book Antiqua"/>
          <w:sz w:val="22"/>
          <w:szCs w:val="20"/>
          <w:lang w:eastAsia="es-ES"/>
        </w:rPr>
        <w:t xml:space="preserve"> el promedio con </w:t>
      </w:r>
      <w:r w:rsidR="008267EE" w:rsidRPr="00033E65">
        <w:rPr>
          <w:rFonts w:ascii="Book Antiqua" w:hAnsi="Book Antiqua"/>
          <w:sz w:val="22"/>
          <w:szCs w:val="20"/>
          <w:lang w:eastAsia="es-ES"/>
        </w:rPr>
        <w:t xml:space="preserve">diferencias que oscilan entre </w:t>
      </w:r>
      <w:r w:rsidR="00F06C4D" w:rsidRPr="00033E65">
        <w:rPr>
          <w:rFonts w:ascii="Book Antiqua" w:hAnsi="Book Antiqua"/>
          <w:sz w:val="22"/>
          <w:szCs w:val="20"/>
          <w:lang w:eastAsia="es-ES"/>
        </w:rPr>
        <w:t>2</w:t>
      </w:r>
      <w:r w:rsidR="008267EE" w:rsidRPr="00033E65">
        <w:rPr>
          <w:rFonts w:ascii="Book Antiqua" w:hAnsi="Book Antiqua"/>
          <w:sz w:val="22"/>
          <w:szCs w:val="20"/>
          <w:lang w:eastAsia="es-ES"/>
        </w:rPr>
        <w:t xml:space="preserve"> y </w:t>
      </w:r>
      <w:r w:rsidR="00F06C4D" w:rsidRPr="00033E65">
        <w:rPr>
          <w:rFonts w:ascii="Book Antiqua" w:hAnsi="Book Antiqua"/>
          <w:sz w:val="22"/>
          <w:szCs w:val="20"/>
          <w:lang w:eastAsia="es-ES"/>
        </w:rPr>
        <w:t>76</w:t>
      </w:r>
      <w:r w:rsidR="002B5488" w:rsidRPr="00033E65">
        <w:rPr>
          <w:rFonts w:ascii="Book Antiqua" w:hAnsi="Book Antiqua"/>
          <w:sz w:val="22"/>
          <w:szCs w:val="20"/>
          <w:lang w:eastAsia="es-ES"/>
        </w:rPr>
        <w:t xml:space="preserve"> escritos. </w:t>
      </w:r>
      <w:r w:rsidR="0037722A" w:rsidRPr="00033E65">
        <w:rPr>
          <w:rFonts w:ascii="Book Antiqua" w:hAnsi="Book Antiqua"/>
          <w:sz w:val="22"/>
          <w:szCs w:val="20"/>
          <w:lang w:eastAsia="es-ES"/>
        </w:rPr>
        <w:t xml:space="preserve"> </w:t>
      </w:r>
    </w:p>
    <w:p w14:paraId="4D1E1CFF" w14:textId="5DA7B4F5" w:rsidR="00DE2814" w:rsidRPr="00033E65" w:rsidRDefault="00554C4E" w:rsidP="00951D3E">
      <w:pPr>
        <w:pStyle w:val="Ttulo3"/>
      </w:pPr>
      <w:bookmarkStart w:id="194" w:name="_Toc132639547"/>
      <w:r>
        <w:t>7</w:t>
      </w:r>
      <w:r w:rsidR="00A430F0" w:rsidRPr="00033E65">
        <w:t xml:space="preserve">.13 </w:t>
      </w:r>
      <w:r w:rsidR="00DE2814" w:rsidRPr="00033E65">
        <w:t>Cantidad de Demandas Nuevas Pendientes de Resolver</w:t>
      </w:r>
      <w:bookmarkEnd w:id="194"/>
    </w:p>
    <w:p w14:paraId="174B31EA" w14:textId="40575382" w:rsidR="00764962" w:rsidRPr="00033E65" w:rsidRDefault="00756280" w:rsidP="00DE2814">
      <w:r w:rsidRPr="00033E65">
        <w:t xml:space="preserve">La cantidad de demandas nuevas que están pendientes de resolver, son todos esos expedientes de nuevo ingreso que aún no se les ha dado traslado, es decir, aún no se ha iniciado con el conocimiento del caso. Es por ello, que este indicado muestra esa cantidad de casos que aún no se han conocido por parte del Despacho. </w:t>
      </w:r>
    </w:p>
    <w:p w14:paraId="712B6D74" w14:textId="77777777" w:rsidR="008660E1" w:rsidRPr="00033E65" w:rsidRDefault="008660E1" w:rsidP="00DE2814"/>
    <w:p w14:paraId="3AC6983A" w14:textId="4348E67C" w:rsidR="00756280" w:rsidRPr="00033E65" w:rsidRDefault="00756280"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lastRenderedPageBreak/>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14</w:t>
      </w:r>
      <w:r w:rsidRPr="00033E65">
        <w:rPr>
          <w:rFonts w:eastAsia="Times New Roman" w:cs="Arial"/>
          <w:iCs/>
          <w:spacing w:val="0"/>
          <w:szCs w:val="28"/>
          <w:lang w:val="es-CR" w:eastAsia="es-ES"/>
        </w:rPr>
        <w:fldChar w:fldCharType="end"/>
      </w:r>
    </w:p>
    <w:p w14:paraId="796E806F" w14:textId="59D53AF9" w:rsidR="00101D82" w:rsidRPr="00033E65" w:rsidRDefault="00756280" w:rsidP="00BC249D">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Comportamiento de las Cantidad de l</w:t>
      </w:r>
      <w:r w:rsidR="005241BE" w:rsidRPr="00033E65">
        <w:rPr>
          <w:rFonts w:eastAsia="Times New Roman" w:cs="Arial"/>
          <w:spacing w:val="0"/>
          <w:lang w:val="es-CR" w:eastAsia="es-ES"/>
        </w:rPr>
        <w:t>a</w:t>
      </w:r>
      <w:r w:rsidRPr="00033E65">
        <w:rPr>
          <w:rFonts w:eastAsia="Times New Roman" w:cs="Arial"/>
          <w:spacing w:val="0"/>
          <w:lang w:val="es-CR" w:eastAsia="es-ES"/>
        </w:rPr>
        <w:t>s Demandas Nuevas Pendientes de Resolver de los Juzgados Especializados en Ma</w:t>
      </w:r>
      <w:r w:rsidR="00E97F12" w:rsidRPr="00033E65">
        <w:rPr>
          <w:rFonts w:eastAsia="Times New Roman" w:cs="Arial"/>
          <w:spacing w:val="0"/>
          <w:lang w:val="es-CR" w:eastAsia="es-ES"/>
        </w:rPr>
        <w:t>teria Agraria en el Periodo 202</w:t>
      </w:r>
      <w:r w:rsidR="126E88A0" w:rsidRPr="00033E65">
        <w:rPr>
          <w:rFonts w:eastAsia="Times New Roman" w:cs="Arial"/>
          <w:spacing w:val="0"/>
          <w:lang w:val="es-CR" w:eastAsia="es-ES"/>
        </w:rPr>
        <w:t>1</w:t>
      </w:r>
      <w:r w:rsidR="00E97F12" w:rsidRPr="00033E65">
        <w:rPr>
          <w:rFonts w:eastAsia="Times New Roman" w:cs="Arial"/>
          <w:spacing w:val="0"/>
          <w:lang w:val="es-CR" w:eastAsia="es-ES"/>
        </w:rPr>
        <w:t xml:space="preserve"> al 202</w:t>
      </w:r>
      <w:r w:rsidR="7F01F707" w:rsidRPr="00033E65">
        <w:rPr>
          <w:rFonts w:eastAsia="Times New Roman" w:cs="Arial"/>
          <w:spacing w:val="0"/>
          <w:lang w:val="es-CR" w:eastAsia="es-ES"/>
        </w:rPr>
        <w:t>2</w:t>
      </w:r>
    </w:p>
    <w:p w14:paraId="69F9A86E" w14:textId="1520C67C" w:rsidR="622C9D04" w:rsidRPr="00033E65" w:rsidRDefault="00605EBB" w:rsidP="00BC249D">
      <w:pPr>
        <w:tabs>
          <w:tab w:val="left" w:pos="2844"/>
        </w:tabs>
        <w:jc w:val="center"/>
      </w:pPr>
      <w:r w:rsidRPr="00033E65">
        <w:rPr>
          <w:noProof/>
        </w:rPr>
        <w:drawing>
          <wp:inline distT="0" distB="0" distL="0" distR="0" wp14:anchorId="560BAC79" wp14:editId="14F26CFE">
            <wp:extent cx="5084113" cy="3836421"/>
            <wp:effectExtent l="0" t="0" r="2540" b="0"/>
            <wp:docPr id="55" name="Gráfico 55">
              <a:extLst xmlns:a="http://schemas.openxmlformats.org/drawingml/2006/main">
                <a:ext uri="{FF2B5EF4-FFF2-40B4-BE49-F238E27FC236}">
                  <a16:creationId xmlns:a16="http://schemas.microsoft.com/office/drawing/2014/main" id="{A8310C7D-CD7D-46F7-BAC2-E3390226FC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FBF2558" w14:textId="49D95EC6" w:rsidR="00756280" w:rsidRPr="00033E65" w:rsidRDefault="00756280" w:rsidP="00756280">
      <w:pPr>
        <w:tabs>
          <w:tab w:val="left" w:pos="2844"/>
        </w:tabs>
        <w:rPr>
          <w:b/>
          <w:i/>
          <w:sz w:val="18"/>
          <w:szCs w:val="18"/>
          <w:lang w:eastAsia="en-US"/>
        </w:rPr>
      </w:pPr>
      <w:r w:rsidRPr="00033E65">
        <w:rPr>
          <w:b/>
          <w:i/>
          <w:sz w:val="18"/>
          <w:szCs w:val="18"/>
          <w:lang w:eastAsia="en-US"/>
        </w:rPr>
        <w:t xml:space="preserve">Fuente: </w:t>
      </w:r>
      <w:r w:rsidRPr="00033E65">
        <w:rPr>
          <w:b/>
          <w:i/>
          <w:sz w:val="18"/>
          <w:szCs w:val="18"/>
        </w:rPr>
        <w:t>Subproceso de Modernización Institucional</w:t>
      </w:r>
      <w:r w:rsidR="003E23B4" w:rsidRPr="00033E65">
        <w:rPr>
          <w:b/>
          <w:i/>
          <w:sz w:val="18"/>
          <w:szCs w:val="18"/>
        </w:rPr>
        <w:t xml:space="preserve">, área No Penal, con base en la Matriz de Indicadores de Gestión. </w:t>
      </w:r>
    </w:p>
    <w:p w14:paraId="5A89A46C" w14:textId="2A9023F9" w:rsidR="00713993" w:rsidRPr="00033E65" w:rsidRDefault="005D5AD6" w:rsidP="00DE2814">
      <w:bookmarkStart w:id="195" w:name="_Hlk130297481"/>
      <w:r w:rsidRPr="00033E65">
        <w:t xml:space="preserve">Los 12 Juzgados Agrarios mantienen para el 2022 una cantidad aceptable de demandas nuevas pendientes, los cuales no sobrepasan la cantidad de 6, lo cual es aspecto positivo. </w:t>
      </w:r>
      <w:bookmarkEnd w:id="195"/>
      <w:r w:rsidR="00713993" w:rsidRPr="00033E65">
        <w:t>En el caso de Alajuela</w:t>
      </w:r>
      <w:r w:rsidRPr="00033E65">
        <w:t xml:space="preserve"> Pococí y Goicoechea</w:t>
      </w:r>
      <w:r w:rsidR="00713993" w:rsidRPr="00033E65">
        <w:t xml:space="preserve">, mantiene un promedio de cero (0) </w:t>
      </w:r>
      <w:r w:rsidRPr="00033E65">
        <w:t>asuntos nuevos pendientes</w:t>
      </w:r>
      <w:r w:rsidR="00713993" w:rsidRPr="00033E65">
        <w:t>, esto obedece al poco ingreso de carga de trabajo que tiene este Despacho, el cual</w:t>
      </w:r>
      <w:r w:rsidR="008300C9" w:rsidRPr="00033E65">
        <w:t xml:space="preserve"> les permite mantener sus trámites al día.</w:t>
      </w:r>
      <w:r w:rsidR="00713993" w:rsidRPr="00033E65">
        <w:t xml:space="preserve"> </w:t>
      </w:r>
    </w:p>
    <w:p w14:paraId="6D759B33" w14:textId="657988E4" w:rsidR="007A1534" w:rsidRPr="00033E65" w:rsidRDefault="00554C4E" w:rsidP="00951D3E">
      <w:pPr>
        <w:pStyle w:val="Ttulo3"/>
      </w:pPr>
      <w:bookmarkStart w:id="196" w:name="_Toc132639548"/>
      <w:r>
        <w:t>7</w:t>
      </w:r>
      <w:r w:rsidR="00A430F0" w:rsidRPr="00033E65">
        <w:t xml:space="preserve">.14 </w:t>
      </w:r>
      <w:r w:rsidR="007A1534" w:rsidRPr="00033E65">
        <w:t xml:space="preserve">Expedientes Pasados a Firmar </w:t>
      </w:r>
      <w:r w:rsidR="00C03209" w:rsidRPr="00033E65">
        <w:t>por persona Técnica Judicial al Personal Juzgador</w:t>
      </w:r>
      <w:bookmarkEnd w:id="196"/>
    </w:p>
    <w:p w14:paraId="53CFD6CE" w14:textId="5FC76EE0" w:rsidR="00974B79" w:rsidRPr="00033E65" w:rsidRDefault="00974B79" w:rsidP="00974B79">
      <w:pPr>
        <w:rPr>
          <w:lang w:val="es-MX"/>
        </w:rPr>
      </w:pPr>
      <w:r w:rsidRPr="00033E65">
        <w:rPr>
          <w:lang w:val="es-MX"/>
        </w:rPr>
        <w:t xml:space="preserve">Este indicador muestra la cantidad de expedientes pasados a firmar por persona técnica judicial al personal juzgador; lo que normalmente se le conoce como proveído generado por la Técnica o Técnico Judicial. Por lo anterior, es importante la aplicación de este indicador, ya que muestra si el personal técnico judicial cumple con cuotas de trabajo, la cual se implementó </w:t>
      </w:r>
      <w:r w:rsidR="002C5EA0" w:rsidRPr="00033E65">
        <w:rPr>
          <w:lang w:val="es-MX"/>
        </w:rPr>
        <w:t>entre 9 y</w:t>
      </w:r>
      <w:r w:rsidRPr="00033E65">
        <w:rPr>
          <w:lang w:val="es-MX"/>
        </w:rPr>
        <w:t xml:space="preserve"> 1</w:t>
      </w:r>
      <w:r w:rsidR="001F1B95" w:rsidRPr="00033E65">
        <w:rPr>
          <w:lang w:val="es-MX"/>
        </w:rPr>
        <w:t>2</w:t>
      </w:r>
      <w:r w:rsidRPr="00033E65">
        <w:rPr>
          <w:lang w:val="es-MX"/>
        </w:rPr>
        <w:t xml:space="preserve"> expedientes tramitados por día, la cual puede variar de acuerdo con la ejecución de otras tareas fuera del trámite, como por ejemplo la realización de giras in situ para la realización de audiencias, atención de usuarios en el área de manifestación, </w:t>
      </w:r>
      <w:r w:rsidRPr="00033E65">
        <w:rPr>
          <w:lang w:val="es-MX"/>
        </w:rPr>
        <w:lastRenderedPageBreak/>
        <w:t>entre otras. En el siguiente gráfico se muestra la comparación de proveído generado por el personal técnico judicial de cada Juzgado especializado del país, en el cual se c</w:t>
      </w:r>
      <w:r w:rsidR="005903F8" w:rsidRPr="00033E65">
        <w:rPr>
          <w:lang w:val="es-MX"/>
        </w:rPr>
        <w:t>onsidera lo realizado en el 2020 al 2021</w:t>
      </w:r>
      <w:r w:rsidRPr="00033E65">
        <w:rPr>
          <w:lang w:val="es-MX"/>
        </w:rPr>
        <w:t xml:space="preserve">. </w:t>
      </w:r>
    </w:p>
    <w:p w14:paraId="67709099" w14:textId="027774A5" w:rsidR="00974B79" w:rsidRPr="00033E65" w:rsidRDefault="00974B79"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15</w:t>
      </w:r>
      <w:r w:rsidRPr="00033E65">
        <w:rPr>
          <w:rFonts w:eastAsia="Times New Roman" w:cs="Arial"/>
          <w:iCs/>
          <w:spacing w:val="0"/>
          <w:szCs w:val="28"/>
          <w:lang w:val="es-CR" w:eastAsia="es-ES"/>
        </w:rPr>
        <w:fldChar w:fldCharType="end"/>
      </w:r>
    </w:p>
    <w:p w14:paraId="4F86EFB3" w14:textId="4A64BBAB" w:rsidR="1A937F13" w:rsidRPr="00033E65" w:rsidRDefault="00974B79" w:rsidP="00BC249D">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Comportamiento de las Cantidad de Expedientes Pasados a Firmar al personal juzgador por parte del personal técnico judicial de los Juzgados Especializados en Ma</w:t>
      </w:r>
      <w:r w:rsidR="00D77793" w:rsidRPr="00033E65">
        <w:rPr>
          <w:rFonts w:eastAsia="Times New Roman" w:cs="Arial"/>
          <w:spacing w:val="0"/>
          <w:lang w:val="es-CR" w:eastAsia="es-ES"/>
        </w:rPr>
        <w:t>teria Agraria en el Periodo 202</w:t>
      </w:r>
      <w:r w:rsidR="4C83D53D" w:rsidRPr="00033E65">
        <w:rPr>
          <w:rFonts w:eastAsia="Times New Roman" w:cs="Arial"/>
          <w:spacing w:val="0"/>
          <w:lang w:val="es-CR" w:eastAsia="es-ES"/>
        </w:rPr>
        <w:t>1</w:t>
      </w:r>
      <w:r w:rsidR="00D77793" w:rsidRPr="00033E65">
        <w:rPr>
          <w:rFonts w:eastAsia="Times New Roman" w:cs="Arial"/>
          <w:spacing w:val="0"/>
          <w:lang w:val="es-CR" w:eastAsia="es-ES"/>
        </w:rPr>
        <w:t xml:space="preserve"> al 202</w:t>
      </w:r>
      <w:r w:rsidR="7A3302F2" w:rsidRPr="00033E65">
        <w:rPr>
          <w:rFonts w:eastAsia="Times New Roman" w:cs="Arial"/>
          <w:spacing w:val="0"/>
          <w:lang w:val="es-CR" w:eastAsia="es-ES"/>
        </w:rPr>
        <w:t>2</w:t>
      </w:r>
    </w:p>
    <w:p w14:paraId="4C8D47B5" w14:textId="3D1C4774" w:rsidR="1A937F13" w:rsidRPr="00033E65" w:rsidRDefault="00FD6A91" w:rsidP="00BC249D">
      <w:pPr>
        <w:tabs>
          <w:tab w:val="left" w:pos="2844"/>
        </w:tabs>
        <w:jc w:val="center"/>
      </w:pPr>
      <w:r w:rsidRPr="00033E65">
        <w:rPr>
          <w:noProof/>
        </w:rPr>
        <w:drawing>
          <wp:inline distT="0" distB="0" distL="0" distR="0" wp14:anchorId="1518E542" wp14:editId="70D03CDD">
            <wp:extent cx="5096703" cy="3792773"/>
            <wp:effectExtent l="0" t="0" r="8890" b="0"/>
            <wp:docPr id="57" name="Gráfico 57">
              <a:extLst xmlns:a="http://schemas.openxmlformats.org/drawingml/2006/main">
                <a:ext uri="{FF2B5EF4-FFF2-40B4-BE49-F238E27FC236}">
                  <a16:creationId xmlns:a16="http://schemas.microsoft.com/office/drawing/2014/main" id="{D4FF9C2B-DAE9-4690-AD12-732C8E111C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9D21B24" w14:textId="0DBD6F43" w:rsidR="0060770D" w:rsidRPr="00033E65" w:rsidRDefault="0060770D" w:rsidP="0060770D">
      <w:pPr>
        <w:tabs>
          <w:tab w:val="left" w:pos="2844"/>
        </w:tabs>
        <w:rPr>
          <w:b/>
          <w:i/>
          <w:sz w:val="18"/>
          <w:szCs w:val="18"/>
          <w:lang w:eastAsia="en-US"/>
        </w:rPr>
      </w:pPr>
      <w:r w:rsidRPr="00033E65">
        <w:rPr>
          <w:b/>
          <w:i/>
          <w:sz w:val="18"/>
          <w:szCs w:val="18"/>
          <w:lang w:eastAsia="en-US"/>
        </w:rPr>
        <w:t xml:space="preserve">Fuente: </w:t>
      </w:r>
      <w:r w:rsidRPr="00033E65">
        <w:rPr>
          <w:b/>
          <w:i/>
          <w:sz w:val="18"/>
          <w:szCs w:val="18"/>
        </w:rPr>
        <w:t>Subproceso de Modernización Institucional</w:t>
      </w:r>
      <w:r w:rsidR="00CF3290" w:rsidRPr="00033E65">
        <w:rPr>
          <w:b/>
          <w:i/>
          <w:sz w:val="18"/>
          <w:szCs w:val="18"/>
        </w:rPr>
        <w:t xml:space="preserve">, área No Penal, con base en la Matriz de Indicadores de Gestión. </w:t>
      </w:r>
    </w:p>
    <w:p w14:paraId="2C67E29C" w14:textId="730C1EB4" w:rsidR="0060770D" w:rsidRPr="00033E65" w:rsidRDefault="00D5223A" w:rsidP="00974B79">
      <w:r w:rsidRPr="00033E65">
        <w:t>El 100%</w:t>
      </w:r>
      <w:r w:rsidR="00C250CD" w:rsidRPr="00033E65">
        <w:t xml:space="preserve"> de los Juzgados</w:t>
      </w:r>
      <w:r w:rsidR="00C14B3A" w:rsidRPr="00033E65">
        <w:t xml:space="preserve"> Agrarios</w:t>
      </w:r>
      <w:r w:rsidR="00BC249D" w:rsidRPr="00033E65">
        <w:t xml:space="preserve"> </w:t>
      </w:r>
      <w:r w:rsidR="00C14B3A" w:rsidRPr="00033E65">
        <w:t>logr</w:t>
      </w:r>
      <w:r w:rsidR="00BC249D" w:rsidRPr="00033E65">
        <w:t>aron</w:t>
      </w:r>
      <w:r w:rsidR="00C14B3A" w:rsidRPr="00033E65">
        <w:t xml:space="preserve"> que su </w:t>
      </w:r>
      <w:r w:rsidR="00C250CD" w:rsidRPr="00033E65">
        <w:t xml:space="preserve">personal técnico judicial consigue aumentar la cantidad de proveído generado al mes, </w:t>
      </w:r>
      <w:r w:rsidR="00FE6CC3" w:rsidRPr="00033E65">
        <w:t xml:space="preserve">el cual </w:t>
      </w:r>
      <w:r w:rsidR="002D6F9F" w:rsidRPr="00033E65">
        <w:t>aumentó sustancialmente</w:t>
      </w:r>
      <w:r w:rsidR="00BC249D" w:rsidRPr="00033E65">
        <w:t xml:space="preserve"> </w:t>
      </w:r>
      <w:r w:rsidR="00FE6CC3" w:rsidRPr="00033E65">
        <w:t>con respecto al 202</w:t>
      </w:r>
      <w:r w:rsidR="00C14B3A" w:rsidRPr="00033E65">
        <w:t>1</w:t>
      </w:r>
      <w:r w:rsidR="002D6F9F" w:rsidRPr="00033E65">
        <w:t xml:space="preserve"> hasta cuatro o cinco veces más</w:t>
      </w:r>
      <w:r w:rsidR="0088363D" w:rsidRPr="00033E65">
        <w:t xml:space="preserve">. </w:t>
      </w:r>
    </w:p>
    <w:p w14:paraId="3E350B67" w14:textId="49707C3A" w:rsidR="008E68EE" w:rsidRPr="00033E65" w:rsidRDefault="002D6F9F" w:rsidP="00974B79">
      <w:r w:rsidRPr="00033E65">
        <w:t>Esta labor a mejorado en vista que l</w:t>
      </w:r>
      <w:r w:rsidR="00DB7C1A" w:rsidRPr="00033E65">
        <w:t>os efectos de la pandemia COVID-19 han ido disminuyendo con relación a la presencialidad del personal en las oficinas y aumento en el acceso a licencias para el aumento en la eficiencia en modalidad de teletrabajo.</w:t>
      </w:r>
    </w:p>
    <w:p w14:paraId="731E6383" w14:textId="7634944A" w:rsidR="008E68EE" w:rsidRPr="00033E65" w:rsidRDefault="00A52B39" w:rsidP="00974B79">
      <w:r w:rsidRPr="00033E65">
        <w:t xml:space="preserve">En promedio general se </w:t>
      </w:r>
      <w:r w:rsidR="000B6DC4" w:rsidRPr="00033E65">
        <w:t xml:space="preserve">tiene un total mensual de 3669 asuntos pasados a firmar </w:t>
      </w:r>
      <w:r w:rsidRPr="00033E65">
        <w:t xml:space="preserve">durante el 2022, lo que se </w:t>
      </w:r>
      <w:r w:rsidR="000B6DC4" w:rsidRPr="00033E65">
        <w:t>promedia entre la cantidad de personas técnicas judiciales de los Juzgados especializados de materia Agraria y se obtiene un</w:t>
      </w:r>
      <w:r w:rsidRPr="00033E65">
        <w:t xml:space="preserve"> promedio diario de </w:t>
      </w:r>
      <w:r w:rsidR="000B6DC4" w:rsidRPr="00033E65">
        <w:t>5</w:t>
      </w:r>
      <w:r w:rsidR="00C60D34" w:rsidRPr="00033E65">
        <w:t xml:space="preserve"> expedientes pasados </w:t>
      </w:r>
      <w:r w:rsidR="00C60D34" w:rsidRPr="00033E65">
        <w:lastRenderedPageBreak/>
        <w:t xml:space="preserve">a firmar por </w:t>
      </w:r>
      <w:r w:rsidR="000B6DC4" w:rsidRPr="00033E65">
        <w:t>persona técnica judicial</w:t>
      </w:r>
      <w:r w:rsidR="00C60D34" w:rsidRPr="00033E65">
        <w:t xml:space="preserve">, </w:t>
      </w:r>
      <w:r w:rsidR="000B6DC4" w:rsidRPr="00033E65">
        <w:t>lo que refleja</w:t>
      </w:r>
      <w:r w:rsidR="007109C9" w:rsidRPr="00033E65">
        <w:t xml:space="preserve"> que dicha</w:t>
      </w:r>
      <w:r w:rsidR="00C60D34" w:rsidRPr="00033E65">
        <w:t xml:space="preserve"> cantidad no alcanza la cuota mínima establecida diaria de 9 asuntos.</w:t>
      </w:r>
    </w:p>
    <w:p w14:paraId="62505A7D" w14:textId="77777777" w:rsidR="00DB7C1A" w:rsidRPr="00033E65" w:rsidRDefault="00DB7C1A" w:rsidP="00974B79"/>
    <w:p w14:paraId="097903FF" w14:textId="7348FDCB" w:rsidR="00C03209" w:rsidRPr="00033E65" w:rsidRDefault="00554C4E" w:rsidP="00951D3E">
      <w:pPr>
        <w:pStyle w:val="Ttulo3"/>
      </w:pPr>
      <w:bookmarkStart w:id="197" w:name="_Toc132639549"/>
      <w:r>
        <w:t>7</w:t>
      </w:r>
      <w:r w:rsidR="00A430F0" w:rsidRPr="00033E65">
        <w:t xml:space="preserve">.15 </w:t>
      </w:r>
      <w:r w:rsidR="00C03209" w:rsidRPr="00033E65">
        <w:t xml:space="preserve">Cantidad de Sentencias Dictadas </w:t>
      </w:r>
      <w:r w:rsidR="00F55EEF" w:rsidRPr="00033E65">
        <w:t>y Otros Motivos de Término</w:t>
      </w:r>
      <w:r w:rsidR="00C72920" w:rsidRPr="00033E65">
        <w:t xml:space="preserve"> </w:t>
      </w:r>
      <w:r w:rsidR="00C03209" w:rsidRPr="00033E65">
        <w:t>por Persona Juzgadora</w:t>
      </w:r>
      <w:bookmarkEnd w:id="197"/>
    </w:p>
    <w:p w14:paraId="6AE594BE" w14:textId="25C7A5D6" w:rsidR="004667AD" w:rsidRPr="00033E65" w:rsidRDefault="00712A0C" w:rsidP="00BE700C">
      <w:pPr>
        <w:rPr>
          <w:lang w:val="es-MX"/>
        </w:rPr>
      </w:pPr>
      <w:r w:rsidRPr="00033E65">
        <w:rPr>
          <w:lang w:val="es-MX"/>
        </w:rPr>
        <w:t xml:space="preserve">Este indicador muestra la cantidad de sentencias </w:t>
      </w:r>
      <w:r w:rsidR="00766E23" w:rsidRPr="00033E65">
        <w:rPr>
          <w:lang w:val="es-MX"/>
        </w:rPr>
        <w:t xml:space="preserve">y otros motivos de término </w:t>
      </w:r>
      <w:r w:rsidRPr="00033E65">
        <w:rPr>
          <w:lang w:val="es-MX"/>
        </w:rPr>
        <w:t>generad</w:t>
      </w:r>
      <w:r w:rsidR="00766E23" w:rsidRPr="00033E65">
        <w:rPr>
          <w:lang w:val="es-MX"/>
        </w:rPr>
        <w:t>o</w:t>
      </w:r>
      <w:r w:rsidRPr="00033E65">
        <w:rPr>
          <w:lang w:val="es-MX"/>
        </w:rPr>
        <w:t xml:space="preserve">s por persona juzgadora al mes en cada uno de los Juzgados especializados. En el informe 555-PLA-RH-MI-2020 denominado “Impacto organizacional y presupuestario en el Poder Judicial a partir de la promulgación del Nuevo Código Procesal Agrario para el 2021. Ley 9609”, establece una cuota de trabajo de trabajo de 15 casos terminados, de los cuales seis (6) casos deben ser por sentencia (sentencia dictada, homologaciones y sentencias en ejecución) y nueve (9) casos por otros motivos de término. En el siguiente análisis se mostrará la comparación de la cantidad de casos terminados </w:t>
      </w:r>
      <w:r w:rsidR="00243816" w:rsidRPr="00033E65">
        <w:rPr>
          <w:lang w:val="es-MX"/>
        </w:rPr>
        <w:t xml:space="preserve">mensuales </w:t>
      </w:r>
      <w:r w:rsidR="00ED6EAE" w:rsidRPr="00033E65">
        <w:rPr>
          <w:lang w:val="es-MX"/>
        </w:rPr>
        <w:t>por persona juzgadora en el 202</w:t>
      </w:r>
      <w:r w:rsidR="00DB0775" w:rsidRPr="00033E65">
        <w:rPr>
          <w:lang w:val="es-MX"/>
        </w:rPr>
        <w:t>2</w:t>
      </w:r>
      <w:r w:rsidR="00ED6EAE" w:rsidRPr="00033E65">
        <w:rPr>
          <w:lang w:val="es-MX"/>
        </w:rPr>
        <w:t xml:space="preserve"> en relación con el 202</w:t>
      </w:r>
      <w:r w:rsidR="00DB0775" w:rsidRPr="00033E65">
        <w:rPr>
          <w:lang w:val="es-MX"/>
        </w:rPr>
        <w:t>2</w:t>
      </w:r>
      <w:r w:rsidRPr="00033E65">
        <w:rPr>
          <w:lang w:val="es-MX"/>
        </w:rPr>
        <w:t xml:space="preserve">. </w:t>
      </w:r>
    </w:p>
    <w:p w14:paraId="762693E8" w14:textId="77777777" w:rsidR="004667AD" w:rsidRPr="00033E65" w:rsidRDefault="004667AD" w:rsidP="003F0A3A">
      <w:pPr>
        <w:pStyle w:val="Ttulo"/>
        <w:spacing w:before="0" w:after="0"/>
        <w:jc w:val="center"/>
        <w:rPr>
          <w:rFonts w:eastAsia="Times New Roman" w:cs="Arial"/>
          <w:iCs/>
          <w:spacing w:val="0"/>
          <w:szCs w:val="28"/>
          <w:lang w:val="es-CR" w:eastAsia="es-ES"/>
        </w:rPr>
      </w:pPr>
    </w:p>
    <w:p w14:paraId="0DC05BA5" w14:textId="04882600" w:rsidR="00712A0C" w:rsidRPr="00033E65" w:rsidRDefault="00712A0C"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16</w:t>
      </w:r>
      <w:r w:rsidRPr="00033E65">
        <w:rPr>
          <w:rFonts w:eastAsia="Times New Roman" w:cs="Arial"/>
          <w:iCs/>
          <w:spacing w:val="0"/>
          <w:szCs w:val="28"/>
          <w:lang w:val="es-CR" w:eastAsia="es-ES"/>
        </w:rPr>
        <w:fldChar w:fldCharType="end"/>
      </w:r>
    </w:p>
    <w:p w14:paraId="2BFD4F21" w14:textId="4BE12BCB" w:rsidR="7BD1F789" w:rsidRPr="00033E65" w:rsidRDefault="00712A0C" w:rsidP="00BC249D">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Comportamiento de la Cantidad de Sentencias Dictadas</w:t>
      </w:r>
      <w:r w:rsidR="00F55EEF" w:rsidRPr="00033E65">
        <w:rPr>
          <w:rFonts w:eastAsia="Times New Roman" w:cs="Arial"/>
          <w:spacing w:val="0"/>
          <w:lang w:val="es-CR" w:eastAsia="es-ES"/>
        </w:rPr>
        <w:t xml:space="preserve"> y Otros Motivos de Término</w:t>
      </w:r>
      <w:r w:rsidRPr="00033E65">
        <w:rPr>
          <w:rFonts w:eastAsia="Times New Roman" w:cs="Arial"/>
          <w:spacing w:val="0"/>
          <w:lang w:val="es-CR" w:eastAsia="es-ES"/>
        </w:rPr>
        <w:t xml:space="preserve"> por Persona Juzgadora de los Juzgados Especializados en Ma</w:t>
      </w:r>
      <w:r w:rsidR="00BE700C" w:rsidRPr="00033E65">
        <w:rPr>
          <w:rFonts w:eastAsia="Times New Roman" w:cs="Arial"/>
          <w:spacing w:val="0"/>
          <w:lang w:val="es-CR" w:eastAsia="es-ES"/>
        </w:rPr>
        <w:t>teria Agraria en el Periodo 202</w:t>
      </w:r>
      <w:r w:rsidR="50BDB79A" w:rsidRPr="00033E65">
        <w:rPr>
          <w:rFonts w:eastAsia="Times New Roman" w:cs="Arial"/>
          <w:spacing w:val="0"/>
          <w:lang w:val="es-CR" w:eastAsia="es-ES"/>
        </w:rPr>
        <w:t>1</w:t>
      </w:r>
      <w:r w:rsidR="00BE700C" w:rsidRPr="00033E65">
        <w:rPr>
          <w:rFonts w:eastAsia="Times New Roman" w:cs="Arial"/>
          <w:spacing w:val="0"/>
          <w:lang w:val="es-CR" w:eastAsia="es-ES"/>
        </w:rPr>
        <w:t xml:space="preserve"> al 202</w:t>
      </w:r>
      <w:r w:rsidR="53B7B68F" w:rsidRPr="00033E65">
        <w:rPr>
          <w:rFonts w:eastAsia="Times New Roman" w:cs="Arial"/>
          <w:spacing w:val="0"/>
          <w:lang w:val="es-CR" w:eastAsia="es-ES"/>
        </w:rPr>
        <w:t>2</w:t>
      </w:r>
      <w:r w:rsidR="000450A8" w:rsidRPr="00033E65">
        <w:rPr>
          <w:rFonts w:eastAsia="Times New Roman" w:cs="Arial"/>
          <w:spacing w:val="0"/>
          <w:lang w:val="es-CR" w:eastAsia="es-ES"/>
        </w:rPr>
        <w:t xml:space="preserve"> </w:t>
      </w:r>
      <w:r w:rsidR="0037722A" w:rsidRPr="00033E65">
        <w:rPr>
          <w:rFonts w:eastAsia="Times New Roman" w:cs="Arial"/>
          <w:spacing w:val="0"/>
          <w:lang w:val="es-CR" w:eastAsia="es-ES"/>
        </w:rPr>
        <w:t>(promedios mensuales)</w:t>
      </w:r>
    </w:p>
    <w:p w14:paraId="18AF63F0" w14:textId="4F465A07" w:rsidR="742AC9D6" w:rsidRPr="00033E65" w:rsidRDefault="00897BF2" w:rsidP="00BC249D">
      <w:pPr>
        <w:tabs>
          <w:tab w:val="left" w:pos="2844"/>
        </w:tabs>
        <w:jc w:val="center"/>
      </w:pPr>
      <w:r w:rsidRPr="00033E65">
        <w:rPr>
          <w:noProof/>
        </w:rPr>
        <w:drawing>
          <wp:inline distT="0" distB="0" distL="0" distR="0" wp14:anchorId="58F8972F" wp14:editId="7A6930DC">
            <wp:extent cx="5144411" cy="3768918"/>
            <wp:effectExtent l="0" t="0" r="0" b="3175"/>
            <wp:docPr id="58" name="Gráfico 58">
              <a:extLst xmlns:a="http://schemas.openxmlformats.org/drawingml/2006/main">
                <a:ext uri="{FF2B5EF4-FFF2-40B4-BE49-F238E27FC236}">
                  <a16:creationId xmlns:a16="http://schemas.microsoft.com/office/drawing/2014/main" id="{4673B8DA-23AF-426D-B43D-EF9A9B7BE9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4E95ED5" w14:textId="3CC8EE25" w:rsidR="7BD1F789" w:rsidRPr="00033E65" w:rsidRDefault="7BD1F789" w:rsidP="7BD1F789">
      <w:pPr>
        <w:tabs>
          <w:tab w:val="left" w:pos="2844"/>
        </w:tabs>
        <w:rPr>
          <w:b/>
          <w:bCs/>
          <w:i/>
          <w:iCs/>
          <w:sz w:val="18"/>
          <w:szCs w:val="18"/>
          <w:lang w:eastAsia="en-US"/>
        </w:rPr>
      </w:pPr>
    </w:p>
    <w:p w14:paraId="74A06E5E" w14:textId="2C96E0CF" w:rsidR="00712A0C" w:rsidRPr="00033E65" w:rsidRDefault="00712A0C" w:rsidP="00712A0C">
      <w:pPr>
        <w:tabs>
          <w:tab w:val="left" w:pos="2844"/>
        </w:tabs>
        <w:rPr>
          <w:b/>
          <w:i/>
          <w:sz w:val="18"/>
          <w:szCs w:val="18"/>
          <w:lang w:eastAsia="en-US"/>
        </w:rPr>
      </w:pPr>
      <w:r w:rsidRPr="00033E65">
        <w:rPr>
          <w:b/>
          <w:i/>
          <w:sz w:val="18"/>
          <w:szCs w:val="18"/>
          <w:lang w:eastAsia="en-US"/>
        </w:rPr>
        <w:t xml:space="preserve">Fuente: </w:t>
      </w:r>
      <w:r w:rsidRPr="00033E65">
        <w:rPr>
          <w:b/>
          <w:i/>
          <w:sz w:val="18"/>
          <w:szCs w:val="18"/>
        </w:rPr>
        <w:t>Subproceso de Modernización Institucional</w:t>
      </w:r>
      <w:r w:rsidR="006072F8" w:rsidRPr="00033E65">
        <w:rPr>
          <w:b/>
          <w:i/>
          <w:sz w:val="18"/>
          <w:szCs w:val="18"/>
        </w:rPr>
        <w:t>, área No Penal, con base en la Matriz de Indicadores de Gestión.</w:t>
      </w:r>
      <w:r w:rsidR="00491229" w:rsidRPr="00033E65">
        <w:rPr>
          <w:b/>
          <w:i/>
          <w:sz w:val="18"/>
          <w:szCs w:val="18"/>
          <w:lang w:eastAsia="en-US"/>
        </w:rPr>
        <w:t xml:space="preserve"> </w:t>
      </w:r>
    </w:p>
    <w:p w14:paraId="13E70014" w14:textId="0F873B82" w:rsidR="00B3599D" w:rsidRPr="00033E65" w:rsidRDefault="00F55EEF" w:rsidP="00C03209">
      <w:r w:rsidRPr="00033E65">
        <w:t>De acuerdo con los datos anteriores, se evidencia que los</w:t>
      </w:r>
      <w:r w:rsidR="00E53E5A" w:rsidRPr="00033E65">
        <w:t xml:space="preserve"> Despachos Agrarios para el 202</w:t>
      </w:r>
      <w:r w:rsidR="00B3599D" w:rsidRPr="00033E65">
        <w:t>2</w:t>
      </w:r>
      <w:r w:rsidRPr="00033E65">
        <w:t xml:space="preserve">, </w:t>
      </w:r>
      <w:r w:rsidR="00E53E5A" w:rsidRPr="00033E65">
        <w:t>aumentaron</w:t>
      </w:r>
      <w:r w:rsidRPr="00033E65">
        <w:t xml:space="preserve"> la producción del dictado de s</w:t>
      </w:r>
      <w:r w:rsidR="00E53E5A" w:rsidRPr="00033E65">
        <w:t>entencia en relación con el 202</w:t>
      </w:r>
      <w:r w:rsidR="00B3599D" w:rsidRPr="00033E65">
        <w:t>1</w:t>
      </w:r>
      <w:r w:rsidRPr="00033E65">
        <w:t xml:space="preserve">. </w:t>
      </w:r>
    </w:p>
    <w:p w14:paraId="4EAB0E39" w14:textId="1857C8FD" w:rsidR="004667AD" w:rsidRPr="00033E65" w:rsidRDefault="00E53E5A" w:rsidP="00C03209">
      <w:bookmarkStart w:id="198" w:name="_Hlk130297561"/>
      <w:r w:rsidRPr="00033E65">
        <w:t>Para el 202</w:t>
      </w:r>
      <w:r w:rsidR="00891057" w:rsidRPr="00033E65">
        <w:t>2</w:t>
      </w:r>
      <w:r w:rsidRPr="00033E65">
        <w:t xml:space="preserve"> se obtuvo un promedio de 1</w:t>
      </w:r>
      <w:r w:rsidR="00891057" w:rsidRPr="00033E65">
        <w:t>1</w:t>
      </w:r>
      <w:r w:rsidR="00F55EEF" w:rsidRPr="00033E65">
        <w:t xml:space="preserve"> casos terminados por persona juzgadora, </w:t>
      </w:r>
      <w:r w:rsidR="00D203A4" w:rsidRPr="00033E65">
        <w:t>de los cuales el 39</w:t>
      </w:r>
      <w:r w:rsidR="00F55EEF" w:rsidRPr="00033E65">
        <w:t>% equi</w:t>
      </w:r>
      <w:r w:rsidR="00D203A4" w:rsidRPr="00033E65">
        <w:t>valen a Sentencias Dictadas y 61</w:t>
      </w:r>
      <w:r w:rsidR="00F55EEF" w:rsidRPr="00033E65">
        <w:t>% a otros motivos de término.</w:t>
      </w:r>
      <w:r w:rsidR="00C56D2F" w:rsidRPr="00033E65">
        <w:t xml:space="preserve"> </w:t>
      </w:r>
    </w:p>
    <w:bookmarkEnd w:id="198"/>
    <w:p w14:paraId="2F949B41" w14:textId="77777777" w:rsidR="00C56D2F" w:rsidRPr="00033E65" w:rsidRDefault="00C56D2F" w:rsidP="00C03209"/>
    <w:p w14:paraId="38B7A416" w14:textId="6DD6028C" w:rsidR="00E73C38" w:rsidRPr="00033E65" w:rsidRDefault="00554C4E" w:rsidP="00951D3E">
      <w:pPr>
        <w:pStyle w:val="Ttulo3"/>
      </w:pPr>
      <w:bookmarkStart w:id="199" w:name="_Toc132639550"/>
      <w:r>
        <w:t>7</w:t>
      </w:r>
      <w:r w:rsidR="00A430F0" w:rsidRPr="00033E65">
        <w:t xml:space="preserve">.16 </w:t>
      </w:r>
      <w:r w:rsidR="00E73C38" w:rsidRPr="00033E65">
        <w:t>Cantidad de Expedientes Firmados por Persona Juzgadora</w:t>
      </w:r>
      <w:bookmarkEnd w:id="199"/>
    </w:p>
    <w:p w14:paraId="781EC1C5" w14:textId="7A9CF6CF" w:rsidR="00E73C38" w:rsidRPr="00033E65" w:rsidRDefault="00E73C38" w:rsidP="00E73C38">
      <w:pPr>
        <w:rPr>
          <w:lang w:val="es-MX"/>
        </w:rPr>
      </w:pPr>
      <w:r w:rsidRPr="00033E65">
        <w:rPr>
          <w:lang w:val="es-MX"/>
        </w:rPr>
        <w:t>Esta cantidad de expedientes</w:t>
      </w:r>
      <w:r w:rsidR="00E023FF" w:rsidRPr="00033E65">
        <w:rPr>
          <w:lang w:val="es-MX"/>
        </w:rPr>
        <w:t xml:space="preserve"> representa</w:t>
      </w:r>
      <w:r w:rsidRPr="00033E65">
        <w:rPr>
          <w:lang w:val="es-MX"/>
        </w:rPr>
        <w:t xml:space="preserve"> todo el proveído pasado a firmar por el personal técnico judicial al personal juzgador</w:t>
      </w:r>
      <w:r w:rsidR="00E023FF" w:rsidRPr="00033E65">
        <w:rPr>
          <w:lang w:val="es-MX"/>
        </w:rPr>
        <w:t xml:space="preserve"> durante al mes, por lo que a continuación se realiza un </w:t>
      </w:r>
      <w:r w:rsidR="00E46409" w:rsidRPr="00033E65">
        <w:rPr>
          <w:lang w:val="es-MX"/>
        </w:rPr>
        <w:t>gráfico</w:t>
      </w:r>
      <w:r w:rsidR="005B3DAB" w:rsidRPr="00033E65">
        <w:rPr>
          <w:lang w:val="es-MX"/>
        </w:rPr>
        <w:t xml:space="preserve"> de lo generado en el 202</w:t>
      </w:r>
      <w:r w:rsidR="00D46E40" w:rsidRPr="00033E65">
        <w:rPr>
          <w:lang w:val="es-MX"/>
        </w:rPr>
        <w:t>2</w:t>
      </w:r>
      <w:r w:rsidR="00E023FF" w:rsidRPr="00033E65">
        <w:rPr>
          <w:lang w:val="es-MX"/>
        </w:rPr>
        <w:t xml:space="preserve"> con re</w:t>
      </w:r>
      <w:r w:rsidR="005B3DAB" w:rsidRPr="00033E65">
        <w:rPr>
          <w:lang w:val="es-MX"/>
        </w:rPr>
        <w:t>lación al 202</w:t>
      </w:r>
      <w:r w:rsidR="00D46E40" w:rsidRPr="00033E65">
        <w:rPr>
          <w:lang w:val="es-MX"/>
        </w:rPr>
        <w:t>1</w:t>
      </w:r>
      <w:r w:rsidR="00E023FF" w:rsidRPr="00033E65">
        <w:rPr>
          <w:lang w:val="es-MX"/>
        </w:rPr>
        <w:t xml:space="preserve">. </w:t>
      </w:r>
    </w:p>
    <w:p w14:paraId="72B56D24" w14:textId="77777777" w:rsidR="009763EE" w:rsidRPr="00033E65" w:rsidRDefault="009763EE" w:rsidP="00E73C38">
      <w:pPr>
        <w:rPr>
          <w:lang w:val="es-MX"/>
        </w:rPr>
      </w:pPr>
    </w:p>
    <w:p w14:paraId="4EFCA457" w14:textId="1F1CF964" w:rsidR="00E023FF" w:rsidRPr="00033E65" w:rsidRDefault="00E023FF"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17</w:t>
      </w:r>
      <w:r w:rsidRPr="00033E65">
        <w:rPr>
          <w:rFonts w:eastAsia="Times New Roman" w:cs="Arial"/>
          <w:iCs/>
          <w:spacing w:val="0"/>
          <w:szCs w:val="28"/>
          <w:lang w:val="es-CR" w:eastAsia="es-ES"/>
        </w:rPr>
        <w:fldChar w:fldCharType="end"/>
      </w:r>
    </w:p>
    <w:p w14:paraId="068B2838" w14:textId="36BCFD89" w:rsidR="7BD1F789" w:rsidRPr="00033E65" w:rsidRDefault="00E023FF" w:rsidP="00BC249D">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 xml:space="preserve">Comportamiento de la </w:t>
      </w:r>
      <w:r w:rsidR="0097210C" w:rsidRPr="00033E65">
        <w:rPr>
          <w:rFonts w:eastAsia="Times New Roman" w:cs="Arial"/>
          <w:spacing w:val="0"/>
          <w:lang w:val="es-CR" w:eastAsia="es-ES"/>
        </w:rPr>
        <w:t xml:space="preserve">Cantidad de Expedientes firmados por Jueza o Juez </w:t>
      </w:r>
      <w:r w:rsidRPr="00033E65">
        <w:rPr>
          <w:rFonts w:eastAsia="Times New Roman" w:cs="Arial"/>
          <w:spacing w:val="0"/>
          <w:lang w:val="es-CR" w:eastAsia="es-ES"/>
        </w:rPr>
        <w:t>de los Juzgados Especializados en Ma</w:t>
      </w:r>
      <w:r w:rsidR="005B3DAB" w:rsidRPr="00033E65">
        <w:rPr>
          <w:rFonts w:eastAsia="Times New Roman" w:cs="Arial"/>
          <w:spacing w:val="0"/>
          <w:lang w:val="es-CR" w:eastAsia="es-ES"/>
        </w:rPr>
        <w:t>teria Agraria en el Periodo 202</w:t>
      </w:r>
      <w:r w:rsidR="4A715AAF" w:rsidRPr="00033E65">
        <w:rPr>
          <w:rFonts w:eastAsia="Times New Roman" w:cs="Arial"/>
          <w:spacing w:val="0"/>
          <w:lang w:val="es-CR" w:eastAsia="es-ES"/>
        </w:rPr>
        <w:t>1</w:t>
      </w:r>
      <w:r w:rsidR="005B3DAB" w:rsidRPr="00033E65">
        <w:rPr>
          <w:rFonts w:eastAsia="Times New Roman" w:cs="Arial"/>
          <w:spacing w:val="0"/>
          <w:lang w:val="es-CR" w:eastAsia="es-ES"/>
        </w:rPr>
        <w:t xml:space="preserve"> al 202</w:t>
      </w:r>
      <w:r w:rsidR="22DF2481" w:rsidRPr="00033E65">
        <w:rPr>
          <w:rFonts w:eastAsia="Times New Roman" w:cs="Arial"/>
          <w:spacing w:val="0"/>
          <w:lang w:val="es-CR" w:eastAsia="es-ES"/>
        </w:rPr>
        <w:t>2</w:t>
      </w:r>
    </w:p>
    <w:p w14:paraId="5614E805" w14:textId="51CE3275" w:rsidR="7BD1F789" w:rsidRPr="00033E65" w:rsidRDefault="003D74AB" w:rsidP="00BC249D">
      <w:pPr>
        <w:tabs>
          <w:tab w:val="left" w:pos="2844"/>
        </w:tabs>
        <w:jc w:val="center"/>
      </w:pPr>
      <w:r w:rsidRPr="00033E65">
        <w:rPr>
          <w:noProof/>
        </w:rPr>
        <w:drawing>
          <wp:inline distT="0" distB="0" distL="0" distR="0" wp14:anchorId="5F494F9E" wp14:editId="39DF8E44">
            <wp:extent cx="5112689" cy="3658512"/>
            <wp:effectExtent l="0" t="0" r="0" b="0"/>
            <wp:docPr id="59" name="Gráfico 59">
              <a:extLst xmlns:a="http://schemas.openxmlformats.org/drawingml/2006/main">
                <a:ext uri="{FF2B5EF4-FFF2-40B4-BE49-F238E27FC236}">
                  <a16:creationId xmlns:a16="http://schemas.microsoft.com/office/drawing/2014/main" id="{11AD9F6C-7A39-4ECD-A9F9-A59799342D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9E7E5B4" w14:textId="06050C45" w:rsidR="00E023FF" w:rsidRPr="00033E65" w:rsidRDefault="00E023FF" w:rsidP="00E023FF">
      <w:pPr>
        <w:tabs>
          <w:tab w:val="left" w:pos="2844"/>
        </w:tabs>
        <w:rPr>
          <w:b/>
          <w:i/>
          <w:sz w:val="18"/>
          <w:szCs w:val="18"/>
          <w:lang w:eastAsia="en-US"/>
        </w:rPr>
      </w:pPr>
      <w:r w:rsidRPr="00033E65">
        <w:rPr>
          <w:b/>
          <w:i/>
          <w:sz w:val="18"/>
          <w:szCs w:val="18"/>
          <w:lang w:eastAsia="en-US"/>
        </w:rPr>
        <w:t xml:space="preserve">Fuente: </w:t>
      </w:r>
      <w:r w:rsidRPr="00033E65">
        <w:rPr>
          <w:b/>
          <w:i/>
          <w:sz w:val="18"/>
          <w:szCs w:val="18"/>
        </w:rPr>
        <w:t>Subproceso de Modernización Institucional</w:t>
      </w:r>
      <w:r w:rsidR="004B567E" w:rsidRPr="00033E65">
        <w:rPr>
          <w:b/>
          <w:i/>
          <w:sz w:val="18"/>
          <w:szCs w:val="18"/>
        </w:rPr>
        <w:t xml:space="preserve">, área No Penal, con base en la Matriz de Indicadores de Gestión. </w:t>
      </w:r>
    </w:p>
    <w:p w14:paraId="00641F48" w14:textId="544A3BA0" w:rsidR="0097210C" w:rsidRPr="00033E65" w:rsidRDefault="008A4178" w:rsidP="00E73C38">
      <w:r w:rsidRPr="00033E65">
        <w:lastRenderedPageBreak/>
        <w:t>Diez (10</w:t>
      </w:r>
      <w:r w:rsidR="0097210C" w:rsidRPr="00033E65">
        <w:t>) Despachos especializados en la materia Agrari</w:t>
      </w:r>
      <w:r w:rsidRPr="00033E65">
        <w:t>a superaron con respecto al 202</w:t>
      </w:r>
      <w:r w:rsidR="005E6746" w:rsidRPr="00033E65">
        <w:t>1</w:t>
      </w:r>
      <w:r w:rsidR="0097210C" w:rsidRPr="00033E65">
        <w:t>, la cantidad promedio de fir</w:t>
      </w:r>
      <w:r w:rsidRPr="00033E65">
        <w:t>mado, los cuales ronda entre 1</w:t>
      </w:r>
      <w:r w:rsidR="001160A3" w:rsidRPr="00033E65">
        <w:t>85</w:t>
      </w:r>
      <w:r w:rsidR="0097210C" w:rsidRPr="00033E65">
        <w:t xml:space="preserve"> y</w:t>
      </w:r>
      <w:r w:rsidRPr="00033E65">
        <w:t xml:space="preserve"> </w:t>
      </w:r>
      <w:r w:rsidR="001160A3" w:rsidRPr="00033E65">
        <w:t>549</w:t>
      </w:r>
      <w:r w:rsidR="0097210C" w:rsidRPr="00033E65">
        <w:t xml:space="preserve"> expedientes por persona Juzgadora. </w:t>
      </w:r>
      <w:r w:rsidR="0011391C" w:rsidRPr="00033E65">
        <w:t>Los</w:t>
      </w:r>
      <w:r w:rsidRPr="00033E65">
        <w:t xml:space="preserve"> dos</w:t>
      </w:r>
      <w:r w:rsidR="0011391C" w:rsidRPr="00033E65">
        <w:t xml:space="preserve"> Despachos</w:t>
      </w:r>
      <w:r w:rsidRPr="00033E65">
        <w:t xml:space="preserve"> </w:t>
      </w:r>
      <w:r w:rsidR="004F0485" w:rsidRPr="00033E65">
        <w:t xml:space="preserve">restantes </w:t>
      </w:r>
      <w:r w:rsidR="001160A3" w:rsidRPr="00033E65">
        <w:t xml:space="preserve">tales como Pérez Zeledón y </w:t>
      </w:r>
      <w:r w:rsidR="004F0485" w:rsidRPr="00033E65">
        <w:t xml:space="preserve">San Carlos </w:t>
      </w:r>
      <w:r w:rsidR="0011391C" w:rsidRPr="00033E65">
        <w:t>experimentaron disminuciones en su productividad que oscilan ent</w:t>
      </w:r>
      <w:r w:rsidR="00763558" w:rsidRPr="00033E65">
        <w:t xml:space="preserve">re </w:t>
      </w:r>
      <w:r w:rsidR="007976F5" w:rsidRPr="00033E65">
        <w:t>2</w:t>
      </w:r>
      <w:r w:rsidR="00763558" w:rsidRPr="00033E65">
        <w:t xml:space="preserve">% y </w:t>
      </w:r>
      <w:r w:rsidR="007976F5" w:rsidRPr="00033E65">
        <w:t>10</w:t>
      </w:r>
      <w:r w:rsidRPr="00033E65">
        <w:t>% con respecto al 202</w:t>
      </w:r>
      <w:r w:rsidR="007976F5" w:rsidRPr="00033E65">
        <w:t>1</w:t>
      </w:r>
      <w:r w:rsidR="0011391C" w:rsidRPr="00033E65">
        <w:t xml:space="preserve">. </w:t>
      </w:r>
    </w:p>
    <w:p w14:paraId="1C10CE6C" w14:textId="77777777" w:rsidR="00E023FF" w:rsidRPr="00033E65" w:rsidRDefault="0097210C" w:rsidP="00E73C38">
      <w:r w:rsidRPr="00033E65">
        <w:t xml:space="preserve">Mayormente este dato va a depender de la cantidad de expedientes que genera para firma el personal técnico judicial. </w:t>
      </w:r>
      <w:r w:rsidR="000D2049" w:rsidRPr="00033E65">
        <w:t xml:space="preserve"> </w:t>
      </w:r>
    </w:p>
    <w:p w14:paraId="4BCBC0BA" w14:textId="3C8FBA1F" w:rsidR="0011391C" w:rsidRPr="00033E65" w:rsidRDefault="00554C4E" w:rsidP="00951D3E">
      <w:pPr>
        <w:pStyle w:val="Ttulo3"/>
      </w:pPr>
      <w:bookmarkStart w:id="200" w:name="_Toc132639551"/>
      <w:r>
        <w:t>7</w:t>
      </w:r>
      <w:r w:rsidR="00010615" w:rsidRPr="00033E65">
        <w:t xml:space="preserve">.17 </w:t>
      </w:r>
      <w:r w:rsidR="0011391C" w:rsidRPr="00033E65">
        <w:t>Cantidad de Expedientes Pendientes de Firma</w:t>
      </w:r>
      <w:r w:rsidR="000E03F4" w:rsidRPr="00033E65">
        <w:t xml:space="preserve"> por Jueza o Juez</w:t>
      </w:r>
      <w:bookmarkEnd w:id="200"/>
    </w:p>
    <w:p w14:paraId="57AE5AAB" w14:textId="55D2C126" w:rsidR="004667AD" w:rsidRPr="00033E65" w:rsidRDefault="00773F01" w:rsidP="000E03F4">
      <w:pPr>
        <w:rPr>
          <w:lang w:val="es-MX"/>
        </w:rPr>
      </w:pPr>
      <w:r w:rsidRPr="00033E65">
        <w:rPr>
          <w:lang w:val="es-MX"/>
        </w:rPr>
        <w:t xml:space="preserve">Este indicador muestra la cantidad de expedientes </w:t>
      </w:r>
      <w:r w:rsidR="001D1871" w:rsidRPr="00033E65">
        <w:rPr>
          <w:lang w:val="es-MX"/>
        </w:rPr>
        <w:t>que,</w:t>
      </w:r>
      <w:r w:rsidRPr="00033E65">
        <w:rPr>
          <w:lang w:val="es-MX"/>
        </w:rPr>
        <w:t xml:space="preserve"> </w:t>
      </w:r>
      <w:r w:rsidR="000C0B29" w:rsidRPr="00033E65">
        <w:rPr>
          <w:lang w:val="es-MX"/>
        </w:rPr>
        <w:t xml:space="preserve">en </w:t>
      </w:r>
      <w:r w:rsidRPr="00033E65">
        <w:rPr>
          <w:lang w:val="es-MX"/>
        </w:rPr>
        <w:t>el mes, la persona juzgadora no pudo realizarle la firma correspondiente, los cuales quedan como un remanente para el siguiente mes. En el siguiente gráfico se realiza una comparación sobre el comportamiento de este i</w:t>
      </w:r>
      <w:r w:rsidR="0048690E" w:rsidRPr="00033E65">
        <w:rPr>
          <w:lang w:val="es-MX"/>
        </w:rPr>
        <w:t>ndicador en relación con el 202</w:t>
      </w:r>
      <w:r w:rsidR="004C7C4F" w:rsidRPr="00033E65">
        <w:rPr>
          <w:lang w:val="es-MX"/>
        </w:rPr>
        <w:t>2</w:t>
      </w:r>
      <w:r w:rsidR="0048690E" w:rsidRPr="00033E65">
        <w:rPr>
          <w:lang w:val="es-MX"/>
        </w:rPr>
        <w:t xml:space="preserve"> y 202</w:t>
      </w:r>
      <w:r w:rsidR="004C7C4F" w:rsidRPr="00033E65">
        <w:rPr>
          <w:lang w:val="es-MX"/>
        </w:rPr>
        <w:t>1</w:t>
      </w:r>
      <w:r w:rsidRPr="00033E65">
        <w:rPr>
          <w:lang w:val="es-MX"/>
        </w:rPr>
        <w:t>.</w:t>
      </w:r>
    </w:p>
    <w:p w14:paraId="1944E2CE" w14:textId="788565FA" w:rsidR="007F195F" w:rsidRPr="00033E65" w:rsidRDefault="00773F01" w:rsidP="002406B3">
      <w:pPr>
        <w:rPr>
          <w:lang w:val="es-MX"/>
        </w:rPr>
      </w:pPr>
      <w:r w:rsidRPr="00033E65">
        <w:rPr>
          <w:lang w:val="es-MX"/>
        </w:rPr>
        <w:t xml:space="preserve"> </w:t>
      </w:r>
    </w:p>
    <w:p w14:paraId="37871B3E" w14:textId="652A0D16" w:rsidR="00773F01" w:rsidRPr="00033E65" w:rsidRDefault="00773F01"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18</w:t>
      </w:r>
      <w:r w:rsidRPr="00033E65">
        <w:rPr>
          <w:rFonts w:eastAsia="Times New Roman" w:cs="Arial"/>
          <w:iCs/>
          <w:spacing w:val="0"/>
          <w:szCs w:val="28"/>
          <w:lang w:val="es-CR" w:eastAsia="es-ES"/>
        </w:rPr>
        <w:fldChar w:fldCharType="end"/>
      </w:r>
    </w:p>
    <w:p w14:paraId="0A33E010" w14:textId="0BFBD532" w:rsidR="0046481B" w:rsidRPr="00033E65" w:rsidRDefault="00773F01" w:rsidP="00BC249D">
      <w:pPr>
        <w:pStyle w:val="Ttulo"/>
        <w:spacing w:before="0" w:after="0"/>
        <w:jc w:val="center"/>
        <w:rPr>
          <w:rFonts w:eastAsia="Times New Roman" w:cs="Arial"/>
          <w:spacing w:val="0"/>
          <w:lang w:val="es-CR" w:eastAsia="es-ES"/>
        </w:rPr>
      </w:pPr>
      <w:r w:rsidRPr="00033E65">
        <w:rPr>
          <w:rFonts w:eastAsia="Times New Roman" w:cs="Arial"/>
          <w:spacing w:val="0"/>
          <w:lang w:val="es-CR" w:eastAsia="es-ES"/>
        </w:rPr>
        <w:t xml:space="preserve">Comportamiento de la Cantidad de Expedientes </w:t>
      </w:r>
      <w:r w:rsidR="128ECB71" w:rsidRPr="00033E65">
        <w:rPr>
          <w:rFonts w:eastAsia="Times New Roman" w:cs="Arial"/>
          <w:spacing w:val="0"/>
          <w:lang w:val="es-CR" w:eastAsia="es-ES"/>
        </w:rPr>
        <w:t xml:space="preserve">Pendientes de firmar </w:t>
      </w:r>
      <w:r w:rsidRPr="00033E65">
        <w:rPr>
          <w:rFonts w:eastAsia="Times New Roman" w:cs="Arial"/>
          <w:spacing w:val="0"/>
          <w:lang w:val="es-CR" w:eastAsia="es-ES"/>
        </w:rPr>
        <w:t xml:space="preserve"> por Jueza o Juez de los Juzgados Especializados en Ma</w:t>
      </w:r>
      <w:r w:rsidR="0048690E" w:rsidRPr="00033E65">
        <w:rPr>
          <w:rFonts w:eastAsia="Times New Roman" w:cs="Arial"/>
          <w:spacing w:val="0"/>
          <w:lang w:val="es-CR" w:eastAsia="es-ES"/>
        </w:rPr>
        <w:t>teria Agraria en el Periodo 202</w:t>
      </w:r>
      <w:r w:rsidR="029EBF3C" w:rsidRPr="00033E65">
        <w:rPr>
          <w:rFonts w:eastAsia="Times New Roman" w:cs="Arial"/>
          <w:spacing w:val="0"/>
          <w:lang w:val="es-CR" w:eastAsia="es-ES"/>
        </w:rPr>
        <w:t>1</w:t>
      </w:r>
      <w:r w:rsidR="0048690E" w:rsidRPr="00033E65">
        <w:rPr>
          <w:rFonts w:eastAsia="Times New Roman" w:cs="Arial"/>
          <w:spacing w:val="0"/>
          <w:lang w:val="es-CR" w:eastAsia="es-ES"/>
        </w:rPr>
        <w:t xml:space="preserve"> al 202</w:t>
      </w:r>
      <w:r w:rsidR="438C3919" w:rsidRPr="00033E65">
        <w:rPr>
          <w:rFonts w:eastAsia="Times New Roman" w:cs="Arial"/>
          <w:spacing w:val="0"/>
          <w:lang w:val="es-CR" w:eastAsia="es-ES"/>
        </w:rPr>
        <w:t>2</w:t>
      </w:r>
      <w:r w:rsidR="0037722A" w:rsidRPr="00033E65">
        <w:rPr>
          <w:rFonts w:eastAsia="Times New Roman" w:cs="Arial"/>
          <w:spacing w:val="0"/>
          <w:lang w:val="es-CR" w:eastAsia="es-ES"/>
        </w:rPr>
        <w:t xml:space="preserve"> (promedio mensual) </w:t>
      </w:r>
    </w:p>
    <w:p w14:paraId="1A0625C7" w14:textId="35FB54FB" w:rsidR="008C209F" w:rsidRPr="00033E65" w:rsidRDefault="00F25D42" w:rsidP="00BC249D">
      <w:pPr>
        <w:tabs>
          <w:tab w:val="left" w:pos="2844"/>
        </w:tabs>
        <w:jc w:val="center"/>
      </w:pPr>
      <w:r w:rsidRPr="00033E65">
        <w:rPr>
          <w:noProof/>
        </w:rPr>
        <w:drawing>
          <wp:inline distT="0" distB="0" distL="0" distR="0" wp14:anchorId="05F7F901" wp14:editId="0D04D435">
            <wp:extent cx="5184167" cy="3570136"/>
            <wp:effectExtent l="0" t="0" r="0" b="0"/>
            <wp:docPr id="60" name="Gráfico 60">
              <a:extLst xmlns:a="http://schemas.openxmlformats.org/drawingml/2006/main">
                <a:ext uri="{FF2B5EF4-FFF2-40B4-BE49-F238E27FC236}">
                  <a16:creationId xmlns:a16="http://schemas.microsoft.com/office/drawing/2014/main" id="{9A6A3A69-FBC6-42C7-988D-40B7AD398A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FEDEBE3" w14:textId="1DD9713F" w:rsidR="5658C182" w:rsidRPr="00033E65" w:rsidRDefault="5658C182" w:rsidP="5658C182">
      <w:pPr>
        <w:tabs>
          <w:tab w:val="left" w:pos="2844"/>
        </w:tabs>
        <w:rPr>
          <w:b/>
          <w:bCs/>
          <w:i/>
          <w:iCs/>
          <w:sz w:val="18"/>
          <w:szCs w:val="18"/>
          <w:lang w:eastAsia="en-US"/>
        </w:rPr>
      </w:pPr>
    </w:p>
    <w:p w14:paraId="21AF1B56" w14:textId="16CCEDD6" w:rsidR="00773F01" w:rsidRPr="00033E65" w:rsidRDefault="00773F01" w:rsidP="00773F01">
      <w:pPr>
        <w:tabs>
          <w:tab w:val="left" w:pos="2844"/>
        </w:tabs>
        <w:rPr>
          <w:b/>
          <w:i/>
          <w:sz w:val="18"/>
          <w:szCs w:val="18"/>
          <w:lang w:eastAsia="en-US"/>
        </w:rPr>
      </w:pPr>
      <w:r w:rsidRPr="00033E65">
        <w:rPr>
          <w:b/>
          <w:i/>
          <w:sz w:val="18"/>
          <w:szCs w:val="18"/>
          <w:lang w:eastAsia="en-US"/>
        </w:rPr>
        <w:lastRenderedPageBreak/>
        <w:t xml:space="preserve">Fuente: </w:t>
      </w:r>
      <w:r w:rsidRPr="00033E65">
        <w:rPr>
          <w:b/>
          <w:i/>
          <w:sz w:val="18"/>
          <w:szCs w:val="18"/>
        </w:rPr>
        <w:t>Subproceso de Modernización Institucional</w:t>
      </w:r>
      <w:r w:rsidR="00DF2987" w:rsidRPr="00033E65">
        <w:rPr>
          <w:b/>
          <w:i/>
          <w:sz w:val="18"/>
          <w:szCs w:val="18"/>
        </w:rPr>
        <w:t>, área No Penal, con base en la Matriz de Indicadores de Gestión</w:t>
      </w:r>
      <w:r w:rsidR="003E1506" w:rsidRPr="00033E65">
        <w:rPr>
          <w:b/>
          <w:i/>
          <w:sz w:val="18"/>
          <w:szCs w:val="18"/>
        </w:rPr>
        <w:t xml:space="preserve">. </w:t>
      </w:r>
    </w:p>
    <w:p w14:paraId="55B87095" w14:textId="42C36AD8" w:rsidR="0011391C" w:rsidRPr="00033E65" w:rsidRDefault="00E361BF" w:rsidP="0011391C">
      <w:r w:rsidRPr="00033E65">
        <w:t xml:space="preserve">El resultado de este indicador deja como evidencia que, el Juzgado Agrario de </w:t>
      </w:r>
      <w:r w:rsidR="00E03AB4" w:rsidRPr="00033E65">
        <w:t>Puntarenas</w:t>
      </w:r>
      <w:r w:rsidRPr="00033E65">
        <w:t xml:space="preserve"> es el que más casos en promedio </w:t>
      </w:r>
      <w:r w:rsidR="001F1B95" w:rsidRPr="00033E65">
        <w:t xml:space="preserve">deja pendientes </w:t>
      </w:r>
      <w:r w:rsidR="00672A48" w:rsidRPr="00033E65">
        <w:t xml:space="preserve">en el mes, con un promedio de </w:t>
      </w:r>
      <w:r w:rsidR="00E03AB4" w:rsidRPr="00033E65">
        <w:t>30</w:t>
      </w:r>
      <w:r w:rsidR="001F1B95" w:rsidRPr="00033E65">
        <w:t xml:space="preserve"> casos, </w:t>
      </w:r>
      <w:r w:rsidR="00271E92" w:rsidRPr="00033E65">
        <w:t>17</w:t>
      </w:r>
      <w:r w:rsidR="00672A48" w:rsidRPr="00033E65">
        <w:t xml:space="preserve"> más que el 202</w:t>
      </w:r>
      <w:r w:rsidR="00271E92" w:rsidRPr="00033E65">
        <w:t>1</w:t>
      </w:r>
      <w:r w:rsidR="001F1B95" w:rsidRPr="00033E65">
        <w:t xml:space="preserve">. Les continúan los Juzgados de </w:t>
      </w:r>
      <w:r w:rsidR="00271E92" w:rsidRPr="00033E65">
        <w:t>Alajuela, San Ramón y Corredores</w:t>
      </w:r>
      <w:r w:rsidR="00AB60B7" w:rsidRPr="00033E65">
        <w:t xml:space="preserve">, con </w:t>
      </w:r>
      <w:r w:rsidR="00271E92" w:rsidRPr="00033E65">
        <w:t>21</w:t>
      </w:r>
      <w:r w:rsidR="00AB60B7" w:rsidRPr="00033E65">
        <w:t xml:space="preserve">, </w:t>
      </w:r>
      <w:r w:rsidR="00271E92" w:rsidRPr="00033E65">
        <w:t>21</w:t>
      </w:r>
      <w:r w:rsidR="001F1B95" w:rsidRPr="00033E65">
        <w:t xml:space="preserve"> </w:t>
      </w:r>
      <w:r w:rsidR="00AB60B7" w:rsidRPr="00033E65">
        <w:t>y 1</w:t>
      </w:r>
      <w:r w:rsidR="00271E92" w:rsidRPr="00033E65">
        <w:t>5</w:t>
      </w:r>
      <w:r w:rsidR="001F1B95" w:rsidRPr="00033E65">
        <w:t xml:space="preserve"> casos promedio respectivamente, esto por persona juzgadora. </w:t>
      </w:r>
      <w:r w:rsidR="008B2BFC" w:rsidRPr="00033E65">
        <w:t xml:space="preserve">Caso contrario, está los Juzgados Agrarios de </w:t>
      </w:r>
      <w:r w:rsidR="006C7F07" w:rsidRPr="00033E65">
        <w:t>Pococí, Cartago, Pérez Zeledón, Santa Cruz y Goicoechea con una cantidad de asuntos pendientes de firma entre los</w:t>
      </w:r>
      <w:r w:rsidR="002E40EF" w:rsidRPr="00033E65">
        <w:t xml:space="preserve"> 4 y 6 asuntos en promedio para el 2022. </w:t>
      </w:r>
      <w:r w:rsidR="006C7F07" w:rsidRPr="00033E65">
        <w:t xml:space="preserve"> </w:t>
      </w:r>
    </w:p>
    <w:p w14:paraId="12C3189E" w14:textId="13F99AE8" w:rsidR="00A571BC" w:rsidRPr="00033E65" w:rsidRDefault="00383523" w:rsidP="0011391C">
      <w:r w:rsidRPr="00033E65">
        <w:t xml:space="preserve">Con base a los análisis de los indicadores </w:t>
      </w:r>
      <w:r w:rsidR="00771D67" w:rsidRPr="00033E65">
        <w:t>realizados, se</w:t>
      </w:r>
      <w:r w:rsidRPr="00033E65">
        <w:t xml:space="preserve"> presenta</w:t>
      </w:r>
      <w:r w:rsidR="00F42C33" w:rsidRPr="00033E65">
        <w:t xml:space="preserve"> una comparación entre los valores</w:t>
      </w:r>
      <w:r w:rsidR="00D61952" w:rsidRPr="00033E65">
        <w:t xml:space="preserve"> de cada indicador entre el 202</w:t>
      </w:r>
      <w:r w:rsidR="002E40EF" w:rsidRPr="00033E65">
        <w:t>1</w:t>
      </w:r>
      <w:r w:rsidR="00D61952" w:rsidRPr="00033E65">
        <w:t xml:space="preserve"> y 202</w:t>
      </w:r>
      <w:r w:rsidR="002E40EF" w:rsidRPr="00033E65">
        <w:t>2</w:t>
      </w:r>
      <w:r w:rsidR="00277719" w:rsidRPr="00033E65">
        <w:t xml:space="preserve">, el cual se detalla a </w:t>
      </w:r>
      <w:r w:rsidR="0046481B" w:rsidRPr="00033E65">
        <w:t>continuación:</w:t>
      </w:r>
    </w:p>
    <w:p w14:paraId="69B866E8" w14:textId="77777777" w:rsidR="00BC249D" w:rsidRPr="00033E65" w:rsidRDefault="00BC249D" w:rsidP="0011391C"/>
    <w:p w14:paraId="02E8DA73" w14:textId="5908FED9" w:rsidR="00F03DCA" w:rsidRPr="00033E65" w:rsidRDefault="00B15A5A" w:rsidP="00F03DC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Cuadro </w:t>
      </w:r>
      <w:r w:rsidR="00F03DCA" w:rsidRPr="00033E65">
        <w:rPr>
          <w:rFonts w:eastAsia="Times New Roman" w:cs="Arial"/>
          <w:iCs/>
          <w:spacing w:val="0"/>
          <w:szCs w:val="28"/>
          <w:lang w:val="es-CR" w:eastAsia="es-ES"/>
        </w:rPr>
        <w:t>1</w:t>
      </w:r>
      <w:r w:rsidR="009763EE" w:rsidRPr="00033E65">
        <w:rPr>
          <w:rFonts w:eastAsia="Times New Roman" w:cs="Arial"/>
          <w:iCs/>
          <w:spacing w:val="0"/>
          <w:szCs w:val="28"/>
          <w:lang w:val="es-CR" w:eastAsia="es-ES"/>
        </w:rPr>
        <w:t>4</w:t>
      </w:r>
    </w:p>
    <w:p w14:paraId="4F89C8E8" w14:textId="0EF4FF6E" w:rsidR="2917E67F" w:rsidRPr="00033E65" w:rsidRDefault="00B15A5A" w:rsidP="00BC249D">
      <w:pPr>
        <w:spacing w:before="0" w:line="252" w:lineRule="auto"/>
        <w:jc w:val="center"/>
        <w:rPr>
          <w:rFonts w:cs="Arial"/>
          <w:b/>
          <w:color w:val="244061" w:themeColor="accent1" w:themeShade="80"/>
          <w:sz w:val="24"/>
          <w:szCs w:val="24"/>
        </w:rPr>
      </w:pPr>
      <w:r w:rsidRPr="00033E65">
        <w:rPr>
          <w:rFonts w:cs="Arial"/>
          <w:b/>
          <w:color w:val="244061" w:themeColor="accent1" w:themeShade="80"/>
          <w:sz w:val="24"/>
          <w:szCs w:val="24"/>
        </w:rPr>
        <w:t xml:space="preserve">Análisis Comparativo de los Indicadores de Gestión de los Juzgados Agrarios Especializados entre los años </w:t>
      </w:r>
      <w:r w:rsidRPr="00033E65">
        <w:rPr>
          <w:rFonts w:cs="Arial"/>
          <w:b/>
          <w:bCs/>
          <w:color w:val="244061" w:themeColor="accent1" w:themeShade="80"/>
          <w:sz w:val="24"/>
          <w:szCs w:val="24"/>
        </w:rPr>
        <w:t>20</w:t>
      </w:r>
      <w:r w:rsidR="00562401" w:rsidRPr="00033E65">
        <w:rPr>
          <w:rFonts w:cs="Arial"/>
          <w:b/>
          <w:bCs/>
          <w:color w:val="244061" w:themeColor="accent1" w:themeShade="80"/>
          <w:sz w:val="24"/>
          <w:szCs w:val="24"/>
        </w:rPr>
        <w:t>2</w:t>
      </w:r>
      <w:r w:rsidR="2067A552" w:rsidRPr="00033E65">
        <w:rPr>
          <w:rFonts w:cs="Arial"/>
          <w:b/>
          <w:bCs/>
          <w:color w:val="244061" w:themeColor="accent1" w:themeShade="80"/>
          <w:sz w:val="24"/>
          <w:szCs w:val="24"/>
        </w:rPr>
        <w:t>1</w:t>
      </w:r>
      <w:r w:rsidR="00562401" w:rsidRPr="00033E65">
        <w:rPr>
          <w:rFonts w:cs="Arial"/>
          <w:b/>
          <w:color w:val="244061" w:themeColor="accent1" w:themeShade="80"/>
          <w:sz w:val="24"/>
          <w:szCs w:val="24"/>
        </w:rPr>
        <w:t xml:space="preserve"> y </w:t>
      </w:r>
      <w:r w:rsidR="00562401" w:rsidRPr="00033E65">
        <w:rPr>
          <w:rFonts w:cs="Arial"/>
          <w:b/>
          <w:bCs/>
          <w:color w:val="244061" w:themeColor="accent1" w:themeShade="80"/>
          <w:sz w:val="24"/>
          <w:szCs w:val="24"/>
        </w:rPr>
        <w:t>202</w:t>
      </w:r>
      <w:r w:rsidR="3E30D4AC" w:rsidRPr="00033E65">
        <w:rPr>
          <w:rFonts w:cs="Arial"/>
          <w:b/>
          <w:bCs/>
          <w:color w:val="244061" w:themeColor="accent1" w:themeShade="80"/>
          <w:sz w:val="24"/>
          <w:szCs w:val="24"/>
        </w:rPr>
        <w:t>2</w:t>
      </w:r>
    </w:p>
    <w:tbl>
      <w:tblPr>
        <w:tblW w:w="11998" w:type="dxa"/>
        <w:tblInd w:w="-1583" w:type="dxa"/>
        <w:tblLayout w:type="fixed"/>
        <w:tblCellMar>
          <w:left w:w="70" w:type="dxa"/>
          <w:right w:w="70" w:type="dxa"/>
        </w:tblCellMar>
        <w:tblLook w:val="04A0" w:firstRow="1" w:lastRow="0" w:firstColumn="1" w:lastColumn="0" w:noHBand="0" w:noVBand="1"/>
      </w:tblPr>
      <w:tblGrid>
        <w:gridCol w:w="1134"/>
        <w:gridCol w:w="993"/>
        <w:gridCol w:w="851"/>
        <w:gridCol w:w="1000"/>
        <w:gridCol w:w="729"/>
        <w:gridCol w:w="796"/>
        <w:gridCol w:w="766"/>
        <w:gridCol w:w="1051"/>
        <w:gridCol w:w="740"/>
        <w:gridCol w:w="821"/>
        <w:gridCol w:w="781"/>
        <w:gridCol w:w="730"/>
        <w:gridCol w:w="670"/>
        <w:gridCol w:w="936"/>
      </w:tblGrid>
      <w:tr w:rsidR="00B53CB8" w:rsidRPr="00033E65" w14:paraId="54AD22F9" w14:textId="77777777" w:rsidTr="009763EE">
        <w:trPr>
          <w:trHeight w:val="1111"/>
          <w:tblHeader/>
        </w:trPr>
        <w:tc>
          <w:tcPr>
            <w:tcW w:w="1134"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4C511C5" w14:textId="77777777" w:rsidR="001379CF" w:rsidRPr="00033E65" w:rsidRDefault="001379CF" w:rsidP="001379CF">
            <w:pPr>
              <w:spacing w:before="0" w:after="0"/>
              <w:jc w:val="center"/>
              <w:rPr>
                <w:rFonts w:cs="Calibri"/>
                <w:b/>
                <w:bCs/>
                <w:color w:val="EEECE1"/>
                <w:sz w:val="18"/>
                <w:szCs w:val="18"/>
                <w:lang w:val="es-MX" w:eastAsia="es-MX"/>
              </w:rPr>
            </w:pPr>
            <w:bookmarkStart w:id="201" w:name="RANGE!A1"/>
            <w:r w:rsidRPr="00033E65">
              <w:rPr>
                <w:rFonts w:cs="Calibri"/>
                <w:b/>
                <w:bCs/>
                <w:color w:val="EEECE1"/>
                <w:sz w:val="18"/>
                <w:szCs w:val="18"/>
                <w:lang w:val="es-MX" w:eastAsia="es-MX"/>
              </w:rPr>
              <w:t>Indicador</w:t>
            </w:r>
            <w:bookmarkEnd w:id="201"/>
          </w:p>
        </w:tc>
        <w:tc>
          <w:tcPr>
            <w:tcW w:w="993" w:type="dxa"/>
            <w:tcBorders>
              <w:top w:val="double" w:sz="6" w:space="0" w:color="1F497D"/>
              <w:left w:val="nil"/>
              <w:bottom w:val="double" w:sz="6" w:space="0" w:color="1F497D"/>
              <w:right w:val="double" w:sz="6" w:space="0" w:color="1F497D"/>
            </w:tcBorders>
            <w:shd w:val="clear" w:color="000000" w:fill="31869B"/>
            <w:vAlign w:val="center"/>
            <w:hideMark/>
          </w:tcPr>
          <w:p w14:paraId="19509FA2" w14:textId="77777777" w:rsidR="008C4B16" w:rsidRPr="00033E65" w:rsidRDefault="001379CF" w:rsidP="001379CF">
            <w:pPr>
              <w:spacing w:before="0" w:after="0"/>
              <w:jc w:val="center"/>
              <w:rPr>
                <w:rFonts w:cs="Calibri"/>
                <w:b/>
                <w:bCs/>
                <w:color w:val="EEECE1"/>
                <w:sz w:val="18"/>
                <w:szCs w:val="18"/>
                <w:lang w:val="es-MX" w:eastAsia="es-MX"/>
              </w:rPr>
            </w:pPr>
            <w:r w:rsidRPr="00033E65">
              <w:rPr>
                <w:rFonts w:cs="Calibri"/>
                <w:b/>
                <w:bCs/>
                <w:color w:val="EEECE1"/>
                <w:sz w:val="18"/>
                <w:szCs w:val="18"/>
                <w:lang w:val="es-MX" w:eastAsia="es-MX"/>
              </w:rPr>
              <w:t xml:space="preserve">Valor </w:t>
            </w:r>
          </w:p>
          <w:p w14:paraId="1747649F" w14:textId="327A4FB5" w:rsidR="001379CF" w:rsidRPr="00033E65" w:rsidRDefault="001379CF" w:rsidP="001379CF">
            <w:pPr>
              <w:spacing w:before="0" w:after="0"/>
              <w:jc w:val="center"/>
              <w:rPr>
                <w:rFonts w:cs="Calibri"/>
                <w:b/>
                <w:bCs/>
                <w:color w:val="EEECE1"/>
                <w:sz w:val="18"/>
                <w:szCs w:val="18"/>
                <w:lang w:val="es-MX" w:eastAsia="es-MX"/>
              </w:rPr>
            </w:pPr>
            <w:r w:rsidRPr="00033E65">
              <w:rPr>
                <w:rFonts w:cs="Calibri"/>
                <w:b/>
                <w:bCs/>
                <w:color w:val="EEECE1"/>
                <w:sz w:val="18"/>
                <w:szCs w:val="18"/>
                <w:lang w:val="es-MX" w:eastAsia="es-MX"/>
              </w:rPr>
              <w:t>objetivo</w:t>
            </w:r>
          </w:p>
        </w:tc>
        <w:tc>
          <w:tcPr>
            <w:tcW w:w="851" w:type="dxa"/>
            <w:tcBorders>
              <w:top w:val="double" w:sz="6" w:space="0" w:color="1F497D"/>
              <w:left w:val="nil"/>
              <w:bottom w:val="double" w:sz="6" w:space="0" w:color="1F497D"/>
              <w:right w:val="double" w:sz="6" w:space="0" w:color="1F497D"/>
            </w:tcBorders>
            <w:shd w:val="clear" w:color="000000" w:fill="31869B"/>
            <w:vAlign w:val="center"/>
            <w:hideMark/>
          </w:tcPr>
          <w:p w14:paraId="28EBE820" w14:textId="77777777" w:rsidR="001379CF" w:rsidRPr="00033E65" w:rsidRDefault="001379CF" w:rsidP="001379CF">
            <w:pPr>
              <w:spacing w:before="0" w:after="0"/>
              <w:jc w:val="center"/>
              <w:rPr>
                <w:rFonts w:cs="Calibri"/>
                <w:b/>
                <w:bCs/>
                <w:color w:val="EEECE1"/>
                <w:sz w:val="16"/>
                <w:szCs w:val="16"/>
                <w:lang w:val="es-MX" w:eastAsia="es-MX"/>
              </w:rPr>
            </w:pPr>
            <w:r w:rsidRPr="00033E65">
              <w:rPr>
                <w:rFonts w:cs="Calibri"/>
                <w:b/>
                <w:bCs/>
                <w:color w:val="EEECE1"/>
                <w:sz w:val="16"/>
                <w:szCs w:val="16"/>
                <w:lang w:val="es-MX" w:eastAsia="es-MX"/>
              </w:rPr>
              <w:t>Goicoechea</w:t>
            </w:r>
          </w:p>
        </w:tc>
        <w:tc>
          <w:tcPr>
            <w:tcW w:w="1000" w:type="dxa"/>
            <w:tcBorders>
              <w:top w:val="double" w:sz="6" w:space="0" w:color="1F497D"/>
              <w:left w:val="nil"/>
              <w:bottom w:val="double" w:sz="6" w:space="0" w:color="1F497D"/>
              <w:right w:val="double" w:sz="6" w:space="0" w:color="1F497D"/>
            </w:tcBorders>
            <w:shd w:val="clear" w:color="000000" w:fill="31869B"/>
            <w:vAlign w:val="center"/>
            <w:hideMark/>
          </w:tcPr>
          <w:p w14:paraId="7D34EE96" w14:textId="77777777" w:rsidR="001379CF" w:rsidRPr="00033E65" w:rsidRDefault="001379CF" w:rsidP="001379CF">
            <w:pPr>
              <w:spacing w:before="0" w:after="0"/>
              <w:jc w:val="center"/>
              <w:rPr>
                <w:rFonts w:cs="Calibri"/>
                <w:b/>
                <w:bCs/>
                <w:color w:val="EEECE1"/>
                <w:sz w:val="18"/>
                <w:szCs w:val="18"/>
                <w:lang w:val="es-MX" w:eastAsia="es-MX"/>
              </w:rPr>
            </w:pPr>
            <w:r w:rsidRPr="00033E65">
              <w:rPr>
                <w:rFonts w:cs="Calibri"/>
                <w:b/>
                <w:bCs/>
                <w:color w:val="EEECE1"/>
                <w:sz w:val="18"/>
                <w:szCs w:val="18"/>
                <w:lang w:val="es-MX" w:eastAsia="es-MX"/>
              </w:rPr>
              <w:t>Puntarenas</w:t>
            </w:r>
          </w:p>
        </w:tc>
        <w:tc>
          <w:tcPr>
            <w:tcW w:w="729" w:type="dxa"/>
            <w:tcBorders>
              <w:top w:val="double" w:sz="6" w:space="0" w:color="1F497D"/>
              <w:left w:val="nil"/>
              <w:bottom w:val="double" w:sz="6" w:space="0" w:color="1F497D"/>
              <w:right w:val="double" w:sz="6" w:space="0" w:color="1F497D"/>
            </w:tcBorders>
            <w:shd w:val="clear" w:color="000000" w:fill="31869B"/>
            <w:vAlign w:val="center"/>
            <w:hideMark/>
          </w:tcPr>
          <w:p w14:paraId="72B1DDF6" w14:textId="77777777" w:rsidR="001379CF" w:rsidRPr="00033E65" w:rsidRDefault="001379CF" w:rsidP="001379CF">
            <w:pPr>
              <w:spacing w:before="0" w:after="0"/>
              <w:jc w:val="center"/>
              <w:rPr>
                <w:rFonts w:cs="Calibri"/>
                <w:b/>
                <w:color w:val="EEECE1"/>
                <w:sz w:val="18"/>
                <w:szCs w:val="18"/>
                <w:lang w:val="es-MX" w:eastAsia="es-MX"/>
              </w:rPr>
            </w:pPr>
            <w:r w:rsidRPr="00033E65">
              <w:rPr>
                <w:rFonts w:cs="Calibri"/>
                <w:b/>
                <w:color w:val="EEECE1"/>
                <w:sz w:val="18"/>
                <w:szCs w:val="18"/>
                <w:lang w:val="es-MX" w:eastAsia="es-MX"/>
              </w:rPr>
              <w:t>San Carlos</w:t>
            </w:r>
          </w:p>
        </w:tc>
        <w:tc>
          <w:tcPr>
            <w:tcW w:w="796" w:type="dxa"/>
            <w:tcBorders>
              <w:top w:val="double" w:sz="6" w:space="0" w:color="1F497D"/>
              <w:left w:val="nil"/>
              <w:bottom w:val="double" w:sz="6" w:space="0" w:color="1F497D"/>
              <w:right w:val="double" w:sz="6" w:space="0" w:color="1F497D"/>
            </w:tcBorders>
            <w:shd w:val="clear" w:color="000000" w:fill="31869B"/>
            <w:vAlign w:val="center"/>
            <w:hideMark/>
          </w:tcPr>
          <w:p w14:paraId="2C9D0EBE" w14:textId="77777777" w:rsidR="001379CF" w:rsidRPr="00033E65" w:rsidRDefault="001379CF" w:rsidP="001379CF">
            <w:pPr>
              <w:spacing w:before="0" w:after="0"/>
              <w:jc w:val="center"/>
              <w:rPr>
                <w:rFonts w:cs="Calibri"/>
                <w:b/>
                <w:bCs/>
                <w:color w:val="EEECE1"/>
                <w:sz w:val="18"/>
                <w:szCs w:val="18"/>
                <w:lang w:val="es-MX" w:eastAsia="es-MX"/>
              </w:rPr>
            </w:pPr>
            <w:r w:rsidRPr="00033E65">
              <w:rPr>
                <w:rFonts w:cs="Calibri"/>
                <w:b/>
                <w:bCs/>
                <w:color w:val="EEECE1"/>
                <w:sz w:val="18"/>
                <w:szCs w:val="18"/>
                <w:lang w:val="es-MX" w:eastAsia="es-MX"/>
              </w:rPr>
              <w:t>San Ramón</w:t>
            </w:r>
          </w:p>
        </w:tc>
        <w:tc>
          <w:tcPr>
            <w:tcW w:w="766" w:type="dxa"/>
            <w:tcBorders>
              <w:top w:val="double" w:sz="6" w:space="0" w:color="1F497D"/>
              <w:left w:val="nil"/>
              <w:bottom w:val="double" w:sz="6" w:space="0" w:color="1F497D"/>
              <w:right w:val="double" w:sz="6" w:space="0" w:color="1F497D"/>
            </w:tcBorders>
            <w:shd w:val="clear" w:color="000000" w:fill="31869B"/>
            <w:vAlign w:val="center"/>
            <w:hideMark/>
          </w:tcPr>
          <w:p w14:paraId="204B69EA" w14:textId="77777777" w:rsidR="001379CF" w:rsidRPr="00033E65" w:rsidRDefault="001379CF" w:rsidP="001379CF">
            <w:pPr>
              <w:spacing w:before="0" w:after="0"/>
              <w:jc w:val="center"/>
              <w:rPr>
                <w:rFonts w:cs="Calibri"/>
                <w:b/>
                <w:color w:val="EEECE1"/>
                <w:sz w:val="18"/>
                <w:szCs w:val="18"/>
                <w:lang w:val="es-MX" w:eastAsia="es-MX"/>
              </w:rPr>
            </w:pPr>
            <w:r w:rsidRPr="00033E65">
              <w:rPr>
                <w:rFonts w:cs="Calibri"/>
                <w:b/>
                <w:color w:val="EEECE1"/>
                <w:sz w:val="18"/>
                <w:szCs w:val="18"/>
                <w:lang w:val="es-MX" w:eastAsia="es-MX"/>
              </w:rPr>
              <w:t>Santa Cruz</w:t>
            </w:r>
          </w:p>
        </w:tc>
        <w:tc>
          <w:tcPr>
            <w:tcW w:w="1051" w:type="dxa"/>
            <w:tcBorders>
              <w:top w:val="double" w:sz="6" w:space="0" w:color="1F497D"/>
              <w:left w:val="nil"/>
              <w:bottom w:val="double" w:sz="6" w:space="0" w:color="1F497D"/>
              <w:right w:val="double" w:sz="6" w:space="0" w:color="1F497D"/>
            </w:tcBorders>
            <w:shd w:val="clear" w:color="000000" w:fill="31869B"/>
            <w:vAlign w:val="center"/>
            <w:hideMark/>
          </w:tcPr>
          <w:p w14:paraId="082AF626" w14:textId="77777777" w:rsidR="001379CF" w:rsidRPr="00033E65" w:rsidRDefault="001379CF" w:rsidP="001379CF">
            <w:pPr>
              <w:spacing w:before="0" w:after="0"/>
              <w:jc w:val="center"/>
              <w:rPr>
                <w:rFonts w:cs="Calibri"/>
                <w:b/>
                <w:color w:val="EEECE1"/>
                <w:sz w:val="18"/>
                <w:szCs w:val="18"/>
                <w:lang w:val="es-MX" w:eastAsia="es-MX"/>
              </w:rPr>
            </w:pPr>
            <w:r w:rsidRPr="00033E65">
              <w:rPr>
                <w:rFonts w:cs="Calibri"/>
                <w:b/>
                <w:color w:val="EEECE1"/>
                <w:sz w:val="18"/>
                <w:szCs w:val="18"/>
                <w:lang w:val="es-MX" w:eastAsia="es-MX"/>
              </w:rPr>
              <w:t>Corredores</w:t>
            </w:r>
          </w:p>
        </w:tc>
        <w:tc>
          <w:tcPr>
            <w:tcW w:w="740" w:type="dxa"/>
            <w:tcBorders>
              <w:top w:val="double" w:sz="6" w:space="0" w:color="1F497D"/>
              <w:left w:val="nil"/>
              <w:bottom w:val="double" w:sz="6" w:space="0" w:color="1F497D"/>
              <w:right w:val="double" w:sz="6" w:space="0" w:color="1F497D"/>
            </w:tcBorders>
            <w:shd w:val="clear" w:color="000000" w:fill="31869B"/>
            <w:vAlign w:val="center"/>
            <w:hideMark/>
          </w:tcPr>
          <w:p w14:paraId="7331D5DC" w14:textId="77777777" w:rsidR="001379CF" w:rsidRPr="00033E65" w:rsidRDefault="001379CF" w:rsidP="001379CF">
            <w:pPr>
              <w:spacing w:before="0" w:after="0"/>
              <w:jc w:val="center"/>
              <w:rPr>
                <w:rFonts w:cs="Calibri"/>
                <w:b/>
                <w:bCs/>
                <w:color w:val="EEECE1"/>
                <w:sz w:val="18"/>
                <w:szCs w:val="18"/>
                <w:lang w:val="es-MX" w:eastAsia="es-MX"/>
              </w:rPr>
            </w:pPr>
            <w:r w:rsidRPr="00033E65">
              <w:rPr>
                <w:rFonts w:cs="Calibri"/>
                <w:b/>
                <w:bCs/>
                <w:color w:val="EEECE1"/>
                <w:sz w:val="18"/>
                <w:szCs w:val="18"/>
                <w:lang w:val="es-MX" w:eastAsia="es-MX"/>
              </w:rPr>
              <w:t>Limón</w:t>
            </w:r>
          </w:p>
        </w:tc>
        <w:tc>
          <w:tcPr>
            <w:tcW w:w="821" w:type="dxa"/>
            <w:tcBorders>
              <w:top w:val="double" w:sz="6" w:space="0" w:color="1F497D"/>
              <w:left w:val="nil"/>
              <w:bottom w:val="double" w:sz="6" w:space="0" w:color="1F497D"/>
              <w:right w:val="double" w:sz="6" w:space="0" w:color="1F497D"/>
            </w:tcBorders>
            <w:shd w:val="clear" w:color="000000" w:fill="31869B"/>
            <w:vAlign w:val="center"/>
            <w:hideMark/>
          </w:tcPr>
          <w:p w14:paraId="59E652C1" w14:textId="77777777" w:rsidR="001379CF" w:rsidRPr="00033E65" w:rsidRDefault="001379CF" w:rsidP="001379CF">
            <w:pPr>
              <w:spacing w:before="0" w:after="0"/>
              <w:jc w:val="center"/>
              <w:rPr>
                <w:rFonts w:cs="Calibri"/>
                <w:b/>
                <w:color w:val="EEECE1"/>
                <w:sz w:val="18"/>
                <w:szCs w:val="18"/>
                <w:lang w:val="es-MX" w:eastAsia="es-MX"/>
              </w:rPr>
            </w:pPr>
            <w:r w:rsidRPr="00033E65">
              <w:rPr>
                <w:rFonts w:cs="Calibri"/>
                <w:b/>
                <w:color w:val="EEECE1"/>
                <w:sz w:val="18"/>
                <w:szCs w:val="18"/>
                <w:lang w:val="es-MX" w:eastAsia="es-MX"/>
              </w:rPr>
              <w:t>Pérez Zeledón</w:t>
            </w:r>
          </w:p>
        </w:tc>
        <w:tc>
          <w:tcPr>
            <w:tcW w:w="781" w:type="dxa"/>
            <w:tcBorders>
              <w:top w:val="double" w:sz="6" w:space="0" w:color="1F497D"/>
              <w:left w:val="nil"/>
              <w:bottom w:val="double" w:sz="6" w:space="0" w:color="1F497D"/>
              <w:right w:val="double" w:sz="6" w:space="0" w:color="1F497D"/>
            </w:tcBorders>
            <w:shd w:val="clear" w:color="000000" w:fill="31869B"/>
            <w:vAlign w:val="center"/>
            <w:hideMark/>
          </w:tcPr>
          <w:p w14:paraId="74019D70" w14:textId="77777777" w:rsidR="001379CF" w:rsidRPr="00033E65" w:rsidRDefault="001379CF" w:rsidP="001379CF">
            <w:pPr>
              <w:spacing w:before="0" w:after="0"/>
              <w:jc w:val="center"/>
              <w:rPr>
                <w:rFonts w:cs="Calibri"/>
                <w:b/>
                <w:bCs/>
                <w:color w:val="EEECE1"/>
                <w:sz w:val="18"/>
                <w:szCs w:val="18"/>
                <w:lang w:val="es-MX" w:eastAsia="es-MX"/>
              </w:rPr>
            </w:pPr>
            <w:r w:rsidRPr="00033E65">
              <w:rPr>
                <w:rFonts w:cs="Calibri"/>
                <w:b/>
                <w:bCs/>
                <w:color w:val="EEECE1"/>
                <w:sz w:val="18"/>
                <w:szCs w:val="18"/>
                <w:lang w:val="es-MX" w:eastAsia="es-MX"/>
              </w:rPr>
              <w:t>Cartago</w:t>
            </w:r>
          </w:p>
        </w:tc>
        <w:tc>
          <w:tcPr>
            <w:tcW w:w="730" w:type="dxa"/>
            <w:tcBorders>
              <w:top w:val="double" w:sz="6" w:space="0" w:color="1F497D"/>
              <w:left w:val="nil"/>
              <w:bottom w:val="double" w:sz="6" w:space="0" w:color="1F497D"/>
              <w:right w:val="double" w:sz="6" w:space="0" w:color="1F497D"/>
            </w:tcBorders>
            <w:shd w:val="clear" w:color="000000" w:fill="31869B"/>
            <w:vAlign w:val="center"/>
            <w:hideMark/>
          </w:tcPr>
          <w:p w14:paraId="7D01BE08" w14:textId="77777777" w:rsidR="001379CF" w:rsidRPr="00033E65" w:rsidRDefault="001379CF" w:rsidP="001379CF">
            <w:pPr>
              <w:spacing w:before="0" w:after="0"/>
              <w:jc w:val="center"/>
              <w:rPr>
                <w:rFonts w:cs="Calibri"/>
                <w:b/>
                <w:bCs/>
                <w:color w:val="EEECE1"/>
                <w:sz w:val="18"/>
                <w:szCs w:val="18"/>
                <w:lang w:val="es-MX" w:eastAsia="es-MX"/>
              </w:rPr>
            </w:pPr>
            <w:r w:rsidRPr="00033E65">
              <w:rPr>
                <w:rFonts w:cs="Calibri"/>
                <w:b/>
                <w:bCs/>
                <w:color w:val="EEECE1"/>
                <w:sz w:val="18"/>
                <w:szCs w:val="18"/>
                <w:lang w:val="es-MX" w:eastAsia="es-MX"/>
              </w:rPr>
              <w:t>Liberia</w:t>
            </w:r>
          </w:p>
        </w:tc>
        <w:tc>
          <w:tcPr>
            <w:tcW w:w="670" w:type="dxa"/>
            <w:tcBorders>
              <w:top w:val="double" w:sz="6" w:space="0" w:color="1F497D"/>
              <w:left w:val="nil"/>
              <w:bottom w:val="double" w:sz="6" w:space="0" w:color="1F497D"/>
              <w:right w:val="double" w:sz="6" w:space="0" w:color="1F497D"/>
            </w:tcBorders>
            <w:shd w:val="clear" w:color="000000" w:fill="31869B"/>
            <w:vAlign w:val="center"/>
            <w:hideMark/>
          </w:tcPr>
          <w:p w14:paraId="46E42BEC" w14:textId="77777777" w:rsidR="001379CF" w:rsidRPr="00033E65" w:rsidRDefault="001379CF" w:rsidP="001379CF">
            <w:pPr>
              <w:spacing w:before="0" w:after="0"/>
              <w:jc w:val="center"/>
              <w:rPr>
                <w:rFonts w:cs="Calibri"/>
                <w:b/>
                <w:color w:val="EEECE1"/>
                <w:sz w:val="18"/>
                <w:szCs w:val="18"/>
                <w:lang w:val="es-MX" w:eastAsia="es-MX"/>
              </w:rPr>
            </w:pPr>
            <w:r w:rsidRPr="00033E65">
              <w:rPr>
                <w:rFonts w:cs="Calibri"/>
                <w:b/>
                <w:color w:val="EEECE1"/>
                <w:sz w:val="18"/>
                <w:szCs w:val="18"/>
                <w:lang w:val="es-MX" w:eastAsia="es-MX"/>
              </w:rPr>
              <w:t>Pococí</w:t>
            </w:r>
          </w:p>
        </w:tc>
        <w:tc>
          <w:tcPr>
            <w:tcW w:w="936" w:type="dxa"/>
            <w:tcBorders>
              <w:top w:val="double" w:sz="6" w:space="0" w:color="1F497D"/>
              <w:left w:val="nil"/>
              <w:bottom w:val="double" w:sz="6" w:space="0" w:color="1F497D"/>
              <w:right w:val="double" w:sz="6" w:space="0" w:color="1F497D"/>
            </w:tcBorders>
            <w:shd w:val="clear" w:color="000000" w:fill="31869B"/>
            <w:vAlign w:val="center"/>
            <w:hideMark/>
          </w:tcPr>
          <w:p w14:paraId="3A75CFAE" w14:textId="77777777" w:rsidR="001379CF" w:rsidRPr="00033E65" w:rsidRDefault="001379CF" w:rsidP="001379CF">
            <w:pPr>
              <w:spacing w:before="0" w:after="0"/>
              <w:jc w:val="center"/>
              <w:rPr>
                <w:rFonts w:cs="Calibri"/>
                <w:b/>
                <w:bCs/>
                <w:color w:val="EEECE1"/>
                <w:sz w:val="18"/>
                <w:szCs w:val="18"/>
                <w:lang w:val="es-MX" w:eastAsia="es-MX"/>
              </w:rPr>
            </w:pPr>
            <w:r w:rsidRPr="00033E65">
              <w:rPr>
                <w:rFonts w:cs="Calibri"/>
                <w:b/>
                <w:bCs/>
                <w:color w:val="EEECE1"/>
                <w:sz w:val="18"/>
                <w:szCs w:val="18"/>
                <w:lang w:val="es-MX" w:eastAsia="es-MX"/>
              </w:rPr>
              <w:t>Alajuela</w:t>
            </w:r>
          </w:p>
        </w:tc>
      </w:tr>
      <w:tr w:rsidR="00B53CB8" w:rsidRPr="00033E65" w14:paraId="4BE6EEDD" w14:textId="77777777" w:rsidTr="009763EE">
        <w:trPr>
          <w:trHeight w:val="330"/>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11237F5B"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Entrada</w:t>
            </w:r>
          </w:p>
        </w:tc>
        <w:tc>
          <w:tcPr>
            <w:tcW w:w="993" w:type="dxa"/>
            <w:tcBorders>
              <w:top w:val="nil"/>
              <w:left w:val="nil"/>
              <w:bottom w:val="double" w:sz="6" w:space="0" w:color="1F497D"/>
              <w:right w:val="double" w:sz="6" w:space="0" w:color="1F497D"/>
            </w:tcBorders>
            <w:shd w:val="clear" w:color="000000" w:fill="FFFFFF"/>
            <w:noWrap/>
            <w:vAlign w:val="center"/>
            <w:hideMark/>
          </w:tcPr>
          <w:p w14:paraId="19D971D2"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Estabilización</w:t>
            </w:r>
          </w:p>
        </w:tc>
        <w:tc>
          <w:tcPr>
            <w:tcW w:w="851" w:type="dxa"/>
            <w:tcBorders>
              <w:top w:val="nil"/>
              <w:left w:val="nil"/>
              <w:bottom w:val="double" w:sz="6" w:space="0" w:color="1F497D"/>
              <w:right w:val="double" w:sz="6" w:space="0" w:color="1F497D"/>
            </w:tcBorders>
            <w:shd w:val="clear" w:color="000000" w:fill="00B050"/>
            <w:noWrap/>
            <w:vAlign w:val="center"/>
            <w:hideMark/>
          </w:tcPr>
          <w:p w14:paraId="45F03BC3"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-14</w:t>
            </w:r>
          </w:p>
        </w:tc>
        <w:tc>
          <w:tcPr>
            <w:tcW w:w="1000" w:type="dxa"/>
            <w:tcBorders>
              <w:top w:val="nil"/>
              <w:left w:val="nil"/>
              <w:bottom w:val="double" w:sz="6" w:space="0" w:color="1F497D"/>
              <w:right w:val="double" w:sz="6" w:space="0" w:color="1F497D"/>
            </w:tcBorders>
            <w:shd w:val="clear" w:color="000000" w:fill="00B050"/>
            <w:noWrap/>
            <w:vAlign w:val="center"/>
            <w:hideMark/>
          </w:tcPr>
          <w:p w14:paraId="2C3183B4"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w:t>
            </w:r>
          </w:p>
        </w:tc>
        <w:tc>
          <w:tcPr>
            <w:tcW w:w="729" w:type="dxa"/>
            <w:tcBorders>
              <w:top w:val="nil"/>
              <w:left w:val="nil"/>
              <w:bottom w:val="double" w:sz="6" w:space="0" w:color="1F497D"/>
              <w:right w:val="double" w:sz="6" w:space="0" w:color="1F497D"/>
            </w:tcBorders>
            <w:shd w:val="clear" w:color="000000" w:fill="FF0000"/>
            <w:noWrap/>
            <w:vAlign w:val="center"/>
            <w:hideMark/>
          </w:tcPr>
          <w:p w14:paraId="02965E65"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796" w:type="dxa"/>
            <w:tcBorders>
              <w:top w:val="nil"/>
              <w:left w:val="nil"/>
              <w:bottom w:val="double" w:sz="6" w:space="0" w:color="1F497D"/>
              <w:right w:val="double" w:sz="6" w:space="0" w:color="1F497D"/>
            </w:tcBorders>
            <w:shd w:val="clear" w:color="000000" w:fill="00B050"/>
            <w:noWrap/>
            <w:vAlign w:val="center"/>
            <w:hideMark/>
          </w:tcPr>
          <w:p w14:paraId="5DAFFF8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w:t>
            </w:r>
          </w:p>
        </w:tc>
        <w:tc>
          <w:tcPr>
            <w:tcW w:w="766" w:type="dxa"/>
            <w:tcBorders>
              <w:top w:val="nil"/>
              <w:left w:val="nil"/>
              <w:bottom w:val="double" w:sz="6" w:space="0" w:color="1F497D"/>
              <w:right w:val="double" w:sz="6" w:space="0" w:color="1F497D"/>
            </w:tcBorders>
            <w:shd w:val="clear" w:color="000000" w:fill="00B050"/>
            <w:noWrap/>
            <w:vAlign w:val="center"/>
            <w:hideMark/>
          </w:tcPr>
          <w:p w14:paraId="43EB297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-17</w:t>
            </w:r>
          </w:p>
        </w:tc>
        <w:tc>
          <w:tcPr>
            <w:tcW w:w="1051" w:type="dxa"/>
            <w:tcBorders>
              <w:top w:val="nil"/>
              <w:left w:val="nil"/>
              <w:bottom w:val="double" w:sz="6" w:space="0" w:color="1F497D"/>
              <w:right w:val="double" w:sz="6" w:space="0" w:color="1F497D"/>
            </w:tcBorders>
            <w:shd w:val="clear" w:color="000000" w:fill="FF0000"/>
            <w:noWrap/>
            <w:vAlign w:val="center"/>
            <w:hideMark/>
          </w:tcPr>
          <w:p w14:paraId="2FA2FDB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12</w:t>
            </w:r>
          </w:p>
        </w:tc>
        <w:tc>
          <w:tcPr>
            <w:tcW w:w="740" w:type="dxa"/>
            <w:tcBorders>
              <w:top w:val="nil"/>
              <w:left w:val="nil"/>
              <w:bottom w:val="double" w:sz="6" w:space="0" w:color="1F497D"/>
              <w:right w:val="double" w:sz="6" w:space="0" w:color="1F497D"/>
            </w:tcBorders>
            <w:shd w:val="clear" w:color="000000" w:fill="FF0000"/>
            <w:noWrap/>
            <w:vAlign w:val="center"/>
            <w:hideMark/>
          </w:tcPr>
          <w:p w14:paraId="1AEC51DD"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8</w:t>
            </w:r>
          </w:p>
        </w:tc>
        <w:tc>
          <w:tcPr>
            <w:tcW w:w="821" w:type="dxa"/>
            <w:tcBorders>
              <w:top w:val="nil"/>
              <w:left w:val="nil"/>
              <w:bottom w:val="double" w:sz="6" w:space="0" w:color="1F497D"/>
              <w:right w:val="double" w:sz="6" w:space="0" w:color="1F497D"/>
            </w:tcBorders>
            <w:shd w:val="clear" w:color="000000" w:fill="FFFF00"/>
            <w:noWrap/>
            <w:vAlign w:val="center"/>
            <w:hideMark/>
          </w:tcPr>
          <w:p w14:paraId="770D52D7"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781" w:type="dxa"/>
            <w:tcBorders>
              <w:top w:val="nil"/>
              <w:left w:val="nil"/>
              <w:bottom w:val="double" w:sz="6" w:space="0" w:color="1F497D"/>
              <w:right w:val="double" w:sz="6" w:space="0" w:color="1F497D"/>
            </w:tcBorders>
            <w:shd w:val="clear" w:color="000000" w:fill="FFFF00"/>
            <w:noWrap/>
            <w:vAlign w:val="center"/>
            <w:hideMark/>
          </w:tcPr>
          <w:p w14:paraId="552FEDD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730" w:type="dxa"/>
            <w:tcBorders>
              <w:top w:val="nil"/>
              <w:left w:val="nil"/>
              <w:bottom w:val="double" w:sz="6" w:space="0" w:color="1F497D"/>
              <w:right w:val="double" w:sz="6" w:space="0" w:color="1F497D"/>
            </w:tcBorders>
            <w:shd w:val="clear" w:color="000000" w:fill="00B050"/>
            <w:noWrap/>
            <w:vAlign w:val="center"/>
            <w:hideMark/>
          </w:tcPr>
          <w:p w14:paraId="2AC4A5D4"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-7</w:t>
            </w:r>
          </w:p>
        </w:tc>
        <w:tc>
          <w:tcPr>
            <w:tcW w:w="670" w:type="dxa"/>
            <w:tcBorders>
              <w:top w:val="nil"/>
              <w:left w:val="nil"/>
              <w:bottom w:val="double" w:sz="6" w:space="0" w:color="1F497D"/>
              <w:right w:val="double" w:sz="6" w:space="0" w:color="1F497D"/>
            </w:tcBorders>
            <w:shd w:val="clear" w:color="000000" w:fill="FF0000"/>
            <w:noWrap/>
            <w:vAlign w:val="center"/>
            <w:hideMark/>
          </w:tcPr>
          <w:p w14:paraId="551A837E"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w:t>
            </w:r>
          </w:p>
        </w:tc>
        <w:tc>
          <w:tcPr>
            <w:tcW w:w="936" w:type="dxa"/>
            <w:tcBorders>
              <w:top w:val="nil"/>
              <w:left w:val="nil"/>
              <w:bottom w:val="double" w:sz="6" w:space="0" w:color="1F497D"/>
              <w:right w:val="double" w:sz="6" w:space="0" w:color="1F497D"/>
            </w:tcBorders>
            <w:shd w:val="clear" w:color="000000" w:fill="00B050"/>
            <w:noWrap/>
            <w:vAlign w:val="center"/>
            <w:hideMark/>
          </w:tcPr>
          <w:p w14:paraId="75334B91"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r>
      <w:tr w:rsidR="00B53CB8" w:rsidRPr="00033E65" w14:paraId="024BF24B" w14:textId="77777777" w:rsidTr="009763EE">
        <w:trPr>
          <w:trHeight w:val="330"/>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7566716B"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Terminados</w:t>
            </w:r>
          </w:p>
        </w:tc>
        <w:tc>
          <w:tcPr>
            <w:tcW w:w="993" w:type="dxa"/>
            <w:tcBorders>
              <w:top w:val="nil"/>
              <w:left w:val="nil"/>
              <w:bottom w:val="double" w:sz="6" w:space="0" w:color="1F497D"/>
              <w:right w:val="double" w:sz="6" w:space="0" w:color="1F497D"/>
            </w:tcBorders>
            <w:shd w:val="clear" w:color="000000" w:fill="FFFFFF"/>
            <w:noWrap/>
            <w:vAlign w:val="center"/>
            <w:hideMark/>
          </w:tcPr>
          <w:p w14:paraId="761A0D9B"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Incremento</w:t>
            </w:r>
          </w:p>
        </w:tc>
        <w:tc>
          <w:tcPr>
            <w:tcW w:w="851" w:type="dxa"/>
            <w:tcBorders>
              <w:top w:val="nil"/>
              <w:left w:val="nil"/>
              <w:bottom w:val="double" w:sz="6" w:space="0" w:color="1F497D"/>
              <w:right w:val="double" w:sz="6" w:space="0" w:color="1F497D"/>
            </w:tcBorders>
            <w:shd w:val="clear" w:color="000000" w:fill="FF0000"/>
            <w:noWrap/>
            <w:vAlign w:val="center"/>
            <w:hideMark/>
          </w:tcPr>
          <w:p w14:paraId="6088D75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-9</w:t>
            </w:r>
          </w:p>
        </w:tc>
        <w:tc>
          <w:tcPr>
            <w:tcW w:w="1000" w:type="dxa"/>
            <w:tcBorders>
              <w:top w:val="nil"/>
              <w:left w:val="nil"/>
              <w:bottom w:val="double" w:sz="6" w:space="0" w:color="1F497D"/>
              <w:right w:val="double" w:sz="6" w:space="0" w:color="1F497D"/>
            </w:tcBorders>
            <w:shd w:val="clear" w:color="000000" w:fill="FF0000"/>
            <w:noWrap/>
            <w:vAlign w:val="center"/>
            <w:hideMark/>
          </w:tcPr>
          <w:p w14:paraId="7CB9EAF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-13</w:t>
            </w:r>
          </w:p>
        </w:tc>
        <w:tc>
          <w:tcPr>
            <w:tcW w:w="729" w:type="dxa"/>
            <w:tcBorders>
              <w:top w:val="nil"/>
              <w:left w:val="nil"/>
              <w:bottom w:val="double" w:sz="6" w:space="0" w:color="1F497D"/>
              <w:right w:val="double" w:sz="6" w:space="0" w:color="1F497D"/>
            </w:tcBorders>
            <w:shd w:val="clear" w:color="000000" w:fill="FF0000"/>
            <w:noWrap/>
            <w:vAlign w:val="center"/>
            <w:hideMark/>
          </w:tcPr>
          <w:p w14:paraId="0377CEB7"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-10</w:t>
            </w:r>
          </w:p>
        </w:tc>
        <w:tc>
          <w:tcPr>
            <w:tcW w:w="796" w:type="dxa"/>
            <w:tcBorders>
              <w:top w:val="nil"/>
              <w:left w:val="nil"/>
              <w:bottom w:val="double" w:sz="6" w:space="0" w:color="1F497D"/>
              <w:right w:val="double" w:sz="6" w:space="0" w:color="1F497D"/>
            </w:tcBorders>
            <w:shd w:val="clear" w:color="000000" w:fill="FF0000"/>
            <w:noWrap/>
            <w:vAlign w:val="center"/>
            <w:hideMark/>
          </w:tcPr>
          <w:p w14:paraId="2641F2F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w:t>
            </w:r>
          </w:p>
        </w:tc>
        <w:tc>
          <w:tcPr>
            <w:tcW w:w="766" w:type="dxa"/>
            <w:tcBorders>
              <w:top w:val="nil"/>
              <w:left w:val="nil"/>
              <w:bottom w:val="double" w:sz="6" w:space="0" w:color="1F497D"/>
              <w:right w:val="double" w:sz="6" w:space="0" w:color="1F497D"/>
            </w:tcBorders>
            <w:shd w:val="clear" w:color="000000" w:fill="FF0000"/>
            <w:noWrap/>
            <w:vAlign w:val="center"/>
            <w:hideMark/>
          </w:tcPr>
          <w:p w14:paraId="4B128ED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-38</w:t>
            </w:r>
          </w:p>
        </w:tc>
        <w:tc>
          <w:tcPr>
            <w:tcW w:w="1051" w:type="dxa"/>
            <w:tcBorders>
              <w:top w:val="nil"/>
              <w:left w:val="nil"/>
              <w:bottom w:val="double" w:sz="6" w:space="0" w:color="1F497D"/>
              <w:right w:val="double" w:sz="6" w:space="0" w:color="1F497D"/>
            </w:tcBorders>
            <w:shd w:val="clear" w:color="000000" w:fill="00B050"/>
            <w:noWrap/>
            <w:vAlign w:val="center"/>
            <w:hideMark/>
          </w:tcPr>
          <w:p w14:paraId="21FEFF9D"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w:t>
            </w:r>
          </w:p>
        </w:tc>
        <w:tc>
          <w:tcPr>
            <w:tcW w:w="740" w:type="dxa"/>
            <w:tcBorders>
              <w:top w:val="nil"/>
              <w:left w:val="nil"/>
              <w:bottom w:val="double" w:sz="6" w:space="0" w:color="1F497D"/>
              <w:right w:val="double" w:sz="6" w:space="0" w:color="1F497D"/>
            </w:tcBorders>
            <w:shd w:val="clear" w:color="000000" w:fill="00B050"/>
            <w:noWrap/>
            <w:vAlign w:val="center"/>
            <w:hideMark/>
          </w:tcPr>
          <w:p w14:paraId="4EA0E94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10</w:t>
            </w:r>
          </w:p>
        </w:tc>
        <w:tc>
          <w:tcPr>
            <w:tcW w:w="821" w:type="dxa"/>
            <w:tcBorders>
              <w:top w:val="nil"/>
              <w:left w:val="nil"/>
              <w:bottom w:val="double" w:sz="6" w:space="0" w:color="1F497D"/>
              <w:right w:val="double" w:sz="6" w:space="0" w:color="1F497D"/>
            </w:tcBorders>
            <w:shd w:val="clear" w:color="000000" w:fill="FFFF00"/>
            <w:noWrap/>
            <w:vAlign w:val="center"/>
            <w:hideMark/>
          </w:tcPr>
          <w:p w14:paraId="0E2207F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781" w:type="dxa"/>
            <w:tcBorders>
              <w:top w:val="nil"/>
              <w:left w:val="nil"/>
              <w:bottom w:val="double" w:sz="6" w:space="0" w:color="1F497D"/>
              <w:right w:val="double" w:sz="6" w:space="0" w:color="1F497D"/>
            </w:tcBorders>
            <w:shd w:val="clear" w:color="000000" w:fill="FF0000"/>
            <w:noWrap/>
            <w:vAlign w:val="center"/>
            <w:hideMark/>
          </w:tcPr>
          <w:p w14:paraId="4A982090"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730" w:type="dxa"/>
            <w:tcBorders>
              <w:top w:val="nil"/>
              <w:left w:val="nil"/>
              <w:bottom w:val="double" w:sz="6" w:space="0" w:color="1F497D"/>
              <w:right w:val="double" w:sz="6" w:space="0" w:color="1F497D"/>
            </w:tcBorders>
            <w:shd w:val="clear" w:color="000000" w:fill="FF0000"/>
            <w:noWrap/>
            <w:vAlign w:val="center"/>
            <w:hideMark/>
          </w:tcPr>
          <w:p w14:paraId="492616FE"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-12</w:t>
            </w:r>
          </w:p>
        </w:tc>
        <w:tc>
          <w:tcPr>
            <w:tcW w:w="670" w:type="dxa"/>
            <w:tcBorders>
              <w:top w:val="nil"/>
              <w:left w:val="nil"/>
              <w:bottom w:val="double" w:sz="6" w:space="0" w:color="1F497D"/>
              <w:right w:val="double" w:sz="6" w:space="0" w:color="1F497D"/>
            </w:tcBorders>
            <w:shd w:val="clear" w:color="000000" w:fill="00B050"/>
            <w:noWrap/>
            <w:vAlign w:val="center"/>
            <w:hideMark/>
          </w:tcPr>
          <w:p w14:paraId="554CF094"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5</w:t>
            </w:r>
          </w:p>
        </w:tc>
        <w:tc>
          <w:tcPr>
            <w:tcW w:w="936" w:type="dxa"/>
            <w:tcBorders>
              <w:top w:val="nil"/>
              <w:left w:val="nil"/>
              <w:bottom w:val="double" w:sz="6" w:space="0" w:color="1F497D"/>
              <w:right w:val="double" w:sz="6" w:space="0" w:color="1F497D"/>
            </w:tcBorders>
            <w:shd w:val="clear" w:color="000000" w:fill="FF0000"/>
            <w:noWrap/>
            <w:vAlign w:val="center"/>
            <w:hideMark/>
          </w:tcPr>
          <w:p w14:paraId="03B6439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-4</w:t>
            </w:r>
          </w:p>
        </w:tc>
      </w:tr>
      <w:tr w:rsidR="00B53CB8" w:rsidRPr="00033E65" w14:paraId="1420D36E" w14:textId="77777777" w:rsidTr="009763EE">
        <w:trPr>
          <w:trHeight w:val="330"/>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369AD314"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Circulante</w:t>
            </w:r>
          </w:p>
        </w:tc>
        <w:tc>
          <w:tcPr>
            <w:tcW w:w="993" w:type="dxa"/>
            <w:tcBorders>
              <w:top w:val="nil"/>
              <w:left w:val="nil"/>
              <w:bottom w:val="double" w:sz="6" w:space="0" w:color="1F497D"/>
              <w:right w:val="double" w:sz="6" w:space="0" w:color="1F497D"/>
            </w:tcBorders>
            <w:shd w:val="clear" w:color="000000" w:fill="FFFFFF"/>
            <w:noWrap/>
            <w:vAlign w:val="center"/>
            <w:hideMark/>
          </w:tcPr>
          <w:p w14:paraId="6CA08A12"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Disminución</w:t>
            </w:r>
          </w:p>
        </w:tc>
        <w:tc>
          <w:tcPr>
            <w:tcW w:w="851" w:type="dxa"/>
            <w:tcBorders>
              <w:top w:val="nil"/>
              <w:left w:val="nil"/>
              <w:bottom w:val="double" w:sz="6" w:space="0" w:color="1F497D"/>
              <w:right w:val="double" w:sz="6" w:space="0" w:color="1F497D"/>
            </w:tcBorders>
            <w:shd w:val="clear" w:color="000000" w:fill="FF0000"/>
            <w:noWrap/>
            <w:vAlign w:val="center"/>
            <w:hideMark/>
          </w:tcPr>
          <w:p w14:paraId="65DDC34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26</w:t>
            </w:r>
          </w:p>
        </w:tc>
        <w:tc>
          <w:tcPr>
            <w:tcW w:w="1000" w:type="dxa"/>
            <w:tcBorders>
              <w:top w:val="nil"/>
              <w:left w:val="nil"/>
              <w:bottom w:val="double" w:sz="6" w:space="0" w:color="1F497D"/>
              <w:right w:val="double" w:sz="6" w:space="0" w:color="1F497D"/>
            </w:tcBorders>
            <w:shd w:val="clear" w:color="000000" w:fill="FF0000"/>
            <w:noWrap/>
            <w:vAlign w:val="center"/>
            <w:hideMark/>
          </w:tcPr>
          <w:p w14:paraId="07998CFB"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27</w:t>
            </w:r>
          </w:p>
        </w:tc>
        <w:tc>
          <w:tcPr>
            <w:tcW w:w="729" w:type="dxa"/>
            <w:tcBorders>
              <w:top w:val="nil"/>
              <w:left w:val="nil"/>
              <w:bottom w:val="double" w:sz="6" w:space="0" w:color="1F497D"/>
              <w:right w:val="double" w:sz="6" w:space="0" w:color="1F497D"/>
            </w:tcBorders>
            <w:shd w:val="clear" w:color="000000" w:fill="FF0000"/>
            <w:noWrap/>
            <w:vAlign w:val="center"/>
            <w:hideMark/>
          </w:tcPr>
          <w:p w14:paraId="28C23B4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52</w:t>
            </w:r>
          </w:p>
        </w:tc>
        <w:tc>
          <w:tcPr>
            <w:tcW w:w="796" w:type="dxa"/>
            <w:tcBorders>
              <w:top w:val="nil"/>
              <w:left w:val="nil"/>
              <w:bottom w:val="double" w:sz="6" w:space="0" w:color="1F497D"/>
              <w:right w:val="double" w:sz="6" w:space="0" w:color="1F497D"/>
            </w:tcBorders>
            <w:shd w:val="clear" w:color="000000" w:fill="00B050"/>
            <w:noWrap/>
            <w:vAlign w:val="center"/>
            <w:hideMark/>
          </w:tcPr>
          <w:p w14:paraId="3E68A7D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-15</w:t>
            </w:r>
          </w:p>
        </w:tc>
        <w:tc>
          <w:tcPr>
            <w:tcW w:w="766" w:type="dxa"/>
            <w:tcBorders>
              <w:top w:val="nil"/>
              <w:left w:val="nil"/>
              <w:bottom w:val="double" w:sz="6" w:space="0" w:color="1F497D"/>
              <w:right w:val="double" w:sz="6" w:space="0" w:color="1F497D"/>
            </w:tcBorders>
            <w:shd w:val="clear" w:color="000000" w:fill="00B050"/>
            <w:noWrap/>
            <w:vAlign w:val="center"/>
            <w:hideMark/>
          </w:tcPr>
          <w:p w14:paraId="4FFC0B3E"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-28</w:t>
            </w:r>
          </w:p>
        </w:tc>
        <w:tc>
          <w:tcPr>
            <w:tcW w:w="1051" w:type="dxa"/>
            <w:tcBorders>
              <w:top w:val="nil"/>
              <w:left w:val="nil"/>
              <w:bottom w:val="double" w:sz="6" w:space="0" w:color="1F497D"/>
              <w:right w:val="double" w:sz="6" w:space="0" w:color="1F497D"/>
            </w:tcBorders>
            <w:shd w:val="clear" w:color="000000" w:fill="FF0000"/>
            <w:noWrap/>
            <w:vAlign w:val="center"/>
            <w:hideMark/>
          </w:tcPr>
          <w:p w14:paraId="13483A72"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96</w:t>
            </w:r>
          </w:p>
        </w:tc>
        <w:tc>
          <w:tcPr>
            <w:tcW w:w="740" w:type="dxa"/>
            <w:tcBorders>
              <w:top w:val="nil"/>
              <w:left w:val="nil"/>
              <w:bottom w:val="double" w:sz="6" w:space="0" w:color="1F497D"/>
              <w:right w:val="double" w:sz="6" w:space="0" w:color="1F497D"/>
            </w:tcBorders>
            <w:shd w:val="clear" w:color="000000" w:fill="FF0000"/>
            <w:noWrap/>
            <w:vAlign w:val="center"/>
            <w:hideMark/>
          </w:tcPr>
          <w:p w14:paraId="54F6D0A0"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172</w:t>
            </w:r>
          </w:p>
        </w:tc>
        <w:tc>
          <w:tcPr>
            <w:tcW w:w="821" w:type="dxa"/>
            <w:tcBorders>
              <w:top w:val="nil"/>
              <w:left w:val="nil"/>
              <w:bottom w:val="double" w:sz="6" w:space="0" w:color="1F497D"/>
              <w:right w:val="double" w:sz="6" w:space="0" w:color="1F497D"/>
            </w:tcBorders>
            <w:shd w:val="clear" w:color="000000" w:fill="FF0000"/>
            <w:noWrap/>
            <w:vAlign w:val="center"/>
            <w:hideMark/>
          </w:tcPr>
          <w:p w14:paraId="1BAE603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41</w:t>
            </w:r>
          </w:p>
        </w:tc>
        <w:tc>
          <w:tcPr>
            <w:tcW w:w="781" w:type="dxa"/>
            <w:tcBorders>
              <w:top w:val="nil"/>
              <w:left w:val="nil"/>
              <w:bottom w:val="double" w:sz="6" w:space="0" w:color="1F497D"/>
              <w:right w:val="double" w:sz="6" w:space="0" w:color="1F497D"/>
            </w:tcBorders>
            <w:shd w:val="clear" w:color="000000" w:fill="FF0000"/>
            <w:noWrap/>
            <w:vAlign w:val="center"/>
            <w:hideMark/>
          </w:tcPr>
          <w:p w14:paraId="0BAE12DF"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30</w:t>
            </w:r>
          </w:p>
        </w:tc>
        <w:tc>
          <w:tcPr>
            <w:tcW w:w="730" w:type="dxa"/>
            <w:tcBorders>
              <w:top w:val="nil"/>
              <w:left w:val="nil"/>
              <w:bottom w:val="double" w:sz="6" w:space="0" w:color="1F497D"/>
              <w:right w:val="double" w:sz="6" w:space="0" w:color="1F497D"/>
            </w:tcBorders>
            <w:shd w:val="clear" w:color="000000" w:fill="00B050"/>
            <w:noWrap/>
            <w:vAlign w:val="center"/>
            <w:hideMark/>
          </w:tcPr>
          <w:p w14:paraId="3016B647"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670" w:type="dxa"/>
            <w:tcBorders>
              <w:top w:val="nil"/>
              <w:left w:val="nil"/>
              <w:bottom w:val="double" w:sz="6" w:space="0" w:color="1F497D"/>
              <w:right w:val="double" w:sz="6" w:space="0" w:color="1F497D"/>
            </w:tcBorders>
            <w:shd w:val="clear" w:color="000000" w:fill="00B050"/>
            <w:noWrap/>
            <w:vAlign w:val="center"/>
            <w:hideMark/>
          </w:tcPr>
          <w:p w14:paraId="725B7D4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-66</w:t>
            </w:r>
          </w:p>
        </w:tc>
        <w:tc>
          <w:tcPr>
            <w:tcW w:w="936" w:type="dxa"/>
            <w:tcBorders>
              <w:top w:val="nil"/>
              <w:left w:val="nil"/>
              <w:bottom w:val="double" w:sz="6" w:space="0" w:color="1F497D"/>
              <w:right w:val="double" w:sz="6" w:space="0" w:color="1F497D"/>
            </w:tcBorders>
            <w:shd w:val="clear" w:color="000000" w:fill="FF0000"/>
            <w:noWrap/>
            <w:vAlign w:val="center"/>
            <w:hideMark/>
          </w:tcPr>
          <w:p w14:paraId="3AE23BE7"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5</w:t>
            </w:r>
          </w:p>
        </w:tc>
      </w:tr>
      <w:tr w:rsidR="00B53CB8" w:rsidRPr="00033E65" w14:paraId="209E47A6" w14:textId="77777777" w:rsidTr="009763EE">
        <w:trPr>
          <w:trHeight w:val="840"/>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4A5BD384"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Plazo de Dictado sentencia</w:t>
            </w:r>
          </w:p>
        </w:tc>
        <w:tc>
          <w:tcPr>
            <w:tcW w:w="993" w:type="dxa"/>
            <w:tcBorders>
              <w:top w:val="nil"/>
              <w:left w:val="nil"/>
              <w:bottom w:val="double" w:sz="6" w:space="0" w:color="1F497D"/>
              <w:right w:val="double" w:sz="6" w:space="0" w:color="1F497D"/>
            </w:tcBorders>
            <w:shd w:val="clear" w:color="000000" w:fill="FFFFFF"/>
            <w:noWrap/>
            <w:vAlign w:val="center"/>
            <w:hideMark/>
          </w:tcPr>
          <w:p w14:paraId="3FCE3D67"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Disminución</w:t>
            </w:r>
          </w:p>
        </w:tc>
        <w:tc>
          <w:tcPr>
            <w:tcW w:w="851" w:type="dxa"/>
            <w:tcBorders>
              <w:top w:val="nil"/>
              <w:left w:val="nil"/>
              <w:bottom w:val="double" w:sz="6" w:space="0" w:color="1F497D"/>
              <w:right w:val="double" w:sz="6" w:space="0" w:color="1F497D"/>
            </w:tcBorders>
            <w:shd w:val="clear" w:color="000000" w:fill="FF0000"/>
            <w:noWrap/>
            <w:vAlign w:val="center"/>
            <w:hideMark/>
          </w:tcPr>
          <w:p w14:paraId="66167913"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114</w:t>
            </w:r>
          </w:p>
        </w:tc>
        <w:tc>
          <w:tcPr>
            <w:tcW w:w="1000" w:type="dxa"/>
            <w:tcBorders>
              <w:top w:val="nil"/>
              <w:left w:val="nil"/>
              <w:bottom w:val="double" w:sz="6" w:space="0" w:color="1F497D"/>
              <w:right w:val="double" w:sz="6" w:space="0" w:color="1F497D"/>
            </w:tcBorders>
            <w:shd w:val="clear" w:color="000000" w:fill="FF0000"/>
            <w:noWrap/>
            <w:vAlign w:val="center"/>
            <w:hideMark/>
          </w:tcPr>
          <w:p w14:paraId="072FB3E2"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54</w:t>
            </w:r>
          </w:p>
        </w:tc>
        <w:tc>
          <w:tcPr>
            <w:tcW w:w="729" w:type="dxa"/>
            <w:tcBorders>
              <w:top w:val="nil"/>
              <w:left w:val="nil"/>
              <w:bottom w:val="double" w:sz="6" w:space="0" w:color="1F497D"/>
              <w:right w:val="double" w:sz="6" w:space="0" w:color="1F497D"/>
            </w:tcBorders>
            <w:shd w:val="clear" w:color="000000" w:fill="FF0000"/>
            <w:noWrap/>
            <w:vAlign w:val="center"/>
            <w:hideMark/>
          </w:tcPr>
          <w:p w14:paraId="4C14A0BE"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5</w:t>
            </w:r>
          </w:p>
        </w:tc>
        <w:tc>
          <w:tcPr>
            <w:tcW w:w="796" w:type="dxa"/>
            <w:tcBorders>
              <w:top w:val="nil"/>
              <w:left w:val="nil"/>
              <w:bottom w:val="double" w:sz="6" w:space="0" w:color="1F497D"/>
              <w:right w:val="double" w:sz="6" w:space="0" w:color="1F497D"/>
            </w:tcBorders>
            <w:shd w:val="clear" w:color="000000" w:fill="FF0000"/>
            <w:noWrap/>
            <w:vAlign w:val="center"/>
            <w:hideMark/>
          </w:tcPr>
          <w:p w14:paraId="4E678957"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68</w:t>
            </w:r>
          </w:p>
        </w:tc>
        <w:tc>
          <w:tcPr>
            <w:tcW w:w="766" w:type="dxa"/>
            <w:tcBorders>
              <w:top w:val="nil"/>
              <w:left w:val="nil"/>
              <w:bottom w:val="double" w:sz="6" w:space="0" w:color="1F497D"/>
              <w:right w:val="double" w:sz="6" w:space="0" w:color="1F497D"/>
            </w:tcBorders>
            <w:shd w:val="clear" w:color="000000" w:fill="FF0000"/>
            <w:noWrap/>
            <w:vAlign w:val="center"/>
            <w:hideMark/>
          </w:tcPr>
          <w:p w14:paraId="750CB32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8</w:t>
            </w:r>
          </w:p>
        </w:tc>
        <w:tc>
          <w:tcPr>
            <w:tcW w:w="1051" w:type="dxa"/>
            <w:tcBorders>
              <w:top w:val="nil"/>
              <w:left w:val="nil"/>
              <w:bottom w:val="double" w:sz="6" w:space="0" w:color="1F497D"/>
              <w:right w:val="double" w:sz="6" w:space="0" w:color="1F497D"/>
            </w:tcBorders>
            <w:shd w:val="clear" w:color="000000" w:fill="FF0000"/>
            <w:noWrap/>
            <w:vAlign w:val="center"/>
            <w:hideMark/>
          </w:tcPr>
          <w:p w14:paraId="0341FC9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8</w:t>
            </w:r>
          </w:p>
        </w:tc>
        <w:tc>
          <w:tcPr>
            <w:tcW w:w="740" w:type="dxa"/>
            <w:tcBorders>
              <w:top w:val="nil"/>
              <w:left w:val="nil"/>
              <w:bottom w:val="double" w:sz="6" w:space="0" w:color="1F497D"/>
              <w:right w:val="double" w:sz="6" w:space="0" w:color="1F497D"/>
            </w:tcBorders>
            <w:shd w:val="clear" w:color="000000" w:fill="FF0000"/>
            <w:noWrap/>
            <w:vAlign w:val="center"/>
            <w:hideMark/>
          </w:tcPr>
          <w:p w14:paraId="15841ED3"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32</w:t>
            </w:r>
          </w:p>
        </w:tc>
        <w:tc>
          <w:tcPr>
            <w:tcW w:w="821" w:type="dxa"/>
            <w:tcBorders>
              <w:top w:val="nil"/>
              <w:left w:val="nil"/>
              <w:bottom w:val="double" w:sz="6" w:space="0" w:color="1F497D"/>
              <w:right w:val="double" w:sz="6" w:space="0" w:color="1F497D"/>
            </w:tcBorders>
            <w:shd w:val="clear" w:color="000000" w:fill="FF0000"/>
            <w:noWrap/>
            <w:vAlign w:val="center"/>
            <w:hideMark/>
          </w:tcPr>
          <w:p w14:paraId="089F42B3"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16</w:t>
            </w:r>
          </w:p>
        </w:tc>
        <w:tc>
          <w:tcPr>
            <w:tcW w:w="781" w:type="dxa"/>
            <w:tcBorders>
              <w:top w:val="nil"/>
              <w:left w:val="nil"/>
              <w:bottom w:val="double" w:sz="6" w:space="0" w:color="1F497D"/>
              <w:right w:val="double" w:sz="6" w:space="0" w:color="1F497D"/>
            </w:tcBorders>
            <w:shd w:val="clear" w:color="000000" w:fill="00B050"/>
            <w:noWrap/>
            <w:vAlign w:val="center"/>
            <w:hideMark/>
          </w:tcPr>
          <w:p w14:paraId="60CE806D"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-20</w:t>
            </w:r>
          </w:p>
        </w:tc>
        <w:tc>
          <w:tcPr>
            <w:tcW w:w="730" w:type="dxa"/>
            <w:tcBorders>
              <w:top w:val="nil"/>
              <w:left w:val="nil"/>
              <w:bottom w:val="double" w:sz="6" w:space="0" w:color="1F497D"/>
              <w:right w:val="double" w:sz="6" w:space="0" w:color="1F497D"/>
            </w:tcBorders>
            <w:shd w:val="clear" w:color="000000" w:fill="FF0000"/>
            <w:noWrap/>
            <w:vAlign w:val="center"/>
            <w:hideMark/>
          </w:tcPr>
          <w:p w14:paraId="6D21C6A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175</w:t>
            </w:r>
          </w:p>
        </w:tc>
        <w:tc>
          <w:tcPr>
            <w:tcW w:w="670" w:type="dxa"/>
            <w:tcBorders>
              <w:top w:val="nil"/>
              <w:left w:val="nil"/>
              <w:bottom w:val="double" w:sz="6" w:space="0" w:color="1F497D"/>
              <w:right w:val="double" w:sz="6" w:space="0" w:color="1F497D"/>
            </w:tcBorders>
            <w:shd w:val="clear" w:color="000000" w:fill="FF0000"/>
            <w:noWrap/>
            <w:vAlign w:val="center"/>
            <w:hideMark/>
          </w:tcPr>
          <w:p w14:paraId="43CF4545"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29</w:t>
            </w:r>
          </w:p>
        </w:tc>
        <w:tc>
          <w:tcPr>
            <w:tcW w:w="936" w:type="dxa"/>
            <w:tcBorders>
              <w:top w:val="nil"/>
              <w:left w:val="nil"/>
              <w:bottom w:val="double" w:sz="6" w:space="0" w:color="1F497D"/>
              <w:right w:val="double" w:sz="6" w:space="0" w:color="1F497D"/>
            </w:tcBorders>
            <w:shd w:val="clear" w:color="000000" w:fill="00B050"/>
            <w:noWrap/>
            <w:vAlign w:val="center"/>
            <w:hideMark/>
          </w:tcPr>
          <w:p w14:paraId="01A135EC"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-575</w:t>
            </w:r>
          </w:p>
        </w:tc>
      </w:tr>
      <w:tr w:rsidR="00B53CB8" w:rsidRPr="00033E65" w14:paraId="418F45A9" w14:textId="77777777" w:rsidTr="009763EE">
        <w:trPr>
          <w:trHeight w:val="1111"/>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732F6586"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Plazo de realización de audiencia</w:t>
            </w:r>
          </w:p>
        </w:tc>
        <w:tc>
          <w:tcPr>
            <w:tcW w:w="993" w:type="dxa"/>
            <w:tcBorders>
              <w:top w:val="nil"/>
              <w:left w:val="nil"/>
              <w:bottom w:val="double" w:sz="6" w:space="0" w:color="1F497D"/>
              <w:right w:val="double" w:sz="6" w:space="0" w:color="1F497D"/>
            </w:tcBorders>
            <w:shd w:val="clear" w:color="000000" w:fill="FFFFFF"/>
            <w:noWrap/>
            <w:vAlign w:val="center"/>
            <w:hideMark/>
          </w:tcPr>
          <w:p w14:paraId="7C56B030"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Disminución</w:t>
            </w:r>
          </w:p>
        </w:tc>
        <w:tc>
          <w:tcPr>
            <w:tcW w:w="851" w:type="dxa"/>
            <w:tcBorders>
              <w:top w:val="nil"/>
              <w:left w:val="nil"/>
              <w:bottom w:val="double" w:sz="6" w:space="0" w:color="1F497D"/>
              <w:right w:val="double" w:sz="6" w:space="0" w:color="1F497D"/>
            </w:tcBorders>
            <w:shd w:val="clear" w:color="000000" w:fill="FF0000"/>
            <w:noWrap/>
            <w:vAlign w:val="center"/>
            <w:hideMark/>
          </w:tcPr>
          <w:p w14:paraId="24B21641"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46</w:t>
            </w:r>
          </w:p>
        </w:tc>
        <w:tc>
          <w:tcPr>
            <w:tcW w:w="1000" w:type="dxa"/>
            <w:tcBorders>
              <w:top w:val="nil"/>
              <w:left w:val="nil"/>
              <w:bottom w:val="double" w:sz="6" w:space="0" w:color="1F497D"/>
              <w:right w:val="double" w:sz="6" w:space="0" w:color="1F497D"/>
            </w:tcBorders>
            <w:shd w:val="clear" w:color="000000" w:fill="00B050"/>
            <w:noWrap/>
            <w:vAlign w:val="center"/>
            <w:hideMark/>
          </w:tcPr>
          <w:p w14:paraId="5F0C75FB"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-38</w:t>
            </w:r>
          </w:p>
        </w:tc>
        <w:tc>
          <w:tcPr>
            <w:tcW w:w="729" w:type="dxa"/>
            <w:tcBorders>
              <w:top w:val="nil"/>
              <w:left w:val="nil"/>
              <w:bottom w:val="double" w:sz="6" w:space="0" w:color="1F497D"/>
              <w:right w:val="double" w:sz="6" w:space="0" w:color="1F497D"/>
            </w:tcBorders>
            <w:shd w:val="clear" w:color="000000" w:fill="00B050"/>
            <w:noWrap/>
            <w:vAlign w:val="center"/>
            <w:hideMark/>
          </w:tcPr>
          <w:p w14:paraId="7C170B20"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-6</w:t>
            </w:r>
          </w:p>
        </w:tc>
        <w:tc>
          <w:tcPr>
            <w:tcW w:w="796" w:type="dxa"/>
            <w:tcBorders>
              <w:top w:val="nil"/>
              <w:left w:val="nil"/>
              <w:bottom w:val="double" w:sz="6" w:space="0" w:color="1F497D"/>
              <w:right w:val="double" w:sz="6" w:space="0" w:color="1F497D"/>
            </w:tcBorders>
            <w:shd w:val="clear" w:color="000000" w:fill="FF0000"/>
            <w:noWrap/>
            <w:vAlign w:val="center"/>
            <w:hideMark/>
          </w:tcPr>
          <w:p w14:paraId="1B12CEE0"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6</w:t>
            </w:r>
          </w:p>
        </w:tc>
        <w:tc>
          <w:tcPr>
            <w:tcW w:w="766" w:type="dxa"/>
            <w:tcBorders>
              <w:top w:val="nil"/>
              <w:left w:val="nil"/>
              <w:bottom w:val="double" w:sz="6" w:space="0" w:color="1F497D"/>
              <w:right w:val="double" w:sz="6" w:space="0" w:color="1F497D"/>
            </w:tcBorders>
            <w:shd w:val="clear" w:color="000000" w:fill="FFFF00"/>
            <w:noWrap/>
            <w:vAlign w:val="center"/>
            <w:hideMark/>
          </w:tcPr>
          <w:p w14:paraId="3B9731C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1051" w:type="dxa"/>
            <w:tcBorders>
              <w:top w:val="nil"/>
              <w:left w:val="nil"/>
              <w:bottom w:val="double" w:sz="6" w:space="0" w:color="1F497D"/>
              <w:right w:val="double" w:sz="6" w:space="0" w:color="1F497D"/>
            </w:tcBorders>
            <w:shd w:val="clear" w:color="000000" w:fill="FF0000"/>
            <w:noWrap/>
            <w:vAlign w:val="center"/>
            <w:hideMark/>
          </w:tcPr>
          <w:p w14:paraId="325D874B"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35</w:t>
            </w:r>
          </w:p>
        </w:tc>
        <w:tc>
          <w:tcPr>
            <w:tcW w:w="740" w:type="dxa"/>
            <w:tcBorders>
              <w:top w:val="nil"/>
              <w:left w:val="nil"/>
              <w:bottom w:val="double" w:sz="6" w:space="0" w:color="1F497D"/>
              <w:right w:val="double" w:sz="6" w:space="0" w:color="1F497D"/>
            </w:tcBorders>
            <w:shd w:val="clear" w:color="000000" w:fill="FF0000"/>
            <w:noWrap/>
            <w:vAlign w:val="center"/>
            <w:hideMark/>
          </w:tcPr>
          <w:p w14:paraId="491C2695"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610</w:t>
            </w:r>
          </w:p>
        </w:tc>
        <w:tc>
          <w:tcPr>
            <w:tcW w:w="821" w:type="dxa"/>
            <w:tcBorders>
              <w:top w:val="nil"/>
              <w:left w:val="nil"/>
              <w:bottom w:val="double" w:sz="6" w:space="0" w:color="1F497D"/>
              <w:right w:val="double" w:sz="6" w:space="0" w:color="1F497D"/>
            </w:tcBorders>
            <w:shd w:val="clear" w:color="000000" w:fill="FF0000"/>
            <w:noWrap/>
            <w:vAlign w:val="center"/>
            <w:hideMark/>
          </w:tcPr>
          <w:p w14:paraId="5800EFE7"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96</w:t>
            </w:r>
          </w:p>
        </w:tc>
        <w:tc>
          <w:tcPr>
            <w:tcW w:w="781" w:type="dxa"/>
            <w:tcBorders>
              <w:top w:val="nil"/>
              <w:left w:val="nil"/>
              <w:bottom w:val="double" w:sz="6" w:space="0" w:color="1F497D"/>
              <w:right w:val="double" w:sz="6" w:space="0" w:color="1F497D"/>
            </w:tcBorders>
            <w:shd w:val="clear" w:color="000000" w:fill="FF0000"/>
            <w:noWrap/>
            <w:vAlign w:val="center"/>
            <w:hideMark/>
          </w:tcPr>
          <w:p w14:paraId="37005F97"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46</w:t>
            </w:r>
          </w:p>
        </w:tc>
        <w:tc>
          <w:tcPr>
            <w:tcW w:w="730" w:type="dxa"/>
            <w:tcBorders>
              <w:top w:val="nil"/>
              <w:left w:val="nil"/>
              <w:bottom w:val="double" w:sz="6" w:space="0" w:color="1F497D"/>
              <w:right w:val="double" w:sz="6" w:space="0" w:color="1F497D"/>
            </w:tcBorders>
            <w:shd w:val="clear" w:color="000000" w:fill="00B050"/>
            <w:noWrap/>
            <w:vAlign w:val="center"/>
            <w:hideMark/>
          </w:tcPr>
          <w:p w14:paraId="245FE233"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-9</w:t>
            </w:r>
          </w:p>
        </w:tc>
        <w:tc>
          <w:tcPr>
            <w:tcW w:w="670" w:type="dxa"/>
            <w:tcBorders>
              <w:top w:val="nil"/>
              <w:left w:val="nil"/>
              <w:bottom w:val="double" w:sz="6" w:space="0" w:color="1F497D"/>
              <w:right w:val="double" w:sz="6" w:space="0" w:color="1F497D"/>
            </w:tcBorders>
            <w:shd w:val="clear" w:color="000000" w:fill="00B050"/>
            <w:noWrap/>
            <w:vAlign w:val="center"/>
            <w:hideMark/>
          </w:tcPr>
          <w:p w14:paraId="0D7576CD"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-275</w:t>
            </w:r>
          </w:p>
        </w:tc>
        <w:tc>
          <w:tcPr>
            <w:tcW w:w="936" w:type="dxa"/>
            <w:tcBorders>
              <w:top w:val="nil"/>
              <w:left w:val="nil"/>
              <w:bottom w:val="double" w:sz="6" w:space="0" w:color="1F497D"/>
              <w:right w:val="double" w:sz="6" w:space="0" w:color="1F497D"/>
            </w:tcBorders>
            <w:shd w:val="clear" w:color="000000" w:fill="FF0000"/>
            <w:noWrap/>
            <w:vAlign w:val="center"/>
            <w:hideMark/>
          </w:tcPr>
          <w:p w14:paraId="6E5B59C1"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29</w:t>
            </w:r>
          </w:p>
        </w:tc>
      </w:tr>
      <w:tr w:rsidR="00B53CB8" w:rsidRPr="00033E65" w14:paraId="07EEC271" w14:textId="77777777" w:rsidTr="009763EE">
        <w:trPr>
          <w:trHeight w:val="1111"/>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30704AAC"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Plazo para resolver demanda nueva</w:t>
            </w:r>
          </w:p>
        </w:tc>
        <w:tc>
          <w:tcPr>
            <w:tcW w:w="993" w:type="dxa"/>
            <w:tcBorders>
              <w:top w:val="nil"/>
              <w:left w:val="nil"/>
              <w:bottom w:val="double" w:sz="6" w:space="0" w:color="1F497D"/>
              <w:right w:val="double" w:sz="6" w:space="0" w:color="1F497D"/>
            </w:tcBorders>
            <w:shd w:val="clear" w:color="000000" w:fill="FFFFFF"/>
            <w:noWrap/>
            <w:vAlign w:val="center"/>
            <w:hideMark/>
          </w:tcPr>
          <w:p w14:paraId="5EED8000"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Disminución</w:t>
            </w:r>
          </w:p>
        </w:tc>
        <w:tc>
          <w:tcPr>
            <w:tcW w:w="851" w:type="dxa"/>
            <w:tcBorders>
              <w:top w:val="nil"/>
              <w:left w:val="nil"/>
              <w:bottom w:val="double" w:sz="6" w:space="0" w:color="1F497D"/>
              <w:right w:val="double" w:sz="6" w:space="0" w:color="1F497D"/>
            </w:tcBorders>
            <w:shd w:val="clear" w:color="000000" w:fill="FFFF00"/>
            <w:noWrap/>
            <w:vAlign w:val="center"/>
            <w:hideMark/>
          </w:tcPr>
          <w:p w14:paraId="58545FD5"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1000" w:type="dxa"/>
            <w:tcBorders>
              <w:top w:val="nil"/>
              <w:left w:val="nil"/>
              <w:bottom w:val="double" w:sz="6" w:space="0" w:color="1F497D"/>
              <w:right w:val="double" w:sz="6" w:space="0" w:color="1F497D"/>
            </w:tcBorders>
            <w:shd w:val="clear" w:color="000000" w:fill="FF0000"/>
            <w:noWrap/>
            <w:vAlign w:val="center"/>
            <w:hideMark/>
          </w:tcPr>
          <w:p w14:paraId="37ED546F"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729" w:type="dxa"/>
            <w:tcBorders>
              <w:top w:val="nil"/>
              <w:left w:val="nil"/>
              <w:bottom w:val="double" w:sz="6" w:space="0" w:color="1F497D"/>
              <w:right w:val="double" w:sz="6" w:space="0" w:color="1F497D"/>
            </w:tcBorders>
            <w:shd w:val="clear" w:color="000000" w:fill="00B050"/>
            <w:noWrap/>
            <w:vAlign w:val="center"/>
            <w:hideMark/>
          </w:tcPr>
          <w:p w14:paraId="26CCE8F0"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w:t>
            </w:r>
          </w:p>
        </w:tc>
        <w:tc>
          <w:tcPr>
            <w:tcW w:w="796" w:type="dxa"/>
            <w:tcBorders>
              <w:top w:val="nil"/>
              <w:left w:val="nil"/>
              <w:bottom w:val="double" w:sz="6" w:space="0" w:color="1F497D"/>
              <w:right w:val="double" w:sz="6" w:space="0" w:color="1F497D"/>
            </w:tcBorders>
            <w:shd w:val="clear" w:color="000000" w:fill="FF0000"/>
            <w:noWrap/>
            <w:vAlign w:val="center"/>
            <w:hideMark/>
          </w:tcPr>
          <w:p w14:paraId="1E11050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766" w:type="dxa"/>
            <w:tcBorders>
              <w:top w:val="nil"/>
              <w:left w:val="nil"/>
              <w:bottom w:val="double" w:sz="6" w:space="0" w:color="1F497D"/>
              <w:right w:val="double" w:sz="6" w:space="0" w:color="1F497D"/>
            </w:tcBorders>
            <w:shd w:val="clear" w:color="000000" w:fill="00B050"/>
            <w:noWrap/>
            <w:vAlign w:val="center"/>
            <w:hideMark/>
          </w:tcPr>
          <w:p w14:paraId="0DFA75C0"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-10</w:t>
            </w:r>
          </w:p>
        </w:tc>
        <w:tc>
          <w:tcPr>
            <w:tcW w:w="1051" w:type="dxa"/>
            <w:tcBorders>
              <w:top w:val="nil"/>
              <w:left w:val="nil"/>
              <w:bottom w:val="double" w:sz="6" w:space="0" w:color="1F497D"/>
              <w:right w:val="double" w:sz="6" w:space="0" w:color="1F497D"/>
            </w:tcBorders>
            <w:shd w:val="clear" w:color="000000" w:fill="FF0000"/>
            <w:noWrap/>
            <w:vAlign w:val="center"/>
            <w:hideMark/>
          </w:tcPr>
          <w:p w14:paraId="5C83ED90"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6</w:t>
            </w:r>
          </w:p>
        </w:tc>
        <w:tc>
          <w:tcPr>
            <w:tcW w:w="740" w:type="dxa"/>
            <w:tcBorders>
              <w:top w:val="nil"/>
              <w:left w:val="nil"/>
              <w:bottom w:val="double" w:sz="6" w:space="0" w:color="1F497D"/>
              <w:right w:val="double" w:sz="6" w:space="0" w:color="1F497D"/>
            </w:tcBorders>
            <w:shd w:val="clear" w:color="000000" w:fill="FF0000"/>
            <w:noWrap/>
            <w:vAlign w:val="center"/>
            <w:hideMark/>
          </w:tcPr>
          <w:p w14:paraId="4C3D8A9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821" w:type="dxa"/>
            <w:tcBorders>
              <w:top w:val="nil"/>
              <w:left w:val="nil"/>
              <w:bottom w:val="double" w:sz="6" w:space="0" w:color="1F497D"/>
              <w:right w:val="double" w:sz="6" w:space="0" w:color="1F497D"/>
            </w:tcBorders>
            <w:shd w:val="clear" w:color="000000" w:fill="FF0000"/>
            <w:noWrap/>
            <w:vAlign w:val="center"/>
            <w:hideMark/>
          </w:tcPr>
          <w:p w14:paraId="6FFAEEE3"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w:t>
            </w:r>
          </w:p>
        </w:tc>
        <w:tc>
          <w:tcPr>
            <w:tcW w:w="781" w:type="dxa"/>
            <w:tcBorders>
              <w:top w:val="nil"/>
              <w:left w:val="nil"/>
              <w:bottom w:val="double" w:sz="6" w:space="0" w:color="1F497D"/>
              <w:right w:val="double" w:sz="6" w:space="0" w:color="1F497D"/>
            </w:tcBorders>
            <w:shd w:val="clear" w:color="000000" w:fill="00B050"/>
            <w:noWrap/>
            <w:vAlign w:val="center"/>
            <w:hideMark/>
          </w:tcPr>
          <w:p w14:paraId="08AB7C7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w:t>
            </w:r>
          </w:p>
        </w:tc>
        <w:tc>
          <w:tcPr>
            <w:tcW w:w="730" w:type="dxa"/>
            <w:tcBorders>
              <w:top w:val="nil"/>
              <w:left w:val="nil"/>
              <w:bottom w:val="double" w:sz="6" w:space="0" w:color="1F497D"/>
              <w:right w:val="double" w:sz="6" w:space="0" w:color="1F497D"/>
            </w:tcBorders>
            <w:shd w:val="clear" w:color="000000" w:fill="FF0000"/>
            <w:noWrap/>
            <w:vAlign w:val="center"/>
            <w:hideMark/>
          </w:tcPr>
          <w:p w14:paraId="35D2C0C4"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6</w:t>
            </w:r>
          </w:p>
        </w:tc>
        <w:tc>
          <w:tcPr>
            <w:tcW w:w="670" w:type="dxa"/>
            <w:tcBorders>
              <w:top w:val="nil"/>
              <w:left w:val="nil"/>
              <w:bottom w:val="double" w:sz="6" w:space="0" w:color="1F497D"/>
              <w:right w:val="double" w:sz="6" w:space="0" w:color="1F497D"/>
            </w:tcBorders>
            <w:shd w:val="clear" w:color="000000" w:fill="00B050"/>
            <w:noWrap/>
            <w:vAlign w:val="center"/>
            <w:hideMark/>
          </w:tcPr>
          <w:p w14:paraId="7139E961"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w:t>
            </w:r>
          </w:p>
        </w:tc>
        <w:tc>
          <w:tcPr>
            <w:tcW w:w="936" w:type="dxa"/>
            <w:tcBorders>
              <w:top w:val="nil"/>
              <w:left w:val="nil"/>
              <w:bottom w:val="double" w:sz="6" w:space="0" w:color="1F497D"/>
              <w:right w:val="double" w:sz="6" w:space="0" w:color="1F497D"/>
            </w:tcBorders>
            <w:shd w:val="clear" w:color="000000" w:fill="FFFF00"/>
            <w:noWrap/>
            <w:vAlign w:val="center"/>
            <w:hideMark/>
          </w:tcPr>
          <w:p w14:paraId="55BB27B2"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r>
      <w:tr w:rsidR="00B53CB8" w:rsidRPr="00033E65" w14:paraId="1F4243C4" w14:textId="77777777" w:rsidTr="009763EE">
        <w:trPr>
          <w:trHeight w:val="1381"/>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6DA6164E"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Plazo para resolver escrito fuera del despacho</w:t>
            </w:r>
          </w:p>
        </w:tc>
        <w:tc>
          <w:tcPr>
            <w:tcW w:w="993" w:type="dxa"/>
            <w:tcBorders>
              <w:top w:val="nil"/>
              <w:left w:val="nil"/>
              <w:bottom w:val="double" w:sz="6" w:space="0" w:color="1F497D"/>
              <w:right w:val="double" w:sz="6" w:space="0" w:color="1F497D"/>
            </w:tcBorders>
            <w:shd w:val="clear" w:color="auto" w:fill="auto"/>
            <w:vAlign w:val="center"/>
            <w:hideMark/>
          </w:tcPr>
          <w:p w14:paraId="17B2A374"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Disminución</w:t>
            </w:r>
          </w:p>
        </w:tc>
        <w:tc>
          <w:tcPr>
            <w:tcW w:w="851" w:type="dxa"/>
            <w:tcBorders>
              <w:top w:val="nil"/>
              <w:left w:val="nil"/>
              <w:bottom w:val="double" w:sz="6" w:space="0" w:color="1F497D"/>
              <w:right w:val="double" w:sz="6" w:space="0" w:color="1F497D"/>
            </w:tcBorders>
            <w:shd w:val="clear" w:color="000000" w:fill="FFFF00"/>
            <w:noWrap/>
            <w:vAlign w:val="center"/>
            <w:hideMark/>
          </w:tcPr>
          <w:p w14:paraId="3B354905"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1000" w:type="dxa"/>
            <w:tcBorders>
              <w:top w:val="nil"/>
              <w:left w:val="nil"/>
              <w:bottom w:val="double" w:sz="6" w:space="0" w:color="1F497D"/>
              <w:right w:val="double" w:sz="6" w:space="0" w:color="1F497D"/>
            </w:tcBorders>
            <w:shd w:val="clear" w:color="000000" w:fill="00B050"/>
            <w:noWrap/>
            <w:vAlign w:val="center"/>
            <w:hideMark/>
          </w:tcPr>
          <w:p w14:paraId="063F214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729" w:type="dxa"/>
            <w:tcBorders>
              <w:top w:val="nil"/>
              <w:left w:val="nil"/>
              <w:bottom w:val="double" w:sz="6" w:space="0" w:color="1F497D"/>
              <w:right w:val="double" w:sz="6" w:space="0" w:color="1F497D"/>
            </w:tcBorders>
            <w:shd w:val="clear" w:color="000000" w:fill="FF0000"/>
            <w:noWrap/>
            <w:vAlign w:val="center"/>
            <w:hideMark/>
          </w:tcPr>
          <w:p w14:paraId="3EEC802D"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25</w:t>
            </w:r>
          </w:p>
        </w:tc>
        <w:tc>
          <w:tcPr>
            <w:tcW w:w="796" w:type="dxa"/>
            <w:tcBorders>
              <w:top w:val="nil"/>
              <w:left w:val="nil"/>
              <w:bottom w:val="double" w:sz="6" w:space="0" w:color="1F497D"/>
              <w:right w:val="double" w:sz="6" w:space="0" w:color="1F497D"/>
            </w:tcBorders>
            <w:shd w:val="clear" w:color="000000" w:fill="FF0000"/>
            <w:noWrap/>
            <w:vAlign w:val="center"/>
            <w:hideMark/>
          </w:tcPr>
          <w:p w14:paraId="11FE20F5"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289</w:t>
            </w:r>
          </w:p>
        </w:tc>
        <w:tc>
          <w:tcPr>
            <w:tcW w:w="766" w:type="dxa"/>
            <w:tcBorders>
              <w:top w:val="nil"/>
              <w:left w:val="nil"/>
              <w:bottom w:val="double" w:sz="6" w:space="0" w:color="1F497D"/>
              <w:right w:val="double" w:sz="6" w:space="0" w:color="1F497D"/>
            </w:tcBorders>
            <w:shd w:val="clear" w:color="000000" w:fill="00B050"/>
            <w:noWrap/>
            <w:vAlign w:val="center"/>
            <w:hideMark/>
          </w:tcPr>
          <w:p w14:paraId="5D430BF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-13</w:t>
            </w:r>
          </w:p>
        </w:tc>
        <w:tc>
          <w:tcPr>
            <w:tcW w:w="1051" w:type="dxa"/>
            <w:tcBorders>
              <w:top w:val="nil"/>
              <w:left w:val="nil"/>
              <w:bottom w:val="double" w:sz="6" w:space="0" w:color="1F497D"/>
              <w:right w:val="double" w:sz="6" w:space="0" w:color="1F497D"/>
            </w:tcBorders>
            <w:shd w:val="clear" w:color="000000" w:fill="FF0000"/>
            <w:noWrap/>
            <w:vAlign w:val="center"/>
            <w:hideMark/>
          </w:tcPr>
          <w:p w14:paraId="702F5FC4"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270</w:t>
            </w:r>
          </w:p>
        </w:tc>
        <w:tc>
          <w:tcPr>
            <w:tcW w:w="740" w:type="dxa"/>
            <w:tcBorders>
              <w:top w:val="nil"/>
              <w:left w:val="nil"/>
              <w:bottom w:val="double" w:sz="6" w:space="0" w:color="1F497D"/>
              <w:right w:val="double" w:sz="6" w:space="0" w:color="1F497D"/>
            </w:tcBorders>
            <w:shd w:val="clear" w:color="000000" w:fill="00B050"/>
            <w:noWrap/>
            <w:vAlign w:val="center"/>
            <w:hideMark/>
          </w:tcPr>
          <w:p w14:paraId="6479DC42"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-29</w:t>
            </w:r>
          </w:p>
        </w:tc>
        <w:tc>
          <w:tcPr>
            <w:tcW w:w="821" w:type="dxa"/>
            <w:tcBorders>
              <w:top w:val="nil"/>
              <w:left w:val="nil"/>
              <w:bottom w:val="double" w:sz="6" w:space="0" w:color="1F497D"/>
              <w:right w:val="double" w:sz="6" w:space="0" w:color="1F497D"/>
            </w:tcBorders>
            <w:shd w:val="clear" w:color="000000" w:fill="FFFF00"/>
            <w:noWrap/>
            <w:vAlign w:val="center"/>
            <w:hideMark/>
          </w:tcPr>
          <w:p w14:paraId="3203CC22"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781" w:type="dxa"/>
            <w:tcBorders>
              <w:top w:val="nil"/>
              <w:left w:val="nil"/>
              <w:bottom w:val="double" w:sz="6" w:space="0" w:color="1F497D"/>
              <w:right w:val="double" w:sz="6" w:space="0" w:color="1F497D"/>
            </w:tcBorders>
            <w:shd w:val="clear" w:color="000000" w:fill="00B050"/>
            <w:noWrap/>
            <w:vAlign w:val="center"/>
            <w:hideMark/>
          </w:tcPr>
          <w:p w14:paraId="56BB0D5E"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730" w:type="dxa"/>
            <w:tcBorders>
              <w:top w:val="nil"/>
              <w:left w:val="nil"/>
              <w:bottom w:val="double" w:sz="6" w:space="0" w:color="1F497D"/>
              <w:right w:val="double" w:sz="6" w:space="0" w:color="1F497D"/>
            </w:tcBorders>
            <w:shd w:val="clear" w:color="000000" w:fill="FF0000"/>
            <w:noWrap/>
            <w:vAlign w:val="center"/>
            <w:hideMark/>
          </w:tcPr>
          <w:p w14:paraId="60FCA0E5"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670" w:type="dxa"/>
            <w:tcBorders>
              <w:top w:val="nil"/>
              <w:left w:val="nil"/>
              <w:bottom w:val="double" w:sz="6" w:space="0" w:color="1F497D"/>
              <w:right w:val="double" w:sz="6" w:space="0" w:color="1F497D"/>
            </w:tcBorders>
            <w:shd w:val="clear" w:color="000000" w:fill="00B050"/>
            <w:noWrap/>
            <w:vAlign w:val="center"/>
            <w:hideMark/>
          </w:tcPr>
          <w:p w14:paraId="56B5518C"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-39</w:t>
            </w:r>
          </w:p>
        </w:tc>
        <w:tc>
          <w:tcPr>
            <w:tcW w:w="936" w:type="dxa"/>
            <w:tcBorders>
              <w:top w:val="nil"/>
              <w:left w:val="nil"/>
              <w:bottom w:val="double" w:sz="6" w:space="0" w:color="1F497D"/>
              <w:right w:val="double" w:sz="6" w:space="0" w:color="1F497D"/>
            </w:tcBorders>
            <w:shd w:val="clear" w:color="000000" w:fill="FFFF00"/>
            <w:noWrap/>
            <w:vAlign w:val="center"/>
            <w:hideMark/>
          </w:tcPr>
          <w:p w14:paraId="05065855"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r>
      <w:tr w:rsidR="00B53CB8" w:rsidRPr="00033E65" w14:paraId="7621E1BB" w14:textId="77777777" w:rsidTr="009763EE">
        <w:trPr>
          <w:trHeight w:val="1381"/>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00DD3467"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lastRenderedPageBreak/>
              <w:t>Plazo para resolver escrito dentro del despacho</w:t>
            </w:r>
          </w:p>
        </w:tc>
        <w:tc>
          <w:tcPr>
            <w:tcW w:w="993" w:type="dxa"/>
            <w:tcBorders>
              <w:top w:val="nil"/>
              <w:left w:val="nil"/>
              <w:bottom w:val="double" w:sz="6" w:space="0" w:color="1F497D"/>
              <w:right w:val="double" w:sz="6" w:space="0" w:color="1F497D"/>
            </w:tcBorders>
            <w:shd w:val="clear" w:color="auto" w:fill="auto"/>
            <w:vAlign w:val="center"/>
            <w:hideMark/>
          </w:tcPr>
          <w:p w14:paraId="412FF955"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Disminución</w:t>
            </w:r>
          </w:p>
        </w:tc>
        <w:tc>
          <w:tcPr>
            <w:tcW w:w="851" w:type="dxa"/>
            <w:tcBorders>
              <w:top w:val="nil"/>
              <w:left w:val="nil"/>
              <w:bottom w:val="double" w:sz="6" w:space="0" w:color="1F497D"/>
              <w:right w:val="double" w:sz="6" w:space="0" w:color="1F497D"/>
            </w:tcBorders>
            <w:shd w:val="clear" w:color="000000" w:fill="00B050"/>
            <w:noWrap/>
            <w:vAlign w:val="center"/>
            <w:hideMark/>
          </w:tcPr>
          <w:p w14:paraId="687D0845"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1000" w:type="dxa"/>
            <w:tcBorders>
              <w:top w:val="nil"/>
              <w:left w:val="nil"/>
              <w:bottom w:val="double" w:sz="6" w:space="0" w:color="1F497D"/>
              <w:right w:val="double" w:sz="6" w:space="0" w:color="1F497D"/>
            </w:tcBorders>
            <w:shd w:val="clear" w:color="000000" w:fill="FF0000"/>
            <w:noWrap/>
            <w:vAlign w:val="center"/>
            <w:hideMark/>
          </w:tcPr>
          <w:p w14:paraId="1FB334EE"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w:t>
            </w:r>
          </w:p>
        </w:tc>
        <w:tc>
          <w:tcPr>
            <w:tcW w:w="729" w:type="dxa"/>
            <w:tcBorders>
              <w:top w:val="nil"/>
              <w:left w:val="nil"/>
              <w:bottom w:val="double" w:sz="6" w:space="0" w:color="1F497D"/>
              <w:right w:val="double" w:sz="6" w:space="0" w:color="1F497D"/>
            </w:tcBorders>
            <w:shd w:val="clear" w:color="000000" w:fill="00B050"/>
            <w:noWrap/>
            <w:vAlign w:val="center"/>
            <w:hideMark/>
          </w:tcPr>
          <w:p w14:paraId="39025D9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-11</w:t>
            </w:r>
          </w:p>
        </w:tc>
        <w:tc>
          <w:tcPr>
            <w:tcW w:w="796" w:type="dxa"/>
            <w:tcBorders>
              <w:top w:val="nil"/>
              <w:left w:val="nil"/>
              <w:bottom w:val="double" w:sz="6" w:space="0" w:color="1F497D"/>
              <w:right w:val="double" w:sz="6" w:space="0" w:color="1F497D"/>
            </w:tcBorders>
            <w:shd w:val="clear" w:color="000000" w:fill="FF0000"/>
            <w:noWrap/>
            <w:vAlign w:val="center"/>
            <w:hideMark/>
          </w:tcPr>
          <w:p w14:paraId="2ACD1624"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7</w:t>
            </w:r>
          </w:p>
        </w:tc>
        <w:tc>
          <w:tcPr>
            <w:tcW w:w="766" w:type="dxa"/>
            <w:tcBorders>
              <w:top w:val="nil"/>
              <w:left w:val="nil"/>
              <w:bottom w:val="double" w:sz="6" w:space="0" w:color="1F497D"/>
              <w:right w:val="double" w:sz="6" w:space="0" w:color="1F497D"/>
            </w:tcBorders>
            <w:shd w:val="clear" w:color="000000" w:fill="FF0000"/>
            <w:noWrap/>
            <w:vAlign w:val="center"/>
            <w:hideMark/>
          </w:tcPr>
          <w:p w14:paraId="18D723F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15</w:t>
            </w:r>
          </w:p>
        </w:tc>
        <w:tc>
          <w:tcPr>
            <w:tcW w:w="1051" w:type="dxa"/>
            <w:tcBorders>
              <w:top w:val="nil"/>
              <w:left w:val="nil"/>
              <w:bottom w:val="double" w:sz="6" w:space="0" w:color="1F497D"/>
              <w:right w:val="double" w:sz="6" w:space="0" w:color="1F497D"/>
            </w:tcBorders>
            <w:shd w:val="clear" w:color="000000" w:fill="FF0000"/>
            <w:noWrap/>
            <w:vAlign w:val="center"/>
            <w:hideMark/>
          </w:tcPr>
          <w:p w14:paraId="108BA01D"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w:t>
            </w:r>
          </w:p>
        </w:tc>
        <w:tc>
          <w:tcPr>
            <w:tcW w:w="740" w:type="dxa"/>
            <w:tcBorders>
              <w:top w:val="nil"/>
              <w:left w:val="nil"/>
              <w:bottom w:val="double" w:sz="6" w:space="0" w:color="1F497D"/>
              <w:right w:val="double" w:sz="6" w:space="0" w:color="1F497D"/>
            </w:tcBorders>
            <w:shd w:val="clear" w:color="000000" w:fill="00B050"/>
            <w:noWrap/>
            <w:vAlign w:val="center"/>
            <w:hideMark/>
          </w:tcPr>
          <w:p w14:paraId="578A22CB"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-6</w:t>
            </w:r>
          </w:p>
        </w:tc>
        <w:tc>
          <w:tcPr>
            <w:tcW w:w="821" w:type="dxa"/>
            <w:tcBorders>
              <w:top w:val="nil"/>
              <w:left w:val="nil"/>
              <w:bottom w:val="double" w:sz="6" w:space="0" w:color="1F497D"/>
              <w:right w:val="double" w:sz="6" w:space="0" w:color="1F497D"/>
            </w:tcBorders>
            <w:shd w:val="clear" w:color="000000" w:fill="FF0000"/>
            <w:noWrap/>
            <w:vAlign w:val="center"/>
            <w:hideMark/>
          </w:tcPr>
          <w:p w14:paraId="6965B0AB"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9</w:t>
            </w:r>
          </w:p>
        </w:tc>
        <w:tc>
          <w:tcPr>
            <w:tcW w:w="781" w:type="dxa"/>
            <w:tcBorders>
              <w:top w:val="nil"/>
              <w:left w:val="nil"/>
              <w:bottom w:val="double" w:sz="6" w:space="0" w:color="1F497D"/>
              <w:right w:val="double" w:sz="6" w:space="0" w:color="1F497D"/>
            </w:tcBorders>
            <w:shd w:val="clear" w:color="000000" w:fill="00B050"/>
            <w:noWrap/>
            <w:vAlign w:val="center"/>
            <w:hideMark/>
          </w:tcPr>
          <w:p w14:paraId="7D3771AD"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-11</w:t>
            </w:r>
          </w:p>
        </w:tc>
        <w:tc>
          <w:tcPr>
            <w:tcW w:w="730" w:type="dxa"/>
            <w:tcBorders>
              <w:top w:val="nil"/>
              <w:left w:val="nil"/>
              <w:bottom w:val="double" w:sz="6" w:space="0" w:color="1F497D"/>
              <w:right w:val="double" w:sz="6" w:space="0" w:color="1F497D"/>
            </w:tcBorders>
            <w:shd w:val="clear" w:color="000000" w:fill="FF0000"/>
            <w:noWrap/>
            <w:vAlign w:val="center"/>
            <w:hideMark/>
          </w:tcPr>
          <w:p w14:paraId="5310E6B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6</w:t>
            </w:r>
          </w:p>
        </w:tc>
        <w:tc>
          <w:tcPr>
            <w:tcW w:w="670" w:type="dxa"/>
            <w:tcBorders>
              <w:top w:val="nil"/>
              <w:left w:val="nil"/>
              <w:bottom w:val="double" w:sz="6" w:space="0" w:color="1F497D"/>
              <w:right w:val="double" w:sz="6" w:space="0" w:color="1F497D"/>
            </w:tcBorders>
            <w:shd w:val="clear" w:color="000000" w:fill="00B050"/>
            <w:noWrap/>
            <w:vAlign w:val="center"/>
            <w:hideMark/>
          </w:tcPr>
          <w:p w14:paraId="4A6FF7D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-6</w:t>
            </w:r>
          </w:p>
        </w:tc>
        <w:tc>
          <w:tcPr>
            <w:tcW w:w="936" w:type="dxa"/>
            <w:tcBorders>
              <w:top w:val="nil"/>
              <w:left w:val="nil"/>
              <w:bottom w:val="double" w:sz="6" w:space="0" w:color="1F497D"/>
              <w:right w:val="double" w:sz="6" w:space="0" w:color="1F497D"/>
            </w:tcBorders>
            <w:shd w:val="clear" w:color="000000" w:fill="00B050"/>
            <w:noWrap/>
            <w:vAlign w:val="center"/>
            <w:hideMark/>
          </w:tcPr>
          <w:p w14:paraId="4483A22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-4</w:t>
            </w:r>
          </w:p>
        </w:tc>
      </w:tr>
      <w:tr w:rsidR="00B53CB8" w:rsidRPr="00033E65" w14:paraId="5FA2FC60" w14:textId="77777777" w:rsidTr="009763EE">
        <w:trPr>
          <w:trHeight w:val="1111"/>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1B1EF151"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Plazo de espera de firma de resoluciones</w:t>
            </w:r>
          </w:p>
        </w:tc>
        <w:tc>
          <w:tcPr>
            <w:tcW w:w="993" w:type="dxa"/>
            <w:tcBorders>
              <w:top w:val="nil"/>
              <w:left w:val="nil"/>
              <w:bottom w:val="double" w:sz="6" w:space="0" w:color="1F497D"/>
              <w:right w:val="double" w:sz="6" w:space="0" w:color="1F497D"/>
            </w:tcBorders>
            <w:shd w:val="clear" w:color="auto" w:fill="auto"/>
            <w:vAlign w:val="center"/>
            <w:hideMark/>
          </w:tcPr>
          <w:p w14:paraId="0D1C688D"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Disminución</w:t>
            </w:r>
          </w:p>
        </w:tc>
        <w:tc>
          <w:tcPr>
            <w:tcW w:w="851" w:type="dxa"/>
            <w:tcBorders>
              <w:top w:val="nil"/>
              <w:left w:val="nil"/>
              <w:bottom w:val="double" w:sz="6" w:space="0" w:color="1F497D"/>
              <w:right w:val="double" w:sz="6" w:space="0" w:color="1F497D"/>
            </w:tcBorders>
            <w:shd w:val="clear" w:color="000000" w:fill="00B050"/>
            <w:noWrap/>
            <w:vAlign w:val="center"/>
            <w:hideMark/>
          </w:tcPr>
          <w:p w14:paraId="15E39E93"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1000" w:type="dxa"/>
            <w:tcBorders>
              <w:top w:val="nil"/>
              <w:left w:val="nil"/>
              <w:bottom w:val="double" w:sz="6" w:space="0" w:color="1F497D"/>
              <w:right w:val="double" w:sz="6" w:space="0" w:color="1F497D"/>
            </w:tcBorders>
            <w:shd w:val="clear" w:color="000000" w:fill="00B050"/>
            <w:noWrap/>
            <w:vAlign w:val="center"/>
            <w:hideMark/>
          </w:tcPr>
          <w:p w14:paraId="58472D77"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729" w:type="dxa"/>
            <w:tcBorders>
              <w:top w:val="nil"/>
              <w:left w:val="nil"/>
              <w:bottom w:val="double" w:sz="6" w:space="0" w:color="1F497D"/>
              <w:right w:val="double" w:sz="6" w:space="0" w:color="1F497D"/>
            </w:tcBorders>
            <w:shd w:val="clear" w:color="000000" w:fill="FFFF00"/>
            <w:noWrap/>
            <w:vAlign w:val="center"/>
            <w:hideMark/>
          </w:tcPr>
          <w:p w14:paraId="3DA813AF"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796" w:type="dxa"/>
            <w:tcBorders>
              <w:top w:val="nil"/>
              <w:left w:val="nil"/>
              <w:bottom w:val="double" w:sz="6" w:space="0" w:color="1F497D"/>
              <w:right w:val="double" w:sz="6" w:space="0" w:color="1F497D"/>
            </w:tcBorders>
            <w:shd w:val="clear" w:color="000000" w:fill="00B050"/>
            <w:noWrap/>
            <w:vAlign w:val="center"/>
            <w:hideMark/>
          </w:tcPr>
          <w:p w14:paraId="7407F82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w:t>
            </w:r>
          </w:p>
        </w:tc>
        <w:tc>
          <w:tcPr>
            <w:tcW w:w="766" w:type="dxa"/>
            <w:tcBorders>
              <w:top w:val="nil"/>
              <w:left w:val="nil"/>
              <w:bottom w:val="double" w:sz="6" w:space="0" w:color="1F497D"/>
              <w:right w:val="double" w:sz="6" w:space="0" w:color="1F497D"/>
            </w:tcBorders>
            <w:shd w:val="clear" w:color="000000" w:fill="00B050"/>
            <w:noWrap/>
            <w:vAlign w:val="center"/>
            <w:hideMark/>
          </w:tcPr>
          <w:p w14:paraId="70C84A0F"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1051" w:type="dxa"/>
            <w:tcBorders>
              <w:top w:val="nil"/>
              <w:left w:val="nil"/>
              <w:bottom w:val="double" w:sz="6" w:space="0" w:color="1F497D"/>
              <w:right w:val="double" w:sz="6" w:space="0" w:color="1F497D"/>
            </w:tcBorders>
            <w:shd w:val="clear" w:color="000000" w:fill="FFFF00"/>
            <w:noWrap/>
            <w:vAlign w:val="center"/>
            <w:hideMark/>
          </w:tcPr>
          <w:p w14:paraId="4ECE0361"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740" w:type="dxa"/>
            <w:tcBorders>
              <w:top w:val="nil"/>
              <w:left w:val="nil"/>
              <w:bottom w:val="double" w:sz="6" w:space="0" w:color="1F497D"/>
              <w:right w:val="double" w:sz="6" w:space="0" w:color="1F497D"/>
            </w:tcBorders>
            <w:shd w:val="clear" w:color="000000" w:fill="00B050"/>
            <w:noWrap/>
            <w:vAlign w:val="center"/>
            <w:hideMark/>
          </w:tcPr>
          <w:p w14:paraId="506489A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w:t>
            </w:r>
          </w:p>
        </w:tc>
        <w:tc>
          <w:tcPr>
            <w:tcW w:w="821" w:type="dxa"/>
            <w:tcBorders>
              <w:top w:val="nil"/>
              <w:left w:val="nil"/>
              <w:bottom w:val="double" w:sz="6" w:space="0" w:color="1F497D"/>
              <w:right w:val="double" w:sz="6" w:space="0" w:color="1F497D"/>
            </w:tcBorders>
            <w:shd w:val="clear" w:color="000000" w:fill="00B050"/>
            <w:noWrap/>
            <w:vAlign w:val="center"/>
            <w:hideMark/>
          </w:tcPr>
          <w:p w14:paraId="3C02080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w:t>
            </w:r>
          </w:p>
        </w:tc>
        <w:tc>
          <w:tcPr>
            <w:tcW w:w="781" w:type="dxa"/>
            <w:tcBorders>
              <w:top w:val="nil"/>
              <w:left w:val="nil"/>
              <w:bottom w:val="double" w:sz="6" w:space="0" w:color="1F497D"/>
              <w:right w:val="double" w:sz="6" w:space="0" w:color="1F497D"/>
            </w:tcBorders>
            <w:shd w:val="clear" w:color="000000" w:fill="FFFF00"/>
            <w:noWrap/>
            <w:vAlign w:val="center"/>
            <w:hideMark/>
          </w:tcPr>
          <w:p w14:paraId="34FB33D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730" w:type="dxa"/>
            <w:tcBorders>
              <w:top w:val="nil"/>
              <w:left w:val="nil"/>
              <w:bottom w:val="double" w:sz="6" w:space="0" w:color="1F497D"/>
              <w:right w:val="double" w:sz="6" w:space="0" w:color="1F497D"/>
            </w:tcBorders>
            <w:shd w:val="clear" w:color="000000" w:fill="00B050"/>
            <w:noWrap/>
            <w:vAlign w:val="center"/>
            <w:hideMark/>
          </w:tcPr>
          <w:p w14:paraId="2400682B"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670" w:type="dxa"/>
            <w:tcBorders>
              <w:top w:val="nil"/>
              <w:left w:val="nil"/>
              <w:bottom w:val="double" w:sz="6" w:space="0" w:color="1F497D"/>
              <w:right w:val="double" w:sz="6" w:space="0" w:color="1F497D"/>
            </w:tcBorders>
            <w:shd w:val="clear" w:color="000000" w:fill="00B050"/>
            <w:noWrap/>
            <w:vAlign w:val="center"/>
            <w:hideMark/>
          </w:tcPr>
          <w:p w14:paraId="3EA901C7"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w:t>
            </w:r>
          </w:p>
        </w:tc>
        <w:tc>
          <w:tcPr>
            <w:tcW w:w="936" w:type="dxa"/>
            <w:tcBorders>
              <w:top w:val="nil"/>
              <w:left w:val="nil"/>
              <w:bottom w:val="double" w:sz="6" w:space="0" w:color="1F497D"/>
              <w:right w:val="double" w:sz="6" w:space="0" w:color="1F497D"/>
            </w:tcBorders>
            <w:shd w:val="clear" w:color="000000" w:fill="FF0000"/>
            <w:noWrap/>
            <w:vAlign w:val="center"/>
            <w:hideMark/>
          </w:tcPr>
          <w:p w14:paraId="74B6060F"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r>
      <w:tr w:rsidR="00B53CB8" w:rsidRPr="00033E65" w14:paraId="2AF09628" w14:textId="77777777" w:rsidTr="009763EE">
        <w:trPr>
          <w:trHeight w:val="1111"/>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2E96DD21"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Audiencias pendientes de realización</w:t>
            </w:r>
          </w:p>
        </w:tc>
        <w:tc>
          <w:tcPr>
            <w:tcW w:w="993" w:type="dxa"/>
            <w:tcBorders>
              <w:top w:val="nil"/>
              <w:left w:val="nil"/>
              <w:bottom w:val="double" w:sz="6" w:space="0" w:color="1F497D"/>
              <w:right w:val="double" w:sz="6" w:space="0" w:color="1F497D"/>
            </w:tcBorders>
            <w:shd w:val="clear" w:color="auto" w:fill="auto"/>
            <w:vAlign w:val="center"/>
            <w:hideMark/>
          </w:tcPr>
          <w:p w14:paraId="6CAE00D2"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Disminución</w:t>
            </w:r>
          </w:p>
        </w:tc>
        <w:tc>
          <w:tcPr>
            <w:tcW w:w="851" w:type="dxa"/>
            <w:tcBorders>
              <w:top w:val="nil"/>
              <w:left w:val="nil"/>
              <w:bottom w:val="double" w:sz="6" w:space="0" w:color="1F497D"/>
              <w:right w:val="double" w:sz="6" w:space="0" w:color="1F497D"/>
            </w:tcBorders>
            <w:shd w:val="clear" w:color="000000" w:fill="FF0000"/>
            <w:noWrap/>
            <w:vAlign w:val="center"/>
            <w:hideMark/>
          </w:tcPr>
          <w:p w14:paraId="6A625D37"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15</w:t>
            </w:r>
          </w:p>
        </w:tc>
        <w:tc>
          <w:tcPr>
            <w:tcW w:w="1000" w:type="dxa"/>
            <w:tcBorders>
              <w:top w:val="nil"/>
              <w:left w:val="nil"/>
              <w:bottom w:val="double" w:sz="6" w:space="0" w:color="1F497D"/>
              <w:right w:val="double" w:sz="6" w:space="0" w:color="1F497D"/>
            </w:tcBorders>
            <w:shd w:val="clear" w:color="000000" w:fill="00B050"/>
            <w:noWrap/>
            <w:vAlign w:val="center"/>
            <w:hideMark/>
          </w:tcPr>
          <w:p w14:paraId="5A9EFA9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-31</w:t>
            </w:r>
          </w:p>
        </w:tc>
        <w:tc>
          <w:tcPr>
            <w:tcW w:w="729" w:type="dxa"/>
            <w:tcBorders>
              <w:top w:val="nil"/>
              <w:left w:val="nil"/>
              <w:bottom w:val="double" w:sz="6" w:space="0" w:color="1F497D"/>
              <w:right w:val="double" w:sz="6" w:space="0" w:color="1F497D"/>
            </w:tcBorders>
            <w:shd w:val="clear" w:color="000000" w:fill="00B050"/>
            <w:noWrap/>
            <w:vAlign w:val="center"/>
            <w:hideMark/>
          </w:tcPr>
          <w:p w14:paraId="20007D7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-8</w:t>
            </w:r>
          </w:p>
        </w:tc>
        <w:tc>
          <w:tcPr>
            <w:tcW w:w="796" w:type="dxa"/>
            <w:tcBorders>
              <w:top w:val="nil"/>
              <w:left w:val="nil"/>
              <w:bottom w:val="double" w:sz="6" w:space="0" w:color="1F497D"/>
              <w:right w:val="double" w:sz="6" w:space="0" w:color="1F497D"/>
            </w:tcBorders>
            <w:shd w:val="clear" w:color="000000" w:fill="FF0000"/>
            <w:noWrap/>
            <w:vAlign w:val="center"/>
            <w:hideMark/>
          </w:tcPr>
          <w:p w14:paraId="4DDA6625"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10</w:t>
            </w:r>
          </w:p>
        </w:tc>
        <w:tc>
          <w:tcPr>
            <w:tcW w:w="766" w:type="dxa"/>
            <w:tcBorders>
              <w:top w:val="nil"/>
              <w:left w:val="nil"/>
              <w:bottom w:val="double" w:sz="6" w:space="0" w:color="1F497D"/>
              <w:right w:val="double" w:sz="6" w:space="0" w:color="1F497D"/>
            </w:tcBorders>
            <w:shd w:val="clear" w:color="000000" w:fill="FF0000"/>
            <w:noWrap/>
            <w:vAlign w:val="center"/>
            <w:hideMark/>
          </w:tcPr>
          <w:p w14:paraId="4E8D7574"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8</w:t>
            </w:r>
          </w:p>
        </w:tc>
        <w:tc>
          <w:tcPr>
            <w:tcW w:w="1051" w:type="dxa"/>
            <w:tcBorders>
              <w:top w:val="nil"/>
              <w:left w:val="nil"/>
              <w:bottom w:val="double" w:sz="6" w:space="0" w:color="1F497D"/>
              <w:right w:val="double" w:sz="6" w:space="0" w:color="1F497D"/>
            </w:tcBorders>
            <w:shd w:val="clear" w:color="000000" w:fill="FF0000"/>
            <w:noWrap/>
            <w:vAlign w:val="center"/>
            <w:hideMark/>
          </w:tcPr>
          <w:p w14:paraId="23DFBF14"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22</w:t>
            </w:r>
          </w:p>
        </w:tc>
        <w:tc>
          <w:tcPr>
            <w:tcW w:w="740" w:type="dxa"/>
            <w:tcBorders>
              <w:top w:val="nil"/>
              <w:left w:val="nil"/>
              <w:bottom w:val="double" w:sz="6" w:space="0" w:color="1F497D"/>
              <w:right w:val="double" w:sz="6" w:space="0" w:color="1F497D"/>
            </w:tcBorders>
            <w:shd w:val="clear" w:color="000000" w:fill="FF0000"/>
            <w:noWrap/>
            <w:vAlign w:val="center"/>
            <w:hideMark/>
          </w:tcPr>
          <w:p w14:paraId="59B2373C"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234</w:t>
            </w:r>
          </w:p>
        </w:tc>
        <w:tc>
          <w:tcPr>
            <w:tcW w:w="821" w:type="dxa"/>
            <w:tcBorders>
              <w:top w:val="nil"/>
              <w:left w:val="nil"/>
              <w:bottom w:val="double" w:sz="6" w:space="0" w:color="1F497D"/>
              <w:right w:val="double" w:sz="6" w:space="0" w:color="1F497D"/>
            </w:tcBorders>
            <w:shd w:val="clear" w:color="000000" w:fill="FF0000"/>
            <w:noWrap/>
            <w:vAlign w:val="center"/>
            <w:hideMark/>
          </w:tcPr>
          <w:p w14:paraId="24FDD1E3"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20</w:t>
            </w:r>
          </w:p>
        </w:tc>
        <w:tc>
          <w:tcPr>
            <w:tcW w:w="781" w:type="dxa"/>
            <w:tcBorders>
              <w:top w:val="nil"/>
              <w:left w:val="nil"/>
              <w:bottom w:val="double" w:sz="6" w:space="0" w:color="1F497D"/>
              <w:right w:val="double" w:sz="6" w:space="0" w:color="1F497D"/>
            </w:tcBorders>
            <w:shd w:val="clear" w:color="000000" w:fill="FF0000"/>
            <w:noWrap/>
            <w:vAlign w:val="center"/>
            <w:hideMark/>
          </w:tcPr>
          <w:p w14:paraId="3869CA2E"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22</w:t>
            </w:r>
          </w:p>
        </w:tc>
        <w:tc>
          <w:tcPr>
            <w:tcW w:w="730" w:type="dxa"/>
            <w:tcBorders>
              <w:top w:val="nil"/>
              <w:left w:val="nil"/>
              <w:bottom w:val="double" w:sz="6" w:space="0" w:color="1F497D"/>
              <w:right w:val="double" w:sz="6" w:space="0" w:color="1F497D"/>
            </w:tcBorders>
            <w:shd w:val="clear" w:color="000000" w:fill="00B050"/>
            <w:noWrap/>
            <w:vAlign w:val="center"/>
            <w:hideMark/>
          </w:tcPr>
          <w:p w14:paraId="4D7E22F2"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-12</w:t>
            </w:r>
          </w:p>
        </w:tc>
        <w:tc>
          <w:tcPr>
            <w:tcW w:w="670" w:type="dxa"/>
            <w:tcBorders>
              <w:top w:val="nil"/>
              <w:left w:val="nil"/>
              <w:bottom w:val="double" w:sz="6" w:space="0" w:color="1F497D"/>
              <w:right w:val="double" w:sz="6" w:space="0" w:color="1F497D"/>
            </w:tcBorders>
            <w:shd w:val="clear" w:color="000000" w:fill="00B050"/>
            <w:noWrap/>
            <w:vAlign w:val="center"/>
            <w:hideMark/>
          </w:tcPr>
          <w:p w14:paraId="7B0F8EC1"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-213</w:t>
            </w:r>
          </w:p>
        </w:tc>
        <w:tc>
          <w:tcPr>
            <w:tcW w:w="936" w:type="dxa"/>
            <w:tcBorders>
              <w:top w:val="nil"/>
              <w:left w:val="nil"/>
              <w:bottom w:val="double" w:sz="6" w:space="0" w:color="1F497D"/>
              <w:right w:val="double" w:sz="6" w:space="0" w:color="1F497D"/>
            </w:tcBorders>
            <w:shd w:val="clear" w:color="000000" w:fill="FF0000"/>
            <w:noWrap/>
            <w:vAlign w:val="center"/>
            <w:hideMark/>
          </w:tcPr>
          <w:p w14:paraId="1EE4711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12</w:t>
            </w:r>
          </w:p>
        </w:tc>
      </w:tr>
      <w:tr w:rsidR="00B53CB8" w:rsidRPr="00033E65" w14:paraId="016DD952" w14:textId="77777777" w:rsidTr="009763EE">
        <w:trPr>
          <w:trHeight w:val="840"/>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07A3687E"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Expedientes pendientes de fallo</w:t>
            </w:r>
          </w:p>
        </w:tc>
        <w:tc>
          <w:tcPr>
            <w:tcW w:w="993" w:type="dxa"/>
            <w:tcBorders>
              <w:top w:val="nil"/>
              <w:left w:val="nil"/>
              <w:bottom w:val="double" w:sz="6" w:space="0" w:color="1F497D"/>
              <w:right w:val="double" w:sz="6" w:space="0" w:color="1F497D"/>
            </w:tcBorders>
            <w:shd w:val="clear" w:color="auto" w:fill="auto"/>
            <w:vAlign w:val="center"/>
            <w:hideMark/>
          </w:tcPr>
          <w:p w14:paraId="22EC6A70"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Disminución</w:t>
            </w:r>
          </w:p>
        </w:tc>
        <w:tc>
          <w:tcPr>
            <w:tcW w:w="851" w:type="dxa"/>
            <w:tcBorders>
              <w:top w:val="nil"/>
              <w:left w:val="nil"/>
              <w:bottom w:val="double" w:sz="6" w:space="0" w:color="1F497D"/>
              <w:right w:val="double" w:sz="6" w:space="0" w:color="1F497D"/>
            </w:tcBorders>
            <w:shd w:val="clear" w:color="000000" w:fill="FF0000"/>
            <w:noWrap/>
            <w:vAlign w:val="center"/>
            <w:hideMark/>
          </w:tcPr>
          <w:p w14:paraId="62BC1B2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25</w:t>
            </w:r>
          </w:p>
        </w:tc>
        <w:tc>
          <w:tcPr>
            <w:tcW w:w="1000" w:type="dxa"/>
            <w:tcBorders>
              <w:top w:val="nil"/>
              <w:left w:val="nil"/>
              <w:bottom w:val="double" w:sz="6" w:space="0" w:color="1F497D"/>
              <w:right w:val="double" w:sz="6" w:space="0" w:color="1F497D"/>
            </w:tcBorders>
            <w:shd w:val="clear" w:color="000000" w:fill="FF0000"/>
            <w:noWrap/>
            <w:vAlign w:val="center"/>
            <w:hideMark/>
          </w:tcPr>
          <w:p w14:paraId="656AD0E1"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12</w:t>
            </w:r>
          </w:p>
        </w:tc>
        <w:tc>
          <w:tcPr>
            <w:tcW w:w="729" w:type="dxa"/>
            <w:tcBorders>
              <w:top w:val="nil"/>
              <w:left w:val="nil"/>
              <w:bottom w:val="double" w:sz="6" w:space="0" w:color="1F497D"/>
              <w:right w:val="double" w:sz="6" w:space="0" w:color="1F497D"/>
            </w:tcBorders>
            <w:shd w:val="clear" w:color="000000" w:fill="FF0000"/>
            <w:noWrap/>
            <w:vAlign w:val="center"/>
            <w:hideMark/>
          </w:tcPr>
          <w:p w14:paraId="4DDC318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16</w:t>
            </w:r>
          </w:p>
        </w:tc>
        <w:tc>
          <w:tcPr>
            <w:tcW w:w="796" w:type="dxa"/>
            <w:tcBorders>
              <w:top w:val="nil"/>
              <w:left w:val="nil"/>
              <w:bottom w:val="double" w:sz="6" w:space="0" w:color="1F497D"/>
              <w:right w:val="double" w:sz="6" w:space="0" w:color="1F497D"/>
            </w:tcBorders>
            <w:shd w:val="clear" w:color="000000" w:fill="FF0000"/>
            <w:noWrap/>
            <w:vAlign w:val="center"/>
            <w:hideMark/>
          </w:tcPr>
          <w:p w14:paraId="136540E5"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766" w:type="dxa"/>
            <w:tcBorders>
              <w:top w:val="nil"/>
              <w:left w:val="nil"/>
              <w:bottom w:val="double" w:sz="6" w:space="0" w:color="1F497D"/>
              <w:right w:val="double" w:sz="6" w:space="0" w:color="1F497D"/>
            </w:tcBorders>
            <w:shd w:val="clear" w:color="000000" w:fill="FF0000"/>
            <w:noWrap/>
            <w:vAlign w:val="center"/>
            <w:hideMark/>
          </w:tcPr>
          <w:p w14:paraId="2E7748C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5</w:t>
            </w:r>
          </w:p>
        </w:tc>
        <w:tc>
          <w:tcPr>
            <w:tcW w:w="1051" w:type="dxa"/>
            <w:tcBorders>
              <w:top w:val="nil"/>
              <w:left w:val="nil"/>
              <w:bottom w:val="double" w:sz="6" w:space="0" w:color="1F497D"/>
              <w:right w:val="double" w:sz="6" w:space="0" w:color="1F497D"/>
            </w:tcBorders>
            <w:shd w:val="clear" w:color="000000" w:fill="FF0000"/>
            <w:noWrap/>
            <w:vAlign w:val="center"/>
            <w:hideMark/>
          </w:tcPr>
          <w:p w14:paraId="31303EAE"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36</w:t>
            </w:r>
          </w:p>
        </w:tc>
        <w:tc>
          <w:tcPr>
            <w:tcW w:w="740" w:type="dxa"/>
            <w:tcBorders>
              <w:top w:val="nil"/>
              <w:left w:val="nil"/>
              <w:bottom w:val="double" w:sz="6" w:space="0" w:color="1F497D"/>
              <w:right w:val="double" w:sz="6" w:space="0" w:color="1F497D"/>
            </w:tcBorders>
            <w:shd w:val="clear" w:color="000000" w:fill="FF0000"/>
            <w:noWrap/>
            <w:vAlign w:val="center"/>
            <w:hideMark/>
          </w:tcPr>
          <w:p w14:paraId="22E17620"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43</w:t>
            </w:r>
          </w:p>
        </w:tc>
        <w:tc>
          <w:tcPr>
            <w:tcW w:w="821" w:type="dxa"/>
            <w:tcBorders>
              <w:top w:val="nil"/>
              <w:left w:val="nil"/>
              <w:bottom w:val="double" w:sz="6" w:space="0" w:color="1F497D"/>
              <w:right w:val="double" w:sz="6" w:space="0" w:color="1F497D"/>
            </w:tcBorders>
            <w:shd w:val="clear" w:color="000000" w:fill="FF0000"/>
            <w:noWrap/>
            <w:vAlign w:val="center"/>
            <w:hideMark/>
          </w:tcPr>
          <w:p w14:paraId="3E7D661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w:t>
            </w:r>
          </w:p>
        </w:tc>
        <w:tc>
          <w:tcPr>
            <w:tcW w:w="781" w:type="dxa"/>
            <w:tcBorders>
              <w:top w:val="nil"/>
              <w:left w:val="nil"/>
              <w:bottom w:val="double" w:sz="6" w:space="0" w:color="1F497D"/>
              <w:right w:val="double" w:sz="6" w:space="0" w:color="1F497D"/>
            </w:tcBorders>
            <w:shd w:val="clear" w:color="000000" w:fill="00B050"/>
            <w:noWrap/>
            <w:vAlign w:val="center"/>
            <w:hideMark/>
          </w:tcPr>
          <w:p w14:paraId="6BC2709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-5</w:t>
            </w:r>
          </w:p>
        </w:tc>
        <w:tc>
          <w:tcPr>
            <w:tcW w:w="730" w:type="dxa"/>
            <w:tcBorders>
              <w:top w:val="nil"/>
              <w:left w:val="nil"/>
              <w:bottom w:val="double" w:sz="6" w:space="0" w:color="1F497D"/>
              <w:right w:val="double" w:sz="6" w:space="0" w:color="1F497D"/>
            </w:tcBorders>
            <w:shd w:val="clear" w:color="000000" w:fill="FF0000"/>
            <w:noWrap/>
            <w:vAlign w:val="center"/>
            <w:hideMark/>
          </w:tcPr>
          <w:p w14:paraId="1D667B2B"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16</w:t>
            </w:r>
          </w:p>
        </w:tc>
        <w:tc>
          <w:tcPr>
            <w:tcW w:w="670" w:type="dxa"/>
            <w:tcBorders>
              <w:top w:val="nil"/>
              <w:left w:val="nil"/>
              <w:bottom w:val="double" w:sz="6" w:space="0" w:color="1F497D"/>
              <w:right w:val="double" w:sz="6" w:space="0" w:color="1F497D"/>
            </w:tcBorders>
            <w:shd w:val="clear" w:color="000000" w:fill="FF0000"/>
            <w:noWrap/>
            <w:vAlign w:val="center"/>
            <w:hideMark/>
          </w:tcPr>
          <w:p w14:paraId="7F8FF583"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31</w:t>
            </w:r>
          </w:p>
        </w:tc>
        <w:tc>
          <w:tcPr>
            <w:tcW w:w="936" w:type="dxa"/>
            <w:tcBorders>
              <w:top w:val="nil"/>
              <w:left w:val="nil"/>
              <w:bottom w:val="double" w:sz="6" w:space="0" w:color="1F497D"/>
              <w:right w:val="double" w:sz="6" w:space="0" w:color="1F497D"/>
            </w:tcBorders>
            <w:shd w:val="clear" w:color="000000" w:fill="00B050"/>
            <w:noWrap/>
            <w:vAlign w:val="center"/>
            <w:hideMark/>
          </w:tcPr>
          <w:p w14:paraId="50CA9B13"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-13</w:t>
            </w:r>
          </w:p>
        </w:tc>
      </w:tr>
      <w:tr w:rsidR="00B53CB8" w:rsidRPr="00033E65" w14:paraId="4BD53414" w14:textId="77777777" w:rsidTr="009763EE">
        <w:trPr>
          <w:trHeight w:val="840"/>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6D3EA285"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Escritos pendientes de resolver</w:t>
            </w:r>
          </w:p>
        </w:tc>
        <w:tc>
          <w:tcPr>
            <w:tcW w:w="993" w:type="dxa"/>
            <w:tcBorders>
              <w:top w:val="nil"/>
              <w:left w:val="nil"/>
              <w:bottom w:val="double" w:sz="6" w:space="0" w:color="1F497D"/>
              <w:right w:val="double" w:sz="6" w:space="0" w:color="1F497D"/>
            </w:tcBorders>
            <w:shd w:val="clear" w:color="auto" w:fill="auto"/>
            <w:vAlign w:val="center"/>
            <w:hideMark/>
          </w:tcPr>
          <w:p w14:paraId="16EDBCAF"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Disminución</w:t>
            </w:r>
          </w:p>
        </w:tc>
        <w:tc>
          <w:tcPr>
            <w:tcW w:w="851" w:type="dxa"/>
            <w:tcBorders>
              <w:top w:val="nil"/>
              <w:left w:val="nil"/>
              <w:bottom w:val="double" w:sz="6" w:space="0" w:color="1F497D"/>
              <w:right w:val="double" w:sz="6" w:space="0" w:color="1F497D"/>
            </w:tcBorders>
            <w:shd w:val="clear" w:color="000000" w:fill="FF0000"/>
            <w:noWrap/>
            <w:vAlign w:val="center"/>
            <w:hideMark/>
          </w:tcPr>
          <w:p w14:paraId="396C3C7F"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w:t>
            </w:r>
          </w:p>
        </w:tc>
        <w:tc>
          <w:tcPr>
            <w:tcW w:w="1000" w:type="dxa"/>
            <w:tcBorders>
              <w:top w:val="nil"/>
              <w:left w:val="nil"/>
              <w:bottom w:val="double" w:sz="6" w:space="0" w:color="1F497D"/>
              <w:right w:val="double" w:sz="6" w:space="0" w:color="1F497D"/>
            </w:tcBorders>
            <w:shd w:val="clear" w:color="000000" w:fill="FF0000"/>
            <w:noWrap/>
            <w:vAlign w:val="center"/>
            <w:hideMark/>
          </w:tcPr>
          <w:p w14:paraId="0859B373"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59</w:t>
            </w:r>
          </w:p>
        </w:tc>
        <w:tc>
          <w:tcPr>
            <w:tcW w:w="729" w:type="dxa"/>
            <w:tcBorders>
              <w:top w:val="nil"/>
              <w:left w:val="nil"/>
              <w:bottom w:val="double" w:sz="6" w:space="0" w:color="1F497D"/>
              <w:right w:val="double" w:sz="6" w:space="0" w:color="1F497D"/>
            </w:tcBorders>
            <w:shd w:val="clear" w:color="000000" w:fill="00B050"/>
            <w:noWrap/>
            <w:vAlign w:val="center"/>
            <w:hideMark/>
          </w:tcPr>
          <w:p w14:paraId="7445F80C"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-12</w:t>
            </w:r>
          </w:p>
        </w:tc>
        <w:tc>
          <w:tcPr>
            <w:tcW w:w="796" w:type="dxa"/>
            <w:tcBorders>
              <w:top w:val="nil"/>
              <w:left w:val="nil"/>
              <w:bottom w:val="double" w:sz="6" w:space="0" w:color="1F497D"/>
              <w:right w:val="double" w:sz="6" w:space="0" w:color="1F497D"/>
            </w:tcBorders>
            <w:shd w:val="clear" w:color="000000" w:fill="00B050"/>
            <w:noWrap/>
            <w:vAlign w:val="center"/>
            <w:hideMark/>
          </w:tcPr>
          <w:p w14:paraId="3B49EA2F"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-15</w:t>
            </w:r>
          </w:p>
        </w:tc>
        <w:tc>
          <w:tcPr>
            <w:tcW w:w="766" w:type="dxa"/>
            <w:tcBorders>
              <w:top w:val="nil"/>
              <w:left w:val="nil"/>
              <w:bottom w:val="double" w:sz="6" w:space="0" w:color="1F497D"/>
              <w:right w:val="double" w:sz="6" w:space="0" w:color="1F497D"/>
            </w:tcBorders>
            <w:shd w:val="clear" w:color="000000" w:fill="00B050"/>
            <w:noWrap/>
            <w:vAlign w:val="center"/>
            <w:hideMark/>
          </w:tcPr>
          <w:p w14:paraId="1DA9D070"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-37</w:t>
            </w:r>
          </w:p>
        </w:tc>
        <w:tc>
          <w:tcPr>
            <w:tcW w:w="1051" w:type="dxa"/>
            <w:tcBorders>
              <w:top w:val="nil"/>
              <w:left w:val="nil"/>
              <w:bottom w:val="double" w:sz="6" w:space="0" w:color="1F497D"/>
              <w:right w:val="double" w:sz="6" w:space="0" w:color="1F497D"/>
            </w:tcBorders>
            <w:shd w:val="clear" w:color="000000" w:fill="FF0000"/>
            <w:noWrap/>
            <w:vAlign w:val="center"/>
            <w:hideMark/>
          </w:tcPr>
          <w:p w14:paraId="16AE177B"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40</w:t>
            </w:r>
          </w:p>
        </w:tc>
        <w:tc>
          <w:tcPr>
            <w:tcW w:w="740" w:type="dxa"/>
            <w:tcBorders>
              <w:top w:val="nil"/>
              <w:left w:val="nil"/>
              <w:bottom w:val="double" w:sz="6" w:space="0" w:color="1F497D"/>
              <w:right w:val="double" w:sz="6" w:space="0" w:color="1F497D"/>
            </w:tcBorders>
            <w:shd w:val="clear" w:color="000000" w:fill="FF0000"/>
            <w:noWrap/>
            <w:vAlign w:val="center"/>
            <w:hideMark/>
          </w:tcPr>
          <w:p w14:paraId="2FC78567"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76</w:t>
            </w:r>
          </w:p>
        </w:tc>
        <w:tc>
          <w:tcPr>
            <w:tcW w:w="821" w:type="dxa"/>
            <w:tcBorders>
              <w:top w:val="nil"/>
              <w:left w:val="nil"/>
              <w:bottom w:val="double" w:sz="6" w:space="0" w:color="1F497D"/>
              <w:right w:val="double" w:sz="6" w:space="0" w:color="1F497D"/>
            </w:tcBorders>
            <w:shd w:val="clear" w:color="000000" w:fill="FF0000"/>
            <w:noWrap/>
            <w:vAlign w:val="center"/>
            <w:hideMark/>
          </w:tcPr>
          <w:p w14:paraId="1455915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79</w:t>
            </w:r>
          </w:p>
        </w:tc>
        <w:tc>
          <w:tcPr>
            <w:tcW w:w="781" w:type="dxa"/>
            <w:tcBorders>
              <w:top w:val="nil"/>
              <w:left w:val="nil"/>
              <w:bottom w:val="double" w:sz="6" w:space="0" w:color="1F497D"/>
              <w:right w:val="double" w:sz="6" w:space="0" w:color="1F497D"/>
            </w:tcBorders>
            <w:shd w:val="clear" w:color="000000" w:fill="00B050"/>
            <w:noWrap/>
            <w:vAlign w:val="center"/>
            <w:hideMark/>
          </w:tcPr>
          <w:p w14:paraId="31B5970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-13</w:t>
            </w:r>
          </w:p>
        </w:tc>
        <w:tc>
          <w:tcPr>
            <w:tcW w:w="730" w:type="dxa"/>
            <w:tcBorders>
              <w:top w:val="nil"/>
              <w:left w:val="nil"/>
              <w:bottom w:val="double" w:sz="6" w:space="0" w:color="1F497D"/>
              <w:right w:val="double" w:sz="6" w:space="0" w:color="1F497D"/>
            </w:tcBorders>
            <w:shd w:val="clear" w:color="000000" w:fill="FF0000"/>
            <w:noWrap/>
            <w:vAlign w:val="center"/>
            <w:hideMark/>
          </w:tcPr>
          <w:p w14:paraId="1E702BB5"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36</w:t>
            </w:r>
          </w:p>
        </w:tc>
        <w:tc>
          <w:tcPr>
            <w:tcW w:w="670" w:type="dxa"/>
            <w:tcBorders>
              <w:top w:val="nil"/>
              <w:left w:val="nil"/>
              <w:bottom w:val="double" w:sz="6" w:space="0" w:color="1F497D"/>
              <w:right w:val="double" w:sz="6" w:space="0" w:color="1F497D"/>
            </w:tcBorders>
            <w:shd w:val="clear" w:color="000000" w:fill="00B050"/>
            <w:noWrap/>
            <w:vAlign w:val="center"/>
            <w:hideMark/>
          </w:tcPr>
          <w:p w14:paraId="504986C2"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-12</w:t>
            </w:r>
          </w:p>
        </w:tc>
        <w:tc>
          <w:tcPr>
            <w:tcW w:w="936" w:type="dxa"/>
            <w:tcBorders>
              <w:top w:val="nil"/>
              <w:left w:val="nil"/>
              <w:bottom w:val="double" w:sz="6" w:space="0" w:color="1F497D"/>
              <w:right w:val="double" w:sz="6" w:space="0" w:color="1F497D"/>
            </w:tcBorders>
            <w:shd w:val="clear" w:color="000000" w:fill="00B050"/>
            <w:noWrap/>
            <w:vAlign w:val="center"/>
            <w:hideMark/>
          </w:tcPr>
          <w:p w14:paraId="2FC3AFAC"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-36</w:t>
            </w:r>
          </w:p>
        </w:tc>
      </w:tr>
      <w:tr w:rsidR="00B53CB8" w:rsidRPr="00033E65" w14:paraId="1B675B99" w14:textId="77777777" w:rsidTr="009763EE">
        <w:trPr>
          <w:trHeight w:val="1111"/>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3B296650"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Demandas nuevas pendientes de resolver</w:t>
            </w:r>
          </w:p>
        </w:tc>
        <w:tc>
          <w:tcPr>
            <w:tcW w:w="993" w:type="dxa"/>
            <w:tcBorders>
              <w:top w:val="nil"/>
              <w:left w:val="nil"/>
              <w:bottom w:val="double" w:sz="6" w:space="0" w:color="1F497D"/>
              <w:right w:val="double" w:sz="6" w:space="0" w:color="1F497D"/>
            </w:tcBorders>
            <w:shd w:val="clear" w:color="auto" w:fill="auto"/>
            <w:vAlign w:val="center"/>
            <w:hideMark/>
          </w:tcPr>
          <w:p w14:paraId="3E46D0F9"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Disminución</w:t>
            </w:r>
          </w:p>
        </w:tc>
        <w:tc>
          <w:tcPr>
            <w:tcW w:w="851" w:type="dxa"/>
            <w:tcBorders>
              <w:top w:val="nil"/>
              <w:left w:val="nil"/>
              <w:bottom w:val="double" w:sz="6" w:space="0" w:color="1F497D"/>
              <w:right w:val="double" w:sz="6" w:space="0" w:color="1F497D"/>
            </w:tcBorders>
            <w:shd w:val="clear" w:color="000000" w:fill="00B050"/>
            <w:noWrap/>
            <w:vAlign w:val="center"/>
            <w:hideMark/>
          </w:tcPr>
          <w:p w14:paraId="3DCBB174"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1000" w:type="dxa"/>
            <w:tcBorders>
              <w:top w:val="nil"/>
              <w:left w:val="nil"/>
              <w:bottom w:val="double" w:sz="6" w:space="0" w:color="1F497D"/>
              <w:right w:val="double" w:sz="6" w:space="0" w:color="1F497D"/>
            </w:tcBorders>
            <w:shd w:val="clear" w:color="000000" w:fill="FFFF00"/>
            <w:noWrap/>
            <w:vAlign w:val="center"/>
            <w:hideMark/>
          </w:tcPr>
          <w:p w14:paraId="4A63968B"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729" w:type="dxa"/>
            <w:tcBorders>
              <w:top w:val="nil"/>
              <w:left w:val="nil"/>
              <w:bottom w:val="double" w:sz="6" w:space="0" w:color="1F497D"/>
              <w:right w:val="double" w:sz="6" w:space="0" w:color="1F497D"/>
            </w:tcBorders>
            <w:shd w:val="clear" w:color="000000" w:fill="00B050"/>
            <w:noWrap/>
            <w:vAlign w:val="center"/>
            <w:hideMark/>
          </w:tcPr>
          <w:p w14:paraId="69931F72"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796" w:type="dxa"/>
            <w:tcBorders>
              <w:top w:val="nil"/>
              <w:left w:val="nil"/>
              <w:bottom w:val="double" w:sz="6" w:space="0" w:color="1F497D"/>
              <w:right w:val="double" w:sz="6" w:space="0" w:color="1F497D"/>
            </w:tcBorders>
            <w:shd w:val="clear" w:color="000000" w:fill="00B050"/>
            <w:noWrap/>
            <w:vAlign w:val="center"/>
            <w:hideMark/>
          </w:tcPr>
          <w:p w14:paraId="4C2A472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w:t>
            </w:r>
          </w:p>
        </w:tc>
        <w:tc>
          <w:tcPr>
            <w:tcW w:w="766" w:type="dxa"/>
            <w:tcBorders>
              <w:top w:val="nil"/>
              <w:left w:val="nil"/>
              <w:bottom w:val="double" w:sz="6" w:space="0" w:color="1F497D"/>
              <w:right w:val="double" w:sz="6" w:space="0" w:color="1F497D"/>
            </w:tcBorders>
            <w:shd w:val="clear" w:color="000000" w:fill="FFFF00"/>
            <w:noWrap/>
            <w:vAlign w:val="center"/>
            <w:hideMark/>
          </w:tcPr>
          <w:p w14:paraId="0CF8B535"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1051" w:type="dxa"/>
            <w:tcBorders>
              <w:top w:val="nil"/>
              <w:left w:val="nil"/>
              <w:bottom w:val="double" w:sz="6" w:space="0" w:color="1F497D"/>
              <w:right w:val="double" w:sz="6" w:space="0" w:color="1F497D"/>
            </w:tcBorders>
            <w:shd w:val="clear" w:color="000000" w:fill="FF0000"/>
            <w:noWrap/>
            <w:vAlign w:val="center"/>
            <w:hideMark/>
          </w:tcPr>
          <w:p w14:paraId="3C4C666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w:t>
            </w:r>
          </w:p>
        </w:tc>
        <w:tc>
          <w:tcPr>
            <w:tcW w:w="740" w:type="dxa"/>
            <w:tcBorders>
              <w:top w:val="nil"/>
              <w:left w:val="nil"/>
              <w:bottom w:val="double" w:sz="6" w:space="0" w:color="1F497D"/>
              <w:right w:val="double" w:sz="6" w:space="0" w:color="1F497D"/>
            </w:tcBorders>
            <w:shd w:val="clear" w:color="000000" w:fill="FF0000"/>
            <w:noWrap/>
            <w:vAlign w:val="center"/>
            <w:hideMark/>
          </w:tcPr>
          <w:p w14:paraId="5A016771"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w:t>
            </w:r>
          </w:p>
        </w:tc>
        <w:tc>
          <w:tcPr>
            <w:tcW w:w="821" w:type="dxa"/>
            <w:tcBorders>
              <w:top w:val="nil"/>
              <w:left w:val="nil"/>
              <w:bottom w:val="double" w:sz="6" w:space="0" w:color="1F497D"/>
              <w:right w:val="double" w:sz="6" w:space="0" w:color="1F497D"/>
            </w:tcBorders>
            <w:shd w:val="clear" w:color="000000" w:fill="FFFF00"/>
            <w:noWrap/>
            <w:vAlign w:val="center"/>
            <w:hideMark/>
          </w:tcPr>
          <w:p w14:paraId="02EA34B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781" w:type="dxa"/>
            <w:tcBorders>
              <w:top w:val="nil"/>
              <w:left w:val="nil"/>
              <w:bottom w:val="double" w:sz="6" w:space="0" w:color="1F497D"/>
              <w:right w:val="double" w:sz="6" w:space="0" w:color="1F497D"/>
            </w:tcBorders>
            <w:shd w:val="clear" w:color="000000" w:fill="FFFF00"/>
            <w:noWrap/>
            <w:vAlign w:val="center"/>
            <w:hideMark/>
          </w:tcPr>
          <w:p w14:paraId="6DF52213"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730" w:type="dxa"/>
            <w:tcBorders>
              <w:top w:val="nil"/>
              <w:left w:val="nil"/>
              <w:bottom w:val="double" w:sz="6" w:space="0" w:color="1F497D"/>
              <w:right w:val="double" w:sz="6" w:space="0" w:color="1F497D"/>
            </w:tcBorders>
            <w:shd w:val="clear" w:color="000000" w:fill="FF0000"/>
            <w:noWrap/>
            <w:vAlign w:val="center"/>
            <w:hideMark/>
          </w:tcPr>
          <w:p w14:paraId="70292BB0"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w:t>
            </w:r>
          </w:p>
        </w:tc>
        <w:tc>
          <w:tcPr>
            <w:tcW w:w="670" w:type="dxa"/>
            <w:tcBorders>
              <w:top w:val="nil"/>
              <w:left w:val="nil"/>
              <w:bottom w:val="double" w:sz="6" w:space="0" w:color="1F497D"/>
              <w:right w:val="double" w:sz="6" w:space="0" w:color="1F497D"/>
            </w:tcBorders>
            <w:shd w:val="clear" w:color="000000" w:fill="00B050"/>
            <w:noWrap/>
            <w:vAlign w:val="center"/>
            <w:hideMark/>
          </w:tcPr>
          <w:p w14:paraId="767DE85C"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w:t>
            </w:r>
          </w:p>
        </w:tc>
        <w:tc>
          <w:tcPr>
            <w:tcW w:w="936" w:type="dxa"/>
            <w:tcBorders>
              <w:top w:val="nil"/>
              <w:left w:val="nil"/>
              <w:bottom w:val="double" w:sz="6" w:space="0" w:color="1F497D"/>
              <w:right w:val="double" w:sz="6" w:space="0" w:color="1F497D"/>
            </w:tcBorders>
            <w:shd w:val="clear" w:color="000000" w:fill="FFFF00"/>
            <w:noWrap/>
            <w:vAlign w:val="center"/>
            <w:hideMark/>
          </w:tcPr>
          <w:p w14:paraId="57480124"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r>
      <w:tr w:rsidR="00B53CB8" w:rsidRPr="00033E65" w14:paraId="275914D4" w14:textId="77777777" w:rsidTr="009763EE">
        <w:trPr>
          <w:trHeight w:val="840"/>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144D636D"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Expedientes pasados a firmar</w:t>
            </w:r>
          </w:p>
        </w:tc>
        <w:tc>
          <w:tcPr>
            <w:tcW w:w="993" w:type="dxa"/>
            <w:tcBorders>
              <w:top w:val="nil"/>
              <w:left w:val="nil"/>
              <w:bottom w:val="double" w:sz="6" w:space="0" w:color="1F497D"/>
              <w:right w:val="double" w:sz="6" w:space="0" w:color="1F497D"/>
            </w:tcBorders>
            <w:shd w:val="clear" w:color="auto" w:fill="auto"/>
            <w:vAlign w:val="center"/>
            <w:hideMark/>
          </w:tcPr>
          <w:p w14:paraId="77EC1101"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Incremento</w:t>
            </w:r>
          </w:p>
        </w:tc>
        <w:tc>
          <w:tcPr>
            <w:tcW w:w="851" w:type="dxa"/>
            <w:tcBorders>
              <w:top w:val="nil"/>
              <w:left w:val="nil"/>
              <w:bottom w:val="double" w:sz="6" w:space="0" w:color="1F497D"/>
              <w:right w:val="double" w:sz="6" w:space="0" w:color="1F497D"/>
            </w:tcBorders>
            <w:shd w:val="clear" w:color="000000" w:fill="00B050"/>
            <w:noWrap/>
            <w:vAlign w:val="center"/>
            <w:hideMark/>
          </w:tcPr>
          <w:p w14:paraId="36555BB7"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97</w:t>
            </w:r>
          </w:p>
        </w:tc>
        <w:tc>
          <w:tcPr>
            <w:tcW w:w="1000" w:type="dxa"/>
            <w:tcBorders>
              <w:top w:val="nil"/>
              <w:left w:val="nil"/>
              <w:bottom w:val="double" w:sz="6" w:space="0" w:color="1F497D"/>
              <w:right w:val="double" w:sz="6" w:space="0" w:color="1F497D"/>
            </w:tcBorders>
            <w:shd w:val="clear" w:color="000000" w:fill="00B050"/>
            <w:noWrap/>
            <w:vAlign w:val="center"/>
            <w:hideMark/>
          </w:tcPr>
          <w:p w14:paraId="03AC4D62"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178</w:t>
            </w:r>
          </w:p>
        </w:tc>
        <w:tc>
          <w:tcPr>
            <w:tcW w:w="729" w:type="dxa"/>
            <w:tcBorders>
              <w:top w:val="nil"/>
              <w:left w:val="nil"/>
              <w:bottom w:val="double" w:sz="6" w:space="0" w:color="1F497D"/>
              <w:right w:val="double" w:sz="6" w:space="0" w:color="1F497D"/>
            </w:tcBorders>
            <w:shd w:val="clear" w:color="000000" w:fill="00B050"/>
            <w:noWrap/>
            <w:vAlign w:val="center"/>
            <w:hideMark/>
          </w:tcPr>
          <w:p w14:paraId="04214A2C"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278</w:t>
            </w:r>
          </w:p>
        </w:tc>
        <w:tc>
          <w:tcPr>
            <w:tcW w:w="796" w:type="dxa"/>
            <w:tcBorders>
              <w:top w:val="nil"/>
              <w:left w:val="nil"/>
              <w:bottom w:val="double" w:sz="6" w:space="0" w:color="1F497D"/>
              <w:right w:val="double" w:sz="6" w:space="0" w:color="1F497D"/>
            </w:tcBorders>
            <w:shd w:val="clear" w:color="000000" w:fill="00B050"/>
            <w:noWrap/>
            <w:vAlign w:val="center"/>
            <w:hideMark/>
          </w:tcPr>
          <w:p w14:paraId="0C273BD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110</w:t>
            </w:r>
          </w:p>
        </w:tc>
        <w:tc>
          <w:tcPr>
            <w:tcW w:w="766" w:type="dxa"/>
            <w:tcBorders>
              <w:top w:val="nil"/>
              <w:left w:val="nil"/>
              <w:bottom w:val="double" w:sz="6" w:space="0" w:color="1F497D"/>
              <w:right w:val="double" w:sz="6" w:space="0" w:color="1F497D"/>
            </w:tcBorders>
            <w:shd w:val="clear" w:color="000000" w:fill="00B050"/>
            <w:noWrap/>
            <w:vAlign w:val="center"/>
            <w:hideMark/>
          </w:tcPr>
          <w:p w14:paraId="582FC0B5"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320</w:t>
            </w:r>
          </w:p>
        </w:tc>
        <w:tc>
          <w:tcPr>
            <w:tcW w:w="1051" w:type="dxa"/>
            <w:tcBorders>
              <w:top w:val="nil"/>
              <w:left w:val="nil"/>
              <w:bottom w:val="double" w:sz="6" w:space="0" w:color="1F497D"/>
              <w:right w:val="double" w:sz="6" w:space="0" w:color="1F497D"/>
            </w:tcBorders>
            <w:shd w:val="clear" w:color="000000" w:fill="00B050"/>
            <w:noWrap/>
            <w:vAlign w:val="center"/>
            <w:hideMark/>
          </w:tcPr>
          <w:p w14:paraId="3B00C78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209</w:t>
            </w:r>
          </w:p>
        </w:tc>
        <w:tc>
          <w:tcPr>
            <w:tcW w:w="740" w:type="dxa"/>
            <w:tcBorders>
              <w:top w:val="nil"/>
              <w:left w:val="nil"/>
              <w:bottom w:val="double" w:sz="6" w:space="0" w:color="1F497D"/>
              <w:right w:val="double" w:sz="6" w:space="0" w:color="1F497D"/>
            </w:tcBorders>
            <w:shd w:val="clear" w:color="000000" w:fill="00B050"/>
            <w:noWrap/>
            <w:vAlign w:val="center"/>
            <w:hideMark/>
          </w:tcPr>
          <w:p w14:paraId="27F375D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446</w:t>
            </w:r>
          </w:p>
        </w:tc>
        <w:tc>
          <w:tcPr>
            <w:tcW w:w="821" w:type="dxa"/>
            <w:tcBorders>
              <w:top w:val="nil"/>
              <w:left w:val="nil"/>
              <w:bottom w:val="double" w:sz="6" w:space="0" w:color="1F497D"/>
              <w:right w:val="double" w:sz="6" w:space="0" w:color="1F497D"/>
            </w:tcBorders>
            <w:shd w:val="clear" w:color="000000" w:fill="00B050"/>
            <w:noWrap/>
            <w:vAlign w:val="center"/>
            <w:hideMark/>
          </w:tcPr>
          <w:p w14:paraId="41FC6CE2"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122</w:t>
            </w:r>
          </w:p>
        </w:tc>
        <w:tc>
          <w:tcPr>
            <w:tcW w:w="781" w:type="dxa"/>
            <w:tcBorders>
              <w:top w:val="nil"/>
              <w:left w:val="nil"/>
              <w:bottom w:val="double" w:sz="6" w:space="0" w:color="1F497D"/>
              <w:right w:val="double" w:sz="6" w:space="0" w:color="1F497D"/>
            </w:tcBorders>
            <w:shd w:val="clear" w:color="000000" w:fill="00B050"/>
            <w:noWrap/>
            <w:vAlign w:val="center"/>
            <w:hideMark/>
          </w:tcPr>
          <w:p w14:paraId="0BE9E14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208</w:t>
            </w:r>
          </w:p>
        </w:tc>
        <w:tc>
          <w:tcPr>
            <w:tcW w:w="730" w:type="dxa"/>
            <w:tcBorders>
              <w:top w:val="nil"/>
              <w:left w:val="nil"/>
              <w:bottom w:val="double" w:sz="6" w:space="0" w:color="1F497D"/>
              <w:right w:val="double" w:sz="6" w:space="0" w:color="1F497D"/>
            </w:tcBorders>
            <w:shd w:val="clear" w:color="000000" w:fill="00B050"/>
            <w:noWrap/>
            <w:vAlign w:val="center"/>
            <w:hideMark/>
          </w:tcPr>
          <w:p w14:paraId="2674766D"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237</w:t>
            </w:r>
          </w:p>
        </w:tc>
        <w:tc>
          <w:tcPr>
            <w:tcW w:w="670" w:type="dxa"/>
            <w:tcBorders>
              <w:top w:val="nil"/>
              <w:left w:val="nil"/>
              <w:bottom w:val="double" w:sz="6" w:space="0" w:color="1F497D"/>
              <w:right w:val="double" w:sz="6" w:space="0" w:color="1F497D"/>
            </w:tcBorders>
            <w:shd w:val="clear" w:color="000000" w:fill="00B050"/>
            <w:noWrap/>
            <w:vAlign w:val="center"/>
            <w:hideMark/>
          </w:tcPr>
          <w:p w14:paraId="5CF00352"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44</w:t>
            </w:r>
          </w:p>
        </w:tc>
        <w:tc>
          <w:tcPr>
            <w:tcW w:w="936" w:type="dxa"/>
            <w:tcBorders>
              <w:top w:val="nil"/>
              <w:left w:val="nil"/>
              <w:bottom w:val="double" w:sz="6" w:space="0" w:color="1F497D"/>
              <w:right w:val="double" w:sz="6" w:space="0" w:color="1F497D"/>
            </w:tcBorders>
            <w:shd w:val="clear" w:color="000000" w:fill="00B050"/>
            <w:noWrap/>
            <w:vAlign w:val="center"/>
            <w:hideMark/>
          </w:tcPr>
          <w:p w14:paraId="7EBC44D1"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212</w:t>
            </w:r>
          </w:p>
        </w:tc>
      </w:tr>
      <w:tr w:rsidR="00B53CB8" w:rsidRPr="00033E65" w14:paraId="3251F6E4" w14:textId="77777777" w:rsidTr="009763EE">
        <w:trPr>
          <w:trHeight w:val="840"/>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476EB390"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Cantidad de sentencias dictadas</w:t>
            </w:r>
          </w:p>
        </w:tc>
        <w:tc>
          <w:tcPr>
            <w:tcW w:w="993" w:type="dxa"/>
            <w:tcBorders>
              <w:top w:val="nil"/>
              <w:left w:val="nil"/>
              <w:bottom w:val="double" w:sz="6" w:space="0" w:color="1F497D"/>
              <w:right w:val="double" w:sz="6" w:space="0" w:color="1F497D"/>
            </w:tcBorders>
            <w:shd w:val="clear" w:color="auto" w:fill="auto"/>
            <w:vAlign w:val="center"/>
            <w:hideMark/>
          </w:tcPr>
          <w:p w14:paraId="7CEB840F"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Incremento</w:t>
            </w:r>
          </w:p>
        </w:tc>
        <w:tc>
          <w:tcPr>
            <w:tcW w:w="851" w:type="dxa"/>
            <w:tcBorders>
              <w:top w:val="nil"/>
              <w:left w:val="nil"/>
              <w:bottom w:val="double" w:sz="6" w:space="0" w:color="1F497D"/>
              <w:right w:val="double" w:sz="6" w:space="0" w:color="1F497D"/>
            </w:tcBorders>
            <w:shd w:val="clear" w:color="000000" w:fill="00B050"/>
            <w:noWrap/>
            <w:vAlign w:val="center"/>
            <w:hideMark/>
          </w:tcPr>
          <w:p w14:paraId="7236311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7</w:t>
            </w:r>
          </w:p>
        </w:tc>
        <w:tc>
          <w:tcPr>
            <w:tcW w:w="1000" w:type="dxa"/>
            <w:tcBorders>
              <w:top w:val="nil"/>
              <w:left w:val="nil"/>
              <w:bottom w:val="double" w:sz="6" w:space="0" w:color="1F497D"/>
              <w:right w:val="double" w:sz="6" w:space="0" w:color="1F497D"/>
            </w:tcBorders>
            <w:shd w:val="clear" w:color="000000" w:fill="00B050"/>
            <w:noWrap/>
            <w:vAlign w:val="center"/>
            <w:hideMark/>
          </w:tcPr>
          <w:p w14:paraId="2406A3D0"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11</w:t>
            </w:r>
          </w:p>
        </w:tc>
        <w:tc>
          <w:tcPr>
            <w:tcW w:w="729" w:type="dxa"/>
            <w:tcBorders>
              <w:top w:val="nil"/>
              <w:left w:val="nil"/>
              <w:bottom w:val="double" w:sz="6" w:space="0" w:color="1F497D"/>
              <w:right w:val="double" w:sz="6" w:space="0" w:color="1F497D"/>
            </w:tcBorders>
            <w:shd w:val="clear" w:color="000000" w:fill="00B050"/>
            <w:noWrap/>
            <w:vAlign w:val="center"/>
            <w:hideMark/>
          </w:tcPr>
          <w:p w14:paraId="2DC735A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12</w:t>
            </w:r>
          </w:p>
        </w:tc>
        <w:tc>
          <w:tcPr>
            <w:tcW w:w="796" w:type="dxa"/>
            <w:tcBorders>
              <w:top w:val="nil"/>
              <w:left w:val="nil"/>
              <w:bottom w:val="double" w:sz="6" w:space="0" w:color="1F497D"/>
              <w:right w:val="double" w:sz="6" w:space="0" w:color="1F497D"/>
            </w:tcBorders>
            <w:shd w:val="clear" w:color="000000" w:fill="00B050"/>
            <w:noWrap/>
            <w:vAlign w:val="center"/>
            <w:hideMark/>
          </w:tcPr>
          <w:p w14:paraId="4E6258BB"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w:t>
            </w:r>
          </w:p>
        </w:tc>
        <w:tc>
          <w:tcPr>
            <w:tcW w:w="766" w:type="dxa"/>
            <w:tcBorders>
              <w:top w:val="nil"/>
              <w:left w:val="nil"/>
              <w:bottom w:val="double" w:sz="6" w:space="0" w:color="1F497D"/>
              <w:right w:val="double" w:sz="6" w:space="0" w:color="1F497D"/>
            </w:tcBorders>
            <w:shd w:val="clear" w:color="000000" w:fill="00B050"/>
            <w:noWrap/>
            <w:vAlign w:val="center"/>
            <w:hideMark/>
          </w:tcPr>
          <w:p w14:paraId="2DF2CA9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10</w:t>
            </w:r>
          </w:p>
        </w:tc>
        <w:tc>
          <w:tcPr>
            <w:tcW w:w="1051" w:type="dxa"/>
            <w:tcBorders>
              <w:top w:val="nil"/>
              <w:left w:val="nil"/>
              <w:bottom w:val="double" w:sz="6" w:space="0" w:color="1F497D"/>
              <w:right w:val="double" w:sz="6" w:space="0" w:color="1F497D"/>
            </w:tcBorders>
            <w:shd w:val="clear" w:color="000000" w:fill="00B050"/>
            <w:noWrap/>
            <w:vAlign w:val="center"/>
            <w:hideMark/>
          </w:tcPr>
          <w:p w14:paraId="5652AF5D"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16</w:t>
            </w:r>
          </w:p>
        </w:tc>
        <w:tc>
          <w:tcPr>
            <w:tcW w:w="740" w:type="dxa"/>
            <w:tcBorders>
              <w:top w:val="nil"/>
              <w:left w:val="nil"/>
              <w:bottom w:val="double" w:sz="6" w:space="0" w:color="1F497D"/>
              <w:right w:val="double" w:sz="6" w:space="0" w:color="1F497D"/>
            </w:tcBorders>
            <w:shd w:val="clear" w:color="000000" w:fill="00B050"/>
            <w:noWrap/>
            <w:vAlign w:val="center"/>
            <w:hideMark/>
          </w:tcPr>
          <w:p w14:paraId="3D1E5894"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15</w:t>
            </w:r>
          </w:p>
        </w:tc>
        <w:tc>
          <w:tcPr>
            <w:tcW w:w="821" w:type="dxa"/>
            <w:tcBorders>
              <w:top w:val="nil"/>
              <w:left w:val="nil"/>
              <w:bottom w:val="double" w:sz="6" w:space="0" w:color="1F497D"/>
              <w:right w:val="double" w:sz="6" w:space="0" w:color="1F497D"/>
            </w:tcBorders>
            <w:shd w:val="clear" w:color="000000" w:fill="00B050"/>
            <w:noWrap/>
            <w:vAlign w:val="center"/>
            <w:hideMark/>
          </w:tcPr>
          <w:p w14:paraId="5038FEC8"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781" w:type="dxa"/>
            <w:tcBorders>
              <w:top w:val="nil"/>
              <w:left w:val="nil"/>
              <w:bottom w:val="double" w:sz="6" w:space="0" w:color="1F497D"/>
              <w:right w:val="double" w:sz="6" w:space="0" w:color="1F497D"/>
            </w:tcBorders>
            <w:shd w:val="clear" w:color="000000" w:fill="00B050"/>
            <w:noWrap/>
            <w:vAlign w:val="center"/>
            <w:hideMark/>
          </w:tcPr>
          <w:p w14:paraId="35931067"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11</w:t>
            </w:r>
          </w:p>
        </w:tc>
        <w:tc>
          <w:tcPr>
            <w:tcW w:w="730" w:type="dxa"/>
            <w:tcBorders>
              <w:top w:val="nil"/>
              <w:left w:val="nil"/>
              <w:bottom w:val="double" w:sz="6" w:space="0" w:color="1F497D"/>
              <w:right w:val="double" w:sz="6" w:space="0" w:color="1F497D"/>
            </w:tcBorders>
            <w:shd w:val="clear" w:color="000000" w:fill="00B050"/>
            <w:noWrap/>
            <w:vAlign w:val="center"/>
            <w:hideMark/>
          </w:tcPr>
          <w:p w14:paraId="65E91FC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8</w:t>
            </w:r>
          </w:p>
        </w:tc>
        <w:tc>
          <w:tcPr>
            <w:tcW w:w="670" w:type="dxa"/>
            <w:tcBorders>
              <w:top w:val="nil"/>
              <w:left w:val="nil"/>
              <w:bottom w:val="double" w:sz="6" w:space="0" w:color="1F497D"/>
              <w:right w:val="double" w:sz="6" w:space="0" w:color="1F497D"/>
            </w:tcBorders>
            <w:shd w:val="clear" w:color="000000" w:fill="00B050"/>
            <w:noWrap/>
            <w:vAlign w:val="center"/>
            <w:hideMark/>
          </w:tcPr>
          <w:p w14:paraId="3B74DF6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7</w:t>
            </w:r>
          </w:p>
        </w:tc>
        <w:tc>
          <w:tcPr>
            <w:tcW w:w="936" w:type="dxa"/>
            <w:tcBorders>
              <w:top w:val="nil"/>
              <w:left w:val="nil"/>
              <w:bottom w:val="double" w:sz="6" w:space="0" w:color="1F497D"/>
              <w:right w:val="double" w:sz="6" w:space="0" w:color="1F497D"/>
            </w:tcBorders>
            <w:shd w:val="clear" w:color="000000" w:fill="00B050"/>
            <w:noWrap/>
            <w:vAlign w:val="center"/>
            <w:hideMark/>
          </w:tcPr>
          <w:p w14:paraId="0DAB182F"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11</w:t>
            </w:r>
          </w:p>
        </w:tc>
      </w:tr>
      <w:tr w:rsidR="00B53CB8" w:rsidRPr="00033E65" w14:paraId="010A9BAF" w14:textId="77777777" w:rsidTr="009763EE">
        <w:trPr>
          <w:trHeight w:val="840"/>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56B4ACAF"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Cantidad de expedientes firmados</w:t>
            </w:r>
          </w:p>
        </w:tc>
        <w:tc>
          <w:tcPr>
            <w:tcW w:w="993" w:type="dxa"/>
            <w:tcBorders>
              <w:top w:val="nil"/>
              <w:left w:val="nil"/>
              <w:bottom w:val="double" w:sz="6" w:space="0" w:color="1F497D"/>
              <w:right w:val="double" w:sz="6" w:space="0" w:color="1F497D"/>
            </w:tcBorders>
            <w:shd w:val="clear" w:color="auto" w:fill="auto"/>
            <w:vAlign w:val="center"/>
            <w:hideMark/>
          </w:tcPr>
          <w:p w14:paraId="6C518C1D"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Incremento</w:t>
            </w:r>
          </w:p>
        </w:tc>
        <w:tc>
          <w:tcPr>
            <w:tcW w:w="851" w:type="dxa"/>
            <w:tcBorders>
              <w:top w:val="nil"/>
              <w:left w:val="nil"/>
              <w:bottom w:val="double" w:sz="6" w:space="0" w:color="1F497D"/>
              <w:right w:val="double" w:sz="6" w:space="0" w:color="1F497D"/>
            </w:tcBorders>
            <w:shd w:val="clear" w:color="000000" w:fill="00B050"/>
            <w:noWrap/>
            <w:vAlign w:val="center"/>
            <w:hideMark/>
          </w:tcPr>
          <w:p w14:paraId="0F792CE0"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109</w:t>
            </w:r>
          </w:p>
        </w:tc>
        <w:tc>
          <w:tcPr>
            <w:tcW w:w="1000" w:type="dxa"/>
            <w:tcBorders>
              <w:top w:val="nil"/>
              <w:left w:val="nil"/>
              <w:bottom w:val="double" w:sz="6" w:space="0" w:color="1F497D"/>
              <w:right w:val="double" w:sz="6" w:space="0" w:color="1F497D"/>
            </w:tcBorders>
            <w:shd w:val="clear" w:color="000000" w:fill="00B050"/>
            <w:noWrap/>
            <w:vAlign w:val="center"/>
            <w:hideMark/>
          </w:tcPr>
          <w:p w14:paraId="36BB3610"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170</w:t>
            </w:r>
          </w:p>
        </w:tc>
        <w:tc>
          <w:tcPr>
            <w:tcW w:w="729" w:type="dxa"/>
            <w:tcBorders>
              <w:top w:val="nil"/>
              <w:left w:val="nil"/>
              <w:bottom w:val="double" w:sz="6" w:space="0" w:color="1F497D"/>
              <w:right w:val="double" w:sz="6" w:space="0" w:color="1F497D"/>
            </w:tcBorders>
            <w:shd w:val="clear" w:color="000000" w:fill="FF0000"/>
            <w:noWrap/>
            <w:vAlign w:val="center"/>
            <w:hideMark/>
          </w:tcPr>
          <w:p w14:paraId="4715CF7D"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-4</w:t>
            </w:r>
          </w:p>
        </w:tc>
        <w:tc>
          <w:tcPr>
            <w:tcW w:w="796" w:type="dxa"/>
            <w:tcBorders>
              <w:top w:val="nil"/>
              <w:left w:val="nil"/>
              <w:bottom w:val="double" w:sz="6" w:space="0" w:color="1F497D"/>
              <w:right w:val="double" w:sz="6" w:space="0" w:color="1F497D"/>
            </w:tcBorders>
            <w:shd w:val="clear" w:color="000000" w:fill="00B050"/>
            <w:noWrap/>
            <w:vAlign w:val="center"/>
            <w:hideMark/>
          </w:tcPr>
          <w:p w14:paraId="2AC5D9C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95</w:t>
            </w:r>
          </w:p>
        </w:tc>
        <w:tc>
          <w:tcPr>
            <w:tcW w:w="766" w:type="dxa"/>
            <w:tcBorders>
              <w:top w:val="nil"/>
              <w:left w:val="nil"/>
              <w:bottom w:val="double" w:sz="6" w:space="0" w:color="1F497D"/>
              <w:right w:val="double" w:sz="6" w:space="0" w:color="1F497D"/>
            </w:tcBorders>
            <w:shd w:val="clear" w:color="000000" w:fill="00B050"/>
            <w:noWrap/>
            <w:vAlign w:val="center"/>
            <w:hideMark/>
          </w:tcPr>
          <w:p w14:paraId="0340B2A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201</w:t>
            </w:r>
          </w:p>
        </w:tc>
        <w:tc>
          <w:tcPr>
            <w:tcW w:w="1051" w:type="dxa"/>
            <w:tcBorders>
              <w:top w:val="nil"/>
              <w:left w:val="nil"/>
              <w:bottom w:val="double" w:sz="6" w:space="0" w:color="1F497D"/>
              <w:right w:val="double" w:sz="6" w:space="0" w:color="1F497D"/>
            </w:tcBorders>
            <w:shd w:val="clear" w:color="000000" w:fill="00B050"/>
            <w:noWrap/>
            <w:vAlign w:val="center"/>
            <w:hideMark/>
          </w:tcPr>
          <w:p w14:paraId="6412D18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164</w:t>
            </w:r>
          </w:p>
        </w:tc>
        <w:tc>
          <w:tcPr>
            <w:tcW w:w="740" w:type="dxa"/>
            <w:tcBorders>
              <w:top w:val="nil"/>
              <w:left w:val="nil"/>
              <w:bottom w:val="double" w:sz="6" w:space="0" w:color="1F497D"/>
              <w:right w:val="double" w:sz="6" w:space="0" w:color="1F497D"/>
            </w:tcBorders>
            <w:shd w:val="clear" w:color="000000" w:fill="00B050"/>
            <w:noWrap/>
            <w:vAlign w:val="center"/>
            <w:hideMark/>
          </w:tcPr>
          <w:p w14:paraId="40FD744D"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303</w:t>
            </w:r>
          </w:p>
        </w:tc>
        <w:tc>
          <w:tcPr>
            <w:tcW w:w="821" w:type="dxa"/>
            <w:tcBorders>
              <w:top w:val="nil"/>
              <w:left w:val="nil"/>
              <w:bottom w:val="double" w:sz="6" w:space="0" w:color="1F497D"/>
              <w:right w:val="double" w:sz="6" w:space="0" w:color="1F497D"/>
            </w:tcBorders>
            <w:shd w:val="clear" w:color="000000" w:fill="FF0000"/>
            <w:noWrap/>
            <w:vAlign w:val="center"/>
            <w:hideMark/>
          </w:tcPr>
          <w:p w14:paraId="56637E4B"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-19</w:t>
            </w:r>
          </w:p>
        </w:tc>
        <w:tc>
          <w:tcPr>
            <w:tcW w:w="781" w:type="dxa"/>
            <w:tcBorders>
              <w:top w:val="nil"/>
              <w:left w:val="nil"/>
              <w:bottom w:val="double" w:sz="6" w:space="0" w:color="1F497D"/>
              <w:right w:val="double" w:sz="6" w:space="0" w:color="1F497D"/>
            </w:tcBorders>
            <w:shd w:val="clear" w:color="000000" w:fill="00B050"/>
            <w:noWrap/>
            <w:vAlign w:val="center"/>
            <w:hideMark/>
          </w:tcPr>
          <w:p w14:paraId="41F0F8A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169</w:t>
            </w:r>
          </w:p>
        </w:tc>
        <w:tc>
          <w:tcPr>
            <w:tcW w:w="730" w:type="dxa"/>
            <w:tcBorders>
              <w:top w:val="nil"/>
              <w:left w:val="nil"/>
              <w:bottom w:val="double" w:sz="6" w:space="0" w:color="1F497D"/>
              <w:right w:val="double" w:sz="6" w:space="0" w:color="1F497D"/>
            </w:tcBorders>
            <w:shd w:val="clear" w:color="000000" w:fill="00B050"/>
            <w:noWrap/>
            <w:vAlign w:val="center"/>
            <w:hideMark/>
          </w:tcPr>
          <w:p w14:paraId="54803712"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126</w:t>
            </w:r>
          </w:p>
        </w:tc>
        <w:tc>
          <w:tcPr>
            <w:tcW w:w="670" w:type="dxa"/>
            <w:tcBorders>
              <w:top w:val="nil"/>
              <w:left w:val="nil"/>
              <w:bottom w:val="double" w:sz="6" w:space="0" w:color="1F497D"/>
              <w:right w:val="double" w:sz="6" w:space="0" w:color="1F497D"/>
            </w:tcBorders>
            <w:shd w:val="clear" w:color="000000" w:fill="00B050"/>
            <w:noWrap/>
            <w:vAlign w:val="center"/>
            <w:hideMark/>
          </w:tcPr>
          <w:p w14:paraId="55CD98E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64</w:t>
            </w:r>
          </w:p>
        </w:tc>
        <w:tc>
          <w:tcPr>
            <w:tcW w:w="936" w:type="dxa"/>
            <w:tcBorders>
              <w:top w:val="nil"/>
              <w:left w:val="nil"/>
              <w:bottom w:val="double" w:sz="6" w:space="0" w:color="1F497D"/>
              <w:right w:val="double" w:sz="6" w:space="0" w:color="1F497D"/>
            </w:tcBorders>
            <w:shd w:val="clear" w:color="000000" w:fill="00B050"/>
            <w:noWrap/>
            <w:vAlign w:val="center"/>
            <w:hideMark/>
          </w:tcPr>
          <w:p w14:paraId="4B7007A6"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152</w:t>
            </w:r>
          </w:p>
        </w:tc>
      </w:tr>
      <w:tr w:rsidR="00B53CB8" w:rsidRPr="00033E65" w14:paraId="5DC015D7" w14:textId="77777777" w:rsidTr="009763EE">
        <w:trPr>
          <w:trHeight w:val="1111"/>
        </w:trPr>
        <w:tc>
          <w:tcPr>
            <w:tcW w:w="1134" w:type="dxa"/>
            <w:tcBorders>
              <w:top w:val="nil"/>
              <w:left w:val="double" w:sz="6" w:space="0" w:color="1F497D"/>
              <w:bottom w:val="double" w:sz="6" w:space="0" w:color="1F497D"/>
              <w:right w:val="double" w:sz="6" w:space="0" w:color="1F497D"/>
            </w:tcBorders>
            <w:shd w:val="clear" w:color="auto" w:fill="auto"/>
            <w:vAlign w:val="center"/>
            <w:hideMark/>
          </w:tcPr>
          <w:p w14:paraId="39A8F7F1" w14:textId="77777777" w:rsidR="001379CF" w:rsidRPr="00033E65" w:rsidRDefault="001379CF" w:rsidP="001379CF">
            <w:pPr>
              <w:spacing w:before="0" w:after="0"/>
              <w:jc w:val="left"/>
              <w:rPr>
                <w:rFonts w:cs="Calibri"/>
                <w:color w:val="000000"/>
                <w:sz w:val="18"/>
                <w:szCs w:val="18"/>
                <w:lang w:val="es-MX" w:eastAsia="es-MX"/>
              </w:rPr>
            </w:pPr>
            <w:r w:rsidRPr="00033E65">
              <w:rPr>
                <w:rFonts w:cs="Calibri"/>
                <w:color w:val="000000"/>
                <w:sz w:val="18"/>
                <w:szCs w:val="18"/>
                <w:lang w:val="es-MX" w:eastAsia="es-MX"/>
              </w:rPr>
              <w:t>Cantidad de expedientes pendientes de firma</w:t>
            </w:r>
          </w:p>
        </w:tc>
        <w:tc>
          <w:tcPr>
            <w:tcW w:w="993" w:type="dxa"/>
            <w:tcBorders>
              <w:top w:val="nil"/>
              <w:left w:val="nil"/>
              <w:bottom w:val="double" w:sz="6" w:space="0" w:color="1F497D"/>
              <w:right w:val="double" w:sz="6" w:space="0" w:color="1F497D"/>
            </w:tcBorders>
            <w:shd w:val="clear" w:color="auto" w:fill="auto"/>
            <w:vAlign w:val="center"/>
            <w:hideMark/>
          </w:tcPr>
          <w:p w14:paraId="223CB83D" w14:textId="77777777" w:rsidR="001379CF" w:rsidRPr="00033E65" w:rsidRDefault="001379CF" w:rsidP="001379CF">
            <w:pPr>
              <w:spacing w:before="0" w:after="0"/>
              <w:jc w:val="center"/>
              <w:rPr>
                <w:rFonts w:cs="Calibri"/>
                <w:color w:val="000000"/>
                <w:sz w:val="16"/>
                <w:szCs w:val="16"/>
                <w:lang w:val="es-MX" w:eastAsia="es-MX"/>
              </w:rPr>
            </w:pPr>
            <w:r w:rsidRPr="00033E65">
              <w:rPr>
                <w:rFonts w:cs="Calibri"/>
                <w:color w:val="000000"/>
                <w:sz w:val="16"/>
                <w:szCs w:val="16"/>
                <w:lang w:val="es-MX" w:eastAsia="es-MX"/>
              </w:rPr>
              <w:t>Disminución</w:t>
            </w:r>
          </w:p>
        </w:tc>
        <w:tc>
          <w:tcPr>
            <w:tcW w:w="851" w:type="dxa"/>
            <w:tcBorders>
              <w:top w:val="nil"/>
              <w:left w:val="nil"/>
              <w:bottom w:val="double" w:sz="6" w:space="0" w:color="1F497D"/>
              <w:right w:val="double" w:sz="6" w:space="0" w:color="1F497D"/>
            </w:tcBorders>
            <w:shd w:val="clear" w:color="000000" w:fill="00B050"/>
            <w:noWrap/>
            <w:vAlign w:val="center"/>
            <w:hideMark/>
          </w:tcPr>
          <w:p w14:paraId="0E74ADE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1000" w:type="dxa"/>
            <w:tcBorders>
              <w:top w:val="nil"/>
              <w:left w:val="nil"/>
              <w:bottom w:val="double" w:sz="6" w:space="0" w:color="1F497D"/>
              <w:right w:val="double" w:sz="6" w:space="0" w:color="1F497D"/>
            </w:tcBorders>
            <w:shd w:val="clear" w:color="000000" w:fill="FF0000"/>
            <w:noWrap/>
            <w:vAlign w:val="center"/>
            <w:hideMark/>
          </w:tcPr>
          <w:p w14:paraId="2D40B4DD"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17</w:t>
            </w:r>
          </w:p>
        </w:tc>
        <w:tc>
          <w:tcPr>
            <w:tcW w:w="729" w:type="dxa"/>
            <w:tcBorders>
              <w:top w:val="nil"/>
              <w:left w:val="nil"/>
              <w:bottom w:val="double" w:sz="6" w:space="0" w:color="1F497D"/>
              <w:right w:val="double" w:sz="6" w:space="0" w:color="1F497D"/>
            </w:tcBorders>
            <w:shd w:val="clear" w:color="000000" w:fill="FF0000"/>
            <w:noWrap/>
            <w:vAlign w:val="center"/>
            <w:hideMark/>
          </w:tcPr>
          <w:p w14:paraId="2667475F"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6</w:t>
            </w:r>
          </w:p>
        </w:tc>
        <w:tc>
          <w:tcPr>
            <w:tcW w:w="796" w:type="dxa"/>
            <w:tcBorders>
              <w:top w:val="nil"/>
              <w:left w:val="nil"/>
              <w:bottom w:val="double" w:sz="6" w:space="0" w:color="1F497D"/>
              <w:right w:val="double" w:sz="6" w:space="0" w:color="1F497D"/>
            </w:tcBorders>
            <w:shd w:val="clear" w:color="000000" w:fill="00B050"/>
            <w:noWrap/>
            <w:vAlign w:val="center"/>
            <w:hideMark/>
          </w:tcPr>
          <w:p w14:paraId="6329CD1E"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-3</w:t>
            </w:r>
          </w:p>
        </w:tc>
        <w:tc>
          <w:tcPr>
            <w:tcW w:w="766" w:type="dxa"/>
            <w:tcBorders>
              <w:top w:val="nil"/>
              <w:left w:val="nil"/>
              <w:bottom w:val="double" w:sz="6" w:space="0" w:color="1F497D"/>
              <w:right w:val="double" w:sz="6" w:space="0" w:color="1F497D"/>
            </w:tcBorders>
            <w:shd w:val="clear" w:color="000000" w:fill="FFFF00"/>
            <w:noWrap/>
            <w:vAlign w:val="center"/>
            <w:hideMark/>
          </w:tcPr>
          <w:p w14:paraId="55AEEE49"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1051" w:type="dxa"/>
            <w:tcBorders>
              <w:top w:val="nil"/>
              <w:left w:val="nil"/>
              <w:bottom w:val="double" w:sz="6" w:space="0" w:color="1F497D"/>
              <w:right w:val="double" w:sz="6" w:space="0" w:color="1F497D"/>
            </w:tcBorders>
            <w:shd w:val="clear" w:color="000000" w:fill="FFFF00"/>
            <w:noWrap/>
            <w:vAlign w:val="center"/>
            <w:hideMark/>
          </w:tcPr>
          <w:p w14:paraId="32F8400F"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740" w:type="dxa"/>
            <w:tcBorders>
              <w:top w:val="nil"/>
              <w:left w:val="nil"/>
              <w:bottom w:val="double" w:sz="6" w:space="0" w:color="1F497D"/>
              <w:right w:val="double" w:sz="6" w:space="0" w:color="1F497D"/>
            </w:tcBorders>
            <w:shd w:val="clear" w:color="000000" w:fill="FFFF00"/>
            <w:noWrap/>
            <w:vAlign w:val="center"/>
            <w:hideMark/>
          </w:tcPr>
          <w:p w14:paraId="78BE5B9C"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0</w:t>
            </w:r>
          </w:p>
        </w:tc>
        <w:tc>
          <w:tcPr>
            <w:tcW w:w="821" w:type="dxa"/>
            <w:tcBorders>
              <w:top w:val="nil"/>
              <w:left w:val="nil"/>
              <w:bottom w:val="double" w:sz="6" w:space="0" w:color="1F497D"/>
              <w:right w:val="double" w:sz="6" w:space="0" w:color="1F497D"/>
            </w:tcBorders>
            <w:shd w:val="clear" w:color="000000" w:fill="00B050"/>
            <w:noWrap/>
            <w:vAlign w:val="center"/>
            <w:hideMark/>
          </w:tcPr>
          <w:p w14:paraId="39CD598C"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781" w:type="dxa"/>
            <w:tcBorders>
              <w:top w:val="nil"/>
              <w:left w:val="nil"/>
              <w:bottom w:val="double" w:sz="6" w:space="0" w:color="1F497D"/>
              <w:right w:val="double" w:sz="6" w:space="0" w:color="1F497D"/>
            </w:tcBorders>
            <w:shd w:val="clear" w:color="000000" w:fill="FF0000"/>
            <w:noWrap/>
            <w:vAlign w:val="center"/>
            <w:hideMark/>
          </w:tcPr>
          <w:p w14:paraId="15F11CAA"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1</w:t>
            </w:r>
          </w:p>
        </w:tc>
        <w:tc>
          <w:tcPr>
            <w:tcW w:w="730" w:type="dxa"/>
            <w:tcBorders>
              <w:top w:val="nil"/>
              <w:left w:val="nil"/>
              <w:bottom w:val="double" w:sz="6" w:space="0" w:color="1F497D"/>
              <w:right w:val="double" w:sz="6" w:space="0" w:color="1F497D"/>
            </w:tcBorders>
            <w:shd w:val="clear" w:color="000000" w:fill="FF0000"/>
            <w:noWrap/>
            <w:vAlign w:val="center"/>
            <w:hideMark/>
          </w:tcPr>
          <w:p w14:paraId="5DE56033"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w:t>
            </w:r>
          </w:p>
        </w:tc>
        <w:tc>
          <w:tcPr>
            <w:tcW w:w="670" w:type="dxa"/>
            <w:tcBorders>
              <w:top w:val="nil"/>
              <w:left w:val="nil"/>
              <w:bottom w:val="double" w:sz="6" w:space="0" w:color="1F497D"/>
              <w:right w:val="double" w:sz="6" w:space="0" w:color="1F497D"/>
            </w:tcBorders>
            <w:shd w:val="clear" w:color="000000" w:fill="00B050"/>
            <w:noWrap/>
            <w:vAlign w:val="center"/>
            <w:hideMark/>
          </w:tcPr>
          <w:p w14:paraId="43A87871"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-5</w:t>
            </w:r>
          </w:p>
        </w:tc>
        <w:tc>
          <w:tcPr>
            <w:tcW w:w="936" w:type="dxa"/>
            <w:tcBorders>
              <w:top w:val="nil"/>
              <w:left w:val="nil"/>
              <w:bottom w:val="double" w:sz="6" w:space="0" w:color="1F497D"/>
              <w:right w:val="double" w:sz="6" w:space="0" w:color="1F497D"/>
            </w:tcBorders>
            <w:shd w:val="clear" w:color="000000" w:fill="FF0000"/>
            <w:noWrap/>
            <w:vAlign w:val="center"/>
            <w:hideMark/>
          </w:tcPr>
          <w:p w14:paraId="312160D1" w14:textId="77777777" w:rsidR="001379CF" w:rsidRPr="00033E65" w:rsidRDefault="001379CF" w:rsidP="001379CF">
            <w:pPr>
              <w:spacing w:before="0" w:after="0"/>
              <w:jc w:val="center"/>
              <w:rPr>
                <w:rFonts w:cs="Calibri"/>
                <w:color w:val="000000"/>
                <w:sz w:val="20"/>
                <w:lang w:val="es-MX" w:eastAsia="es-MX"/>
              </w:rPr>
            </w:pPr>
            <w:r w:rsidRPr="00033E65">
              <w:rPr>
                <w:rFonts w:cs="Calibri"/>
                <w:color w:val="000000"/>
                <w:sz w:val="20"/>
                <w:lang w:val="es-MX" w:eastAsia="es-MX"/>
              </w:rPr>
              <w:t>20</w:t>
            </w:r>
          </w:p>
        </w:tc>
      </w:tr>
      <w:tr w:rsidR="00B53CB8" w:rsidRPr="00033E65" w14:paraId="2A5C0CCE" w14:textId="77777777" w:rsidTr="009763EE">
        <w:trPr>
          <w:trHeight w:val="600"/>
        </w:trPr>
        <w:tc>
          <w:tcPr>
            <w:tcW w:w="2127" w:type="dxa"/>
            <w:gridSpan w:val="2"/>
            <w:tcBorders>
              <w:top w:val="double" w:sz="6" w:space="0" w:color="1F497D"/>
              <w:left w:val="double" w:sz="6" w:space="0" w:color="1F497D"/>
              <w:bottom w:val="double" w:sz="6" w:space="0" w:color="1F497D"/>
              <w:right w:val="double" w:sz="6" w:space="0" w:color="1F497D"/>
            </w:tcBorders>
            <w:shd w:val="clear" w:color="000000" w:fill="00B050"/>
            <w:vAlign w:val="center"/>
            <w:hideMark/>
          </w:tcPr>
          <w:p w14:paraId="5D6789FF" w14:textId="77777777" w:rsidR="001379CF" w:rsidRPr="00033E65" w:rsidRDefault="001379CF" w:rsidP="001379CF">
            <w:pPr>
              <w:spacing w:before="0" w:after="0"/>
              <w:jc w:val="right"/>
              <w:rPr>
                <w:rFonts w:cs="Calibri"/>
                <w:b/>
                <w:bCs/>
                <w:color w:val="FFFFFF"/>
                <w:sz w:val="20"/>
                <w:lang w:val="es-MX" w:eastAsia="es-MX"/>
              </w:rPr>
            </w:pPr>
            <w:r w:rsidRPr="00033E65">
              <w:rPr>
                <w:rFonts w:cs="Calibri"/>
                <w:b/>
                <w:bCs/>
                <w:color w:val="FFFFFF"/>
                <w:sz w:val="20"/>
                <w:lang w:val="es-MX" w:eastAsia="es-MX"/>
              </w:rPr>
              <w:t>Total de indicadores que mejoraron</w:t>
            </w:r>
          </w:p>
        </w:tc>
        <w:tc>
          <w:tcPr>
            <w:tcW w:w="851" w:type="dxa"/>
            <w:tcBorders>
              <w:top w:val="nil"/>
              <w:left w:val="nil"/>
              <w:bottom w:val="double" w:sz="6" w:space="0" w:color="1F497D"/>
              <w:right w:val="double" w:sz="6" w:space="0" w:color="1F497D"/>
            </w:tcBorders>
            <w:shd w:val="clear" w:color="000000" w:fill="FFFFFF"/>
            <w:noWrap/>
            <w:vAlign w:val="center"/>
            <w:hideMark/>
          </w:tcPr>
          <w:p w14:paraId="6825EFD9"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8</w:t>
            </w:r>
          </w:p>
        </w:tc>
        <w:tc>
          <w:tcPr>
            <w:tcW w:w="1000" w:type="dxa"/>
            <w:tcBorders>
              <w:top w:val="nil"/>
              <w:left w:val="nil"/>
              <w:bottom w:val="double" w:sz="6" w:space="0" w:color="1F497D"/>
              <w:right w:val="double" w:sz="6" w:space="0" w:color="1F497D"/>
            </w:tcBorders>
            <w:shd w:val="clear" w:color="000000" w:fill="FFFFFF"/>
            <w:noWrap/>
            <w:vAlign w:val="center"/>
            <w:hideMark/>
          </w:tcPr>
          <w:p w14:paraId="126F4D79"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8</w:t>
            </w:r>
          </w:p>
        </w:tc>
        <w:tc>
          <w:tcPr>
            <w:tcW w:w="729" w:type="dxa"/>
            <w:tcBorders>
              <w:top w:val="nil"/>
              <w:left w:val="nil"/>
              <w:bottom w:val="double" w:sz="6" w:space="0" w:color="1F497D"/>
              <w:right w:val="double" w:sz="6" w:space="0" w:color="1F497D"/>
            </w:tcBorders>
            <w:shd w:val="clear" w:color="000000" w:fill="FFFFFF"/>
            <w:noWrap/>
            <w:vAlign w:val="center"/>
            <w:hideMark/>
          </w:tcPr>
          <w:p w14:paraId="52FBD52D"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8</w:t>
            </w:r>
          </w:p>
        </w:tc>
        <w:tc>
          <w:tcPr>
            <w:tcW w:w="796" w:type="dxa"/>
            <w:tcBorders>
              <w:top w:val="nil"/>
              <w:left w:val="nil"/>
              <w:bottom w:val="double" w:sz="6" w:space="0" w:color="1F497D"/>
              <w:right w:val="double" w:sz="6" w:space="0" w:color="1F497D"/>
            </w:tcBorders>
            <w:shd w:val="clear" w:color="000000" w:fill="FFFFFF"/>
            <w:noWrap/>
            <w:vAlign w:val="center"/>
            <w:hideMark/>
          </w:tcPr>
          <w:p w14:paraId="222DFE5C"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9</w:t>
            </w:r>
          </w:p>
        </w:tc>
        <w:tc>
          <w:tcPr>
            <w:tcW w:w="766" w:type="dxa"/>
            <w:tcBorders>
              <w:top w:val="nil"/>
              <w:left w:val="nil"/>
              <w:bottom w:val="double" w:sz="6" w:space="0" w:color="1F497D"/>
              <w:right w:val="double" w:sz="6" w:space="0" w:color="1F497D"/>
            </w:tcBorders>
            <w:shd w:val="clear" w:color="000000" w:fill="FFFFFF"/>
            <w:noWrap/>
            <w:vAlign w:val="center"/>
            <w:hideMark/>
          </w:tcPr>
          <w:p w14:paraId="5983CF2F"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9</w:t>
            </w:r>
          </w:p>
        </w:tc>
        <w:tc>
          <w:tcPr>
            <w:tcW w:w="1051" w:type="dxa"/>
            <w:tcBorders>
              <w:top w:val="nil"/>
              <w:left w:val="nil"/>
              <w:bottom w:val="double" w:sz="6" w:space="0" w:color="1F497D"/>
              <w:right w:val="double" w:sz="6" w:space="0" w:color="1F497D"/>
            </w:tcBorders>
            <w:shd w:val="clear" w:color="000000" w:fill="FFFFFF"/>
            <w:noWrap/>
            <w:vAlign w:val="center"/>
            <w:hideMark/>
          </w:tcPr>
          <w:p w14:paraId="30B02E05"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4</w:t>
            </w:r>
          </w:p>
        </w:tc>
        <w:tc>
          <w:tcPr>
            <w:tcW w:w="740" w:type="dxa"/>
            <w:tcBorders>
              <w:top w:val="nil"/>
              <w:left w:val="nil"/>
              <w:bottom w:val="double" w:sz="6" w:space="0" w:color="1F497D"/>
              <w:right w:val="double" w:sz="6" w:space="0" w:color="1F497D"/>
            </w:tcBorders>
            <w:shd w:val="clear" w:color="000000" w:fill="FFFFFF"/>
            <w:noWrap/>
            <w:vAlign w:val="center"/>
            <w:hideMark/>
          </w:tcPr>
          <w:p w14:paraId="71E23787"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7</w:t>
            </w:r>
          </w:p>
        </w:tc>
        <w:tc>
          <w:tcPr>
            <w:tcW w:w="821" w:type="dxa"/>
            <w:tcBorders>
              <w:top w:val="nil"/>
              <w:left w:val="nil"/>
              <w:bottom w:val="double" w:sz="6" w:space="0" w:color="1F497D"/>
              <w:right w:val="double" w:sz="6" w:space="0" w:color="1F497D"/>
            </w:tcBorders>
            <w:shd w:val="clear" w:color="000000" w:fill="FFFFFF"/>
            <w:noWrap/>
            <w:vAlign w:val="center"/>
            <w:hideMark/>
          </w:tcPr>
          <w:p w14:paraId="0E791B59"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4</w:t>
            </w:r>
          </w:p>
        </w:tc>
        <w:tc>
          <w:tcPr>
            <w:tcW w:w="781" w:type="dxa"/>
            <w:tcBorders>
              <w:top w:val="nil"/>
              <w:left w:val="nil"/>
              <w:bottom w:val="double" w:sz="6" w:space="0" w:color="1F497D"/>
              <w:right w:val="double" w:sz="6" w:space="0" w:color="1F497D"/>
            </w:tcBorders>
            <w:shd w:val="clear" w:color="000000" w:fill="FFFFFF"/>
            <w:noWrap/>
            <w:vAlign w:val="center"/>
            <w:hideMark/>
          </w:tcPr>
          <w:p w14:paraId="571AEEFC"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9</w:t>
            </w:r>
          </w:p>
        </w:tc>
        <w:tc>
          <w:tcPr>
            <w:tcW w:w="730" w:type="dxa"/>
            <w:tcBorders>
              <w:top w:val="nil"/>
              <w:left w:val="nil"/>
              <w:bottom w:val="double" w:sz="6" w:space="0" w:color="1F497D"/>
              <w:right w:val="double" w:sz="6" w:space="0" w:color="1F497D"/>
            </w:tcBorders>
            <w:shd w:val="clear" w:color="000000" w:fill="FFFFFF"/>
            <w:noWrap/>
            <w:vAlign w:val="center"/>
            <w:hideMark/>
          </w:tcPr>
          <w:p w14:paraId="3F4F2897"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8</w:t>
            </w:r>
          </w:p>
        </w:tc>
        <w:tc>
          <w:tcPr>
            <w:tcW w:w="670" w:type="dxa"/>
            <w:tcBorders>
              <w:top w:val="nil"/>
              <w:left w:val="nil"/>
              <w:bottom w:val="double" w:sz="6" w:space="0" w:color="1F497D"/>
              <w:right w:val="double" w:sz="6" w:space="0" w:color="1F497D"/>
            </w:tcBorders>
            <w:shd w:val="clear" w:color="000000" w:fill="FFFFFF"/>
            <w:noWrap/>
            <w:vAlign w:val="center"/>
            <w:hideMark/>
          </w:tcPr>
          <w:p w14:paraId="5AD50A09"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14</w:t>
            </w:r>
          </w:p>
        </w:tc>
        <w:tc>
          <w:tcPr>
            <w:tcW w:w="936" w:type="dxa"/>
            <w:tcBorders>
              <w:top w:val="nil"/>
              <w:left w:val="nil"/>
              <w:bottom w:val="double" w:sz="6" w:space="0" w:color="1F497D"/>
              <w:right w:val="double" w:sz="6" w:space="0" w:color="1F497D"/>
            </w:tcBorders>
            <w:shd w:val="clear" w:color="000000" w:fill="FFFFFF"/>
            <w:noWrap/>
            <w:vAlign w:val="center"/>
            <w:hideMark/>
          </w:tcPr>
          <w:p w14:paraId="39EEEBAA"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8</w:t>
            </w:r>
          </w:p>
        </w:tc>
      </w:tr>
      <w:tr w:rsidR="008C4B16" w:rsidRPr="00033E65" w14:paraId="46D47B6E" w14:textId="77777777" w:rsidTr="009763EE">
        <w:trPr>
          <w:trHeight w:val="600"/>
        </w:trPr>
        <w:tc>
          <w:tcPr>
            <w:tcW w:w="2127" w:type="dxa"/>
            <w:gridSpan w:val="2"/>
            <w:tcBorders>
              <w:top w:val="double" w:sz="6" w:space="0" w:color="1F497D"/>
              <w:left w:val="double" w:sz="6" w:space="0" w:color="1F497D"/>
              <w:bottom w:val="double" w:sz="6" w:space="0" w:color="1F497D"/>
              <w:right w:val="double" w:sz="6" w:space="0" w:color="1F497D"/>
            </w:tcBorders>
            <w:shd w:val="clear" w:color="000000" w:fill="FF0000"/>
            <w:vAlign w:val="center"/>
            <w:hideMark/>
          </w:tcPr>
          <w:p w14:paraId="5A5E0CF2" w14:textId="77777777" w:rsidR="001379CF" w:rsidRPr="00033E65" w:rsidRDefault="001379CF" w:rsidP="001379CF">
            <w:pPr>
              <w:spacing w:before="0" w:after="0"/>
              <w:jc w:val="right"/>
              <w:rPr>
                <w:rFonts w:cs="Calibri"/>
                <w:b/>
                <w:bCs/>
                <w:color w:val="FFFFFF"/>
                <w:sz w:val="20"/>
                <w:lang w:val="es-MX" w:eastAsia="es-MX"/>
              </w:rPr>
            </w:pPr>
            <w:r w:rsidRPr="00033E65">
              <w:rPr>
                <w:rFonts w:cs="Calibri"/>
                <w:b/>
                <w:bCs/>
                <w:color w:val="FFFFFF"/>
                <w:sz w:val="20"/>
                <w:lang w:val="es-MX" w:eastAsia="es-MX"/>
              </w:rPr>
              <w:t>Total de indicadores que desmejoraron</w:t>
            </w:r>
          </w:p>
        </w:tc>
        <w:tc>
          <w:tcPr>
            <w:tcW w:w="851" w:type="dxa"/>
            <w:tcBorders>
              <w:top w:val="nil"/>
              <w:left w:val="nil"/>
              <w:bottom w:val="double" w:sz="6" w:space="0" w:color="1F497D"/>
              <w:right w:val="double" w:sz="6" w:space="0" w:color="1F497D"/>
            </w:tcBorders>
            <w:shd w:val="clear" w:color="auto" w:fill="auto"/>
            <w:noWrap/>
            <w:vAlign w:val="center"/>
            <w:hideMark/>
          </w:tcPr>
          <w:p w14:paraId="6523922E"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7</w:t>
            </w:r>
          </w:p>
        </w:tc>
        <w:tc>
          <w:tcPr>
            <w:tcW w:w="1000" w:type="dxa"/>
            <w:tcBorders>
              <w:top w:val="nil"/>
              <w:left w:val="nil"/>
              <w:bottom w:val="double" w:sz="6" w:space="0" w:color="1F497D"/>
              <w:right w:val="double" w:sz="6" w:space="0" w:color="1F497D"/>
            </w:tcBorders>
            <w:shd w:val="clear" w:color="auto" w:fill="auto"/>
            <w:noWrap/>
            <w:vAlign w:val="center"/>
            <w:hideMark/>
          </w:tcPr>
          <w:p w14:paraId="20ABC8A1"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8</w:t>
            </w:r>
          </w:p>
        </w:tc>
        <w:tc>
          <w:tcPr>
            <w:tcW w:w="729" w:type="dxa"/>
            <w:tcBorders>
              <w:top w:val="nil"/>
              <w:left w:val="nil"/>
              <w:bottom w:val="double" w:sz="6" w:space="0" w:color="1F497D"/>
              <w:right w:val="double" w:sz="6" w:space="0" w:color="1F497D"/>
            </w:tcBorders>
            <w:shd w:val="clear" w:color="auto" w:fill="auto"/>
            <w:noWrap/>
            <w:vAlign w:val="center"/>
            <w:hideMark/>
          </w:tcPr>
          <w:p w14:paraId="793C7AC3"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8</w:t>
            </w:r>
          </w:p>
        </w:tc>
        <w:tc>
          <w:tcPr>
            <w:tcW w:w="796" w:type="dxa"/>
            <w:tcBorders>
              <w:top w:val="nil"/>
              <w:left w:val="nil"/>
              <w:bottom w:val="double" w:sz="6" w:space="0" w:color="1F497D"/>
              <w:right w:val="double" w:sz="6" w:space="0" w:color="1F497D"/>
            </w:tcBorders>
            <w:shd w:val="clear" w:color="auto" w:fill="auto"/>
            <w:noWrap/>
            <w:vAlign w:val="center"/>
            <w:hideMark/>
          </w:tcPr>
          <w:p w14:paraId="203E8679"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8</w:t>
            </w:r>
          </w:p>
        </w:tc>
        <w:tc>
          <w:tcPr>
            <w:tcW w:w="766" w:type="dxa"/>
            <w:tcBorders>
              <w:top w:val="nil"/>
              <w:left w:val="nil"/>
              <w:bottom w:val="double" w:sz="6" w:space="0" w:color="1F497D"/>
              <w:right w:val="double" w:sz="6" w:space="0" w:color="1F497D"/>
            </w:tcBorders>
            <w:shd w:val="clear" w:color="auto" w:fill="auto"/>
            <w:noWrap/>
            <w:vAlign w:val="center"/>
            <w:hideMark/>
          </w:tcPr>
          <w:p w14:paraId="19B99EB6"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5</w:t>
            </w:r>
          </w:p>
        </w:tc>
        <w:tc>
          <w:tcPr>
            <w:tcW w:w="1051" w:type="dxa"/>
            <w:tcBorders>
              <w:top w:val="nil"/>
              <w:left w:val="nil"/>
              <w:bottom w:val="double" w:sz="6" w:space="0" w:color="1F497D"/>
              <w:right w:val="double" w:sz="6" w:space="0" w:color="1F497D"/>
            </w:tcBorders>
            <w:shd w:val="clear" w:color="auto" w:fill="auto"/>
            <w:noWrap/>
            <w:vAlign w:val="center"/>
            <w:hideMark/>
          </w:tcPr>
          <w:p w14:paraId="010A5BED"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11</w:t>
            </w:r>
          </w:p>
        </w:tc>
        <w:tc>
          <w:tcPr>
            <w:tcW w:w="740" w:type="dxa"/>
            <w:tcBorders>
              <w:top w:val="nil"/>
              <w:left w:val="nil"/>
              <w:bottom w:val="double" w:sz="6" w:space="0" w:color="1F497D"/>
              <w:right w:val="double" w:sz="6" w:space="0" w:color="1F497D"/>
            </w:tcBorders>
            <w:shd w:val="clear" w:color="auto" w:fill="auto"/>
            <w:noWrap/>
            <w:vAlign w:val="center"/>
            <w:hideMark/>
          </w:tcPr>
          <w:p w14:paraId="0575423B"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9</w:t>
            </w:r>
          </w:p>
        </w:tc>
        <w:tc>
          <w:tcPr>
            <w:tcW w:w="821" w:type="dxa"/>
            <w:tcBorders>
              <w:top w:val="nil"/>
              <w:left w:val="nil"/>
              <w:bottom w:val="double" w:sz="6" w:space="0" w:color="1F497D"/>
              <w:right w:val="double" w:sz="6" w:space="0" w:color="1F497D"/>
            </w:tcBorders>
            <w:shd w:val="clear" w:color="auto" w:fill="auto"/>
            <w:noWrap/>
            <w:vAlign w:val="center"/>
            <w:hideMark/>
          </w:tcPr>
          <w:p w14:paraId="7E7A8E93"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9</w:t>
            </w:r>
          </w:p>
        </w:tc>
        <w:tc>
          <w:tcPr>
            <w:tcW w:w="781" w:type="dxa"/>
            <w:tcBorders>
              <w:top w:val="nil"/>
              <w:left w:val="nil"/>
              <w:bottom w:val="double" w:sz="6" w:space="0" w:color="1F497D"/>
              <w:right w:val="double" w:sz="6" w:space="0" w:color="1F497D"/>
            </w:tcBorders>
            <w:shd w:val="clear" w:color="auto" w:fill="auto"/>
            <w:noWrap/>
            <w:vAlign w:val="center"/>
            <w:hideMark/>
          </w:tcPr>
          <w:p w14:paraId="3EBC8B21"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5</w:t>
            </w:r>
          </w:p>
        </w:tc>
        <w:tc>
          <w:tcPr>
            <w:tcW w:w="730" w:type="dxa"/>
            <w:tcBorders>
              <w:top w:val="nil"/>
              <w:left w:val="nil"/>
              <w:bottom w:val="double" w:sz="6" w:space="0" w:color="1F497D"/>
              <w:right w:val="double" w:sz="6" w:space="0" w:color="1F497D"/>
            </w:tcBorders>
            <w:shd w:val="clear" w:color="auto" w:fill="auto"/>
            <w:noWrap/>
            <w:vAlign w:val="center"/>
            <w:hideMark/>
          </w:tcPr>
          <w:p w14:paraId="623256F7"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9</w:t>
            </w:r>
          </w:p>
        </w:tc>
        <w:tc>
          <w:tcPr>
            <w:tcW w:w="670" w:type="dxa"/>
            <w:tcBorders>
              <w:top w:val="nil"/>
              <w:left w:val="nil"/>
              <w:bottom w:val="double" w:sz="6" w:space="0" w:color="1F497D"/>
              <w:right w:val="double" w:sz="6" w:space="0" w:color="1F497D"/>
            </w:tcBorders>
            <w:shd w:val="clear" w:color="auto" w:fill="auto"/>
            <w:noWrap/>
            <w:vAlign w:val="center"/>
            <w:hideMark/>
          </w:tcPr>
          <w:p w14:paraId="403F23BD"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3</w:t>
            </w:r>
          </w:p>
        </w:tc>
        <w:tc>
          <w:tcPr>
            <w:tcW w:w="936" w:type="dxa"/>
            <w:tcBorders>
              <w:top w:val="nil"/>
              <w:left w:val="nil"/>
              <w:bottom w:val="double" w:sz="6" w:space="0" w:color="1F497D"/>
              <w:right w:val="double" w:sz="6" w:space="0" w:color="1F497D"/>
            </w:tcBorders>
            <w:shd w:val="clear" w:color="auto" w:fill="auto"/>
            <w:noWrap/>
            <w:vAlign w:val="center"/>
            <w:hideMark/>
          </w:tcPr>
          <w:p w14:paraId="514AD39D"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6</w:t>
            </w:r>
          </w:p>
        </w:tc>
      </w:tr>
      <w:tr w:rsidR="008C4B16" w:rsidRPr="00033E65" w14:paraId="0B47D248" w14:textId="77777777" w:rsidTr="009763EE">
        <w:trPr>
          <w:trHeight w:val="600"/>
        </w:trPr>
        <w:tc>
          <w:tcPr>
            <w:tcW w:w="2127" w:type="dxa"/>
            <w:gridSpan w:val="2"/>
            <w:tcBorders>
              <w:top w:val="double" w:sz="6" w:space="0" w:color="1F497D"/>
              <w:left w:val="double" w:sz="6" w:space="0" w:color="1F497D"/>
              <w:bottom w:val="double" w:sz="6" w:space="0" w:color="4F81BD"/>
              <w:right w:val="double" w:sz="6" w:space="0" w:color="1F497D"/>
            </w:tcBorders>
            <w:shd w:val="clear" w:color="000000" w:fill="FFFF00"/>
            <w:vAlign w:val="center"/>
            <w:hideMark/>
          </w:tcPr>
          <w:p w14:paraId="5DC6FB8D" w14:textId="77777777" w:rsidR="001379CF" w:rsidRPr="00033E65" w:rsidRDefault="001379CF" w:rsidP="001379CF">
            <w:pPr>
              <w:spacing w:before="0" w:after="0"/>
              <w:jc w:val="right"/>
              <w:rPr>
                <w:rFonts w:cs="Calibri"/>
                <w:b/>
                <w:bCs/>
                <w:color w:val="000000"/>
                <w:sz w:val="20"/>
                <w:lang w:val="es-MX" w:eastAsia="es-MX"/>
              </w:rPr>
            </w:pPr>
            <w:r w:rsidRPr="00033E65">
              <w:rPr>
                <w:rFonts w:cs="Calibri"/>
                <w:b/>
                <w:bCs/>
                <w:color w:val="000000"/>
                <w:sz w:val="20"/>
                <w:lang w:val="es-MX" w:eastAsia="es-MX"/>
              </w:rPr>
              <w:t xml:space="preserve">Total de indicadores que no variaron </w:t>
            </w:r>
          </w:p>
        </w:tc>
        <w:tc>
          <w:tcPr>
            <w:tcW w:w="851" w:type="dxa"/>
            <w:tcBorders>
              <w:top w:val="nil"/>
              <w:left w:val="nil"/>
              <w:bottom w:val="double" w:sz="6" w:space="0" w:color="4F81BD"/>
              <w:right w:val="double" w:sz="6" w:space="0" w:color="1F497D"/>
            </w:tcBorders>
            <w:shd w:val="clear" w:color="auto" w:fill="auto"/>
            <w:noWrap/>
            <w:vAlign w:val="center"/>
            <w:hideMark/>
          </w:tcPr>
          <w:p w14:paraId="35AD421D"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2</w:t>
            </w:r>
          </w:p>
        </w:tc>
        <w:tc>
          <w:tcPr>
            <w:tcW w:w="1000" w:type="dxa"/>
            <w:tcBorders>
              <w:top w:val="nil"/>
              <w:left w:val="nil"/>
              <w:bottom w:val="double" w:sz="6" w:space="0" w:color="4F81BD"/>
              <w:right w:val="double" w:sz="6" w:space="0" w:color="1F497D"/>
            </w:tcBorders>
            <w:shd w:val="clear" w:color="auto" w:fill="auto"/>
            <w:noWrap/>
            <w:vAlign w:val="center"/>
            <w:hideMark/>
          </w:tcPr>
          <w:p w14:paraId="52CE2FF8"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1</w:t>
            </w:r>
          </w:p>
        </w:tc>
        <w:tc>
          <w:tcPr>
            <w:tcW w:w="729" w:type="dxa"/>
            <w:tcBorders>
              <w:top w:val="nil"/>
              <w:left w:val="nil"/>
              <w:bottom w:val="double" w:sz="6" w:space="0" w:color="4F81BD"/>
              <w:right w:val="double" w:sz="6" w:space="0" w:color="1F497D"/>
            </w:tcBorders>
            <w:shd w:val="clear" w:color="auto" w:fill="auto"/>
            <w:noWrap/>
            <w:vAlign w:val="center"/>
            <w:hideMark/>
          </w:tcPr>
          <w:p w14:paraId="4B132A57"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1</w:t>
            </w:r>
          </w:p>
        </w:tc>
        <w:tc>
          <w:tcPr>
            <w:tcW w:w="796" w:type="dxa"/>
            <w:tcBorders>
              <w:top w:val="nil"/>
              <w:left w:val="nil"/>
              <w:bottom w:val="double" w:sz="6" w:space="0" w:color="4F81BD"/>
              <w:right w:val="double" w:sz="6" w:space="0" w:color="1F497D"/>
            </w:tcBorders>
            <w:shd w:val="clear" w:color="auto" w:fill="auto"/>
            <w:noWrap/>
            <w:vAlign w:val="center"/>
            <w:hideMark/>
          </w:tcPr>
          <w:p w14:paraId="394C1F00"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0</w:t>
            </w:r>
          </w:p>
        </w:tc>
        <w:tc>
          <w:tcPr>
            <w:tcW w:w="766" w:type="dxa"/>
            <w:tcBorders>
              <w:top w:val="nil"/>
              <w:left w:val="nil"/>
              <w:bottom w:val="double" w:sz="6" w:space="0" w:color="4F81BD"/>
              <w:right w:val="double" w:sz="6" w:space="0" w:color="1F497D"/>
            </w:tcBorders>
            <w:shd w:val="clear" w:color="auto" w:fill="auto"/>
            <w:noWrap/>
            <w:vAlign w:val="center"/>
            <w:hideMark/>
          </w:tcPr>
          <w:p w14:paraId="384E2335"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3</w:t>
            </w:r>
          </w:p>
        </w:tc>
        <w:tc>
          <w:tcPr>
            <w:tcW w:w="1051" w:type="dxa"/>
            <w:tcBorders>
              <w:top w:val="nil"/>
              <w:left w:val="nil"/>
              <w:bottom w:val="double" w:sz="6" w:space="0" w:color="4F81BD"/>
              <w:right w:val="double" w:sz="6" w:space="0" w:color="1F497D"/>
            </w:tcBorders>
            <w:shd w:val="clear" w:color="auto" w:fill="auto"/>
            <w:noWrap/>
            <w:vAlign w:val="center"/>
            <w:hideMark/>
          </w:tcPr>
          <w:p w14:paraId="28A98AC9"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2</w:t>
            </w:r>
          </w:p>
        </w:tc>
        <w:tc>
          <w:tcPr>
            <w:tcW w:w="740" w:type="dxa"/>
            <w:tcBorders>
              <w:top w:val="nil"/>
              <w:left w:val="nil"/>
              <w:bottom w:val="double" w:sz="6" w:space="0" w:color="4F81BD"/>
              <w:right w:val="double" w:sz="6" w:space="0" w:color="1F497D"/>
            </w:tcBorders>
            <w:shd w:val="clear" w:color="auto" w:fill="auto"/>
            <w:noWrap/>
            <w:vAlign w:val="center"/>
            <w:hideMark/>
          </w:tcPr>
          <w:p w14:paraId="0B3E1564"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1</w:t>
            </w:r>
          </w:p>
        </w:tc>
        <w:tc>
          <w:tcPr>
            <w:tcW w:w="821" w:type="dxa"/>
            <w:tcBorders>
              <w:top w:val="nil"/>
              <w:left w:val="nil"/>
              <w:bottom w:val="double" w:sz="6" w:space="0" w:color="4F81BD"/>
              <w:right w:val="double" w:sz="6" w:space="0" w:color="1F497D"/>
            </w:tcBorders>
            <w:shd w:val="clear" w:color="auto" w:fill="auto"/>
            <w:noWrap/>
            <w:vAlign w:val="center"/>
            <w:hideMark/>
          </w:tcPr>
          <w:p w14:paraId="67C76508"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4</w:t>
            </w:r>
          </w:p>
        </w:tc>
        <w:tc>
          <w:tcPr>
            <w:tcW w:w="781" w:type="dxa"/>
            <w:tcBorders>
              <w:top w:val="nil"/>
              <w:left w:val="nil"/>
              <w:bottom w:val="double" w:sz="6" w:space="0" w:color="4F81BD"/>
              <w:right w:val="double" w:sz="6" w:space="0" w:color="1F497D"/>
            </w:tcBorders>
            <w:shd w:val="clear" w:color="auto" w:fill="auto"/>
            <w:noWrap/>
            <w:vAlign w:val="center"/>
            <w:hideMark/>
          </w:tcPr>
          <w:p w14:paraId="677BDD96"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3</w:t>
            </w:r>
          </w:p>
        </w:tc>
        <w:tc>
          <w:tcPr>
            <w:tcW w:w="730" w:type="dxa"/>
            <w:tcBorders>
              <w:top w:val="nil"/>
              <w:left w:val="nil"/>
              <w:bottom w:val="double" w:sz="6" w:space="0" w:color="4F81BD"/>
              <w:right w:val="double" w:sz="6" w:space="0" w:color="1F497D"/>
            </w:tcBorders>
            <w:shd w:val="clear" w:color="auto" w:fill="auto"/>
            <w:noWrap/>
            <w:vAlign w:val="center"/>
            <w:hideMark/>
          </w:tcPr>
          <w:p w14:paraId="15F0C319"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0</w:t>
            </w:r>
          </w:p>
        </w:tc>
        <w:tc>
          <w:tcPr>
            <w:tcW w:w="670" w:type="dxa"/>
            <w:tcBorders>
              <w:top w:val="nil"/>
              <w:left w:val="nil"/>
              <w:bottom w:val="double" w:sz="6" w:space="0" w:color="4F81BD"/>
              <w:right w:val="double" w:sz="6" w:space="0" w:color="1F497D"/>
            </w:tcBorders>
            <w:shd w:val="clear" w:color="auto" w:fill="auto"/>
            <w:noWrap/>
            <w:vAlign w:val="center"/>
            <w:hideMark/>
          </w:tcPr>
          <w:p w14:paraId="5079565F"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0</w:t>
            </w:r>
          </w:p>
        </w:tc>
        <w:tc>
          <w:tcPr>
            <w:tcW w:w="936" w:type="dxa"/>
            <w:tcBorders>
              <w:top w:val="nil"/>
              <w:left w:val="nil"/>
              <w:bottom w:val="double" w:sz="6" w:space="0" w:color="4F81BD"/>
              <w:right w:val="double" w:sz="6" w:space="0" w:color="1F497D"/>
            </w:tcBorders>
            <w:shd w:val="clear" w:color="auto" w:fill="auto"/>
            <w:noWrap/>
            <w:vAlign w:val="center"/>
            <w:hideMark/>
          </w:tcPr>
          <w:p w14:paraId="59F34E81"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3</w:t>
            </w:r>
          </w:p>
        </w:tc>
      </w:tr>
      <w:tr w:rsidR="00B53CB8" w:rsidRPr="00033E65" w14:paraId="39742BEA" w14:textId="77777777" w:rsidTr="009763EE">
        <w:trPr>
          <w:trHeight w:val="330"/>
        </w:trPr>
        <w:tc>
          <w:tcPr>
            <w:tcW w:w="2127" w:type="dxa"/>
            <w:gridSpan w:val="2"/>
            <w:tcBorders>
              <w:top w:val="double" w:sz="6" w:space="0" w:color="4F81BD"/>
              <w:left w:val="double" w:sz="6" w:space="0" w:color="1F497D"/>
              <w:bottom w:val="double" w:sz="6" w:space="0" w:color="1F497D"/>
              <w:right w:val="double" w:sz="6" w:space="0" w:color="1F497D"/>
            </w:tcBorders>
            <w:shd w:val="clear" w:color="000000" w:fill="DBE5F1"/>
            <w:vAlign w:val="center"/>
            <w:hideMark/>
          </w:tcPr>
          <w:p w14:paraId="32D9F611" w14:textId="77777777" w:rsidR="001379CF" w:rsidRPr="00033E65" w:rsidRDefault="001379CF" w:rsidP="001379CF">
            <w:pPr>
              <w:spacing w:before="0" w:after="0"/>
              <w:jc w:val="right"/>
              <w:rPr>
                <w:rFonts w:cs="Calibri"/>
                <w:b/>
                <w:bCs/>
                <w:color w:val="000000"/>
                <w:szCs w:val="22"/>
                <w:lang w:val="es-MX" w:eastAsia="es-MX"/>
              </w:rPr>
            </w:pPr>
            <w:r w:rsidRPr="00033E65">
              <w:rPr>
                <w:rFonts w:cs="Calibri"/>
                <w:b/>
                <w:bCs/>
                <w:color w:val="000000"/>
                <w:szCs w:val="22"/>
                <w:lang w:val="es-MX" w:eastAsia="es-MX"/>
              </w:rPr>
              <w:t>Porcentaje de mejora</w:t>
            </w:r>
          </w:p>
        </w:tc>
        <w:tc>
          <w:tcPr>
            <w:tcW w:w="851" w:type="dxa"/>
            <w:tcBorders>
              <w:top w:val="nil"/>
              <w:left w:val="nil"/>
              <w:bottom w:val="double" w:sz="6" w:space="0" w:color="1F497D"/>
              <w:right w:val="double" w:sz="6" w:space="0" w:color="1F497D"/>
            </w:tcBorders>
            <w:shd w:val="clear" w:color="000000" w:fill="DBE5F1"/>
            <w:noWrap/>
            <w:vAlign w:val="center"/>
            <w:hideMark/>
          </w:tcPr>
          <w:p w14:paraId="6EC1C18A"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47%</w:t>
            </w:r>
          </w:p>
        </w:tc>
        <w:tc>
          <w:tcPr>
            <w:tcW w:w="1000" w:type="dxa"/>
            <w:tcBorders>
              <w:top w:val="nil"/>
              <w:left w:val="nil"/>
              <w:bottom w:val="double" w:sz="6" w:space="0" w:color="1F497D"/>
              <w:right w:val="double" w:sz="6" w:space="0" w:color="1F497D"/>
            </w:tcBorders>
            <w:shd w:val="clear" w:color="000000" w:fill="DBE5F1"/>
            <w:noWrap/>
            <w:vAlign w:val="center"/>
            <w:hideMark/>
          </w:tcPr>
          <w:p w14:paraId="1A2AC365"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47%</w:t>
            </w:r>
          </w:p>
        </w:tc>
        <w:tc>
          <w:tcPr>
            <w:tcW w:w="729" w:type="dxa"/>
            <w:tcBorders>
              <w:top w:val="nil"/>
              <w:left w:val="nil"/>
              <w:bottom w:val="double" w:sz="6" w:space="0" w:color="1F497D"/>
              <w:right w:val="double" w:sz="6" w:space="0" w:color="1F497D"/>
            </w:tcBorders>
            <w:shd w:val="clear" w:color="000000" w:fill="DBE5F1"/>
            <w:noWrap/>
            <w:vAlign w:val="center"/>
            <w:hideMark/>
          </w:tcPr>
          <w:p w14:paraId="7596C1B2"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47%</w:t>
            </w:r>
          </w:p>
        </w:tc>
        <w:tc>
          <w:tcPr>
            <w:tcW w:w="796" w:type="dxa"/>
            <w:tcBorders>
              <w:top w:val="nil"/>
              <w:left w:val="nil"/>
              <w:bottom w:val="double" w:sz="6" w:space="0" w:color="1F497D"/>
              <w:right w:val="double" w:sz="6" w:space="0" w:color="1F497D"/>
            </w:tcBorders>
            <w:shd w:val="clear" w:color="000000" w:fill="DBE5F1"/>
            <w:noWrap/>
            <w:vAlign w:val="center"/>
            <w:hideMark/>
          </w:tcPr>
          <w:p w14:paraId="3391B8DC"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53%</w:t>
            </w:r>
          </w:p>
        </w:tc>
        <w:tc>
          <w:tcPr>
            <w:tcW w:w="766" w:type="dxa"/>
            <w:tcBorders>
              <w:top w:val="nil"/>
              <w:left w:val="nil"/>
              <w:bottom w:val="double" w:sz="6" w:space="0" w:color="1F497D"/>
              <w:right w:val="double" w:sz="6" w:space="0" w:color="1F497D"/>
            </w:tcBorders>
            <w:shd w:val="clear" w:color="000000" w:fill="DBE5F1"/>
            <w:noWrap/>
            <w:vAlign w:val="center"/>
            <w:hideMark/>
          </w:tcPr>
          <w:p w14:paraId="786D98AD"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53%</w:t>
            </w:r>
          </w:p>
        </w:tc>
        <w:tc>
          <w:tcPr>
            <w:tcW w:w="1051" w:type="dxa"/>
            <w:tcBorders>
              <w:top w:val="nil"/>
              <w:left w:val="nil"/>
              <w:bottom w:val="double" w:sz="6" w:space="0" w:color="1F497D"/>
              <w:right w:val="double" w:sz="6" w:space="0" w:color="1F497D"/>
            </w:tcBorders>
            <w:shd w:val="clear" w:color="000000" w:fill="DBE5F1"/>
            <w:noWrap/>
            <w:vAlign w:val="center"/>
            <w:hideMark/>
          </w:tcPr>
          <w:p w14:paraId="1F870D00"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24%</w:t>
            </w:r>
          </w:p>
        </w:tc>
        <w:tc>
          <w:tcPr>
            <w:tcW w:w="740" w:type="dxa"/>
            <w:tcBorders>
              <w:top w:val="nil"/>
              <w:left w:val="nil"/>
              <w:bottom w:val="double" w:sz="6" w:space="0" w:color="1F497D"/>
              <w:right w:val="double" w:sz="6" w:space="0" w:color="1F497D"/>
            </w:tcBorders>
            <w:shd w:val="clear" w:color="000000" w:fill="DBE5F1"/>
            <w:noWrap/>
            <w:vAlign w:val="center"/>
            <w:hideMark/>
          </w:tcPr>
          <w:p w14:paraId="1B0A7F0F"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color w:val="000000"/>
                <w:sz w:val="20"/>
                <w:lang w:val="es-MX" w:eastAsia="es-MX"/>
              </w:rPr>
              <w:t>41%</w:t>
            </w:r>
          </w:p>
        </w:tc>
        <w:tc>
          <w:tcPr>
            <w:tcW w:w="821" w:type="dxa"/>
            <w:tcBorders>
              <w:top w:val="nil"/>
              <w:left w:val="nil"/>
              <w:bottom w:val="double" w:sz="6" w:space="0" w:color="1F497D"/>
              <w:right w:val="double" w:sz="6" w:space="0" w:color="1F497D"/>
            </w:tcBorders>
            <w:shd w:val="clear" w:color="000000" w:fill="DBE5F1"/>
            <w:noWrap/>
            <w:vAlign w:val="center"/>
            <w:hideMark/>
          </w:tcPr>
          <w:p w14:paraId="7CB935EA"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24%</w:t>
            </w:r>
          </w:p>
        </w:tc>
        <w:tc>
          <w:tcPr>
            <w:tcW w:w="781" w:type="dxa"/>
            <w:tcBorders>
              <w:top w:val="nil"/>
              <w:left w:val="nil"/>
              <w:bottom w:val="double" w:sz="6" w:space="0" w:color="1F497D"/>
              <w:right w:val="double" w:sz="6" w:space="0" w:color="1F497D"/>
            </w:tcBorders>
            <w:shd w:val="clear" w:color="000000" w:fill="DBE5F1"/>
            <w:noWrap/>
            <w:vAlign w:val="center"/>
            <w:hideMark/>
          </w:tcPr>
          <w:p w14:paraId="68565F8C"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53%</w:t>
            </w:r>
          </w:p>
        </w:tc>
        <w:tc>
          <w:tcPr>
            <w:tcW w:w="730" w:type="dxa"/>
            <w:tcBorders>
              <w:top w:val="nil"/>
              <w:left w:val="nil"/>
              <w:bottom w:val="double" w:sz="6" w:space="0" w:color="1F497D"/>
              <w:right w:val="double" w:sz="6" w:space="0" w:color="1F497D"/>
            </w:tcBorders>
            <w:shd w:val="clear" w:color="000000" w:fill="DBE5F1"/>
            <w:noWrap/>
            <w:vAlign w:val="center"/>
            <w:hideMark/>
          </w:tcPr>
          <w:p w14:paraId="549C5C58"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47%</w:t>
            </w:r>
          </w:p>
        </w:tc>
        <w:tc>
          <w:tcPr>
            <w:tcW w:w="670" w:type="dxa"/>
            <w:tcBorders>
              <w:top w:val="nil"/>
              <w:left w:val="nil"/>
              <w:bottom w:val="double" w:sz="6" w:space="0" w:color="1F497D"/>
              <w:right w:val="double" w:sz="6" w:space="0" w:color="1F497D"/>
            </w:tcBorders>
            <w:shd w:val="clear" w:color="000000" w:fill="DBE5F1"/>
            <w:noWrap/>
            <w:vAlign w:val="center"/>
            <w:hideMark/>
          </w:tcPr>
          <w:p w14:paraId="0D8F77AF" w14:textId="77777777" w:rsidR="001379CF" w:rsidRPr="00033E65" w:rsidRDefault="001379CF" w:rsidP="001379CF">
            <w:pPr>
              <w:spacing w:before="0" w:after="0"/>
              <w:jc w:val="center"/>
              <w:rPr>
                <w:rFonts w:cs="Calibri"/>
                <w:b/>
                <w:color w:val="000000"/>
                <w:sz w:val="20"/>
                <w:lang w:val="es-MX" w:eastAsia="es-MX"/>
              </w:rPr>
            </w:pPr>
            <w:r w:rsidRPr="00033E65">
              <w:rPr>
                <w:rFonts w:cs="Calibri"/>
                <w:b/>
                <w:color w:val="000000"/>
                <w:sz w:val="20"/>
                <w:lang w:val="es-MX" w:eastAsia="es-MX"/>
              </w:rPr>
              <w:t>82%</w:t>
            </w:r>
          </w:p>
        </w:tc>
        <w:tc>
          <w:tcPr>
            <w:tcW w:w="936" w:type="dxa"/>
            <w:tcBorders>
              <w:top w:val="nil"/>
              <w:left w:val="nil"/>
              <w:bottom w:val="double" w:sz="6" w:space="0" w:color="1F497D"/>
              <w:right w:val="double" w:sz="6" w:space="0" w:color="1F497D"/>
            </w:tcBorders>
            <w:shd w:val="clear" w:color="000000" w:fill="DBE5F1"/>
            <w:noWrap/>
            <w:vAlign w:val="center"/>
            <w:hideMark/>
          </w:tcPr>
          <w:p w14:paraId="53EF34A3" w14:textId="77777777" w:rsidR="001379CF" w:rsidRPr="00033E65" w:rsidRDefault="001379CF" w:rsidP="001379CF">
            <w:pPr>
              <w:spacing w:before="0" w:after="0"/>
              <w:jc w:val="center"/>
              <w:rPr>
                <w:rFonts w:cs="Calibri"/>
                <w:b/>
                <w:bCs/>
                <w:color w:val="000000"/>
                <w:sz w:val="20"/>
                <w:lang w:val="es-MX" w:eastAsia="es-MX"/>
              </w:rPr>
            </w:pPr>
            <w:r w:rsidRPr="00033E65">
              <w:rPr>
                <w:rFonts w:cs="Calibri"/>
                <w:b/>
                <w:bCs/>
                <w:color w:val="000000"/>
                <w:sz w:val="20"/>
                <w:lang w:val="es-MX" w:eastAsia="es-MX"/>
              </w:rPr>
              <w:t>47%</w:t>
            </w:r>
          </w:p>
        </w:tc>
      </w:tr>
    </w:tbl>
    <w:p w14:paraId="39E7D3BD" w14:textId="045D3C27" w:rsidR="00277719" w:rsidRPr="00033E65" w:rsidRDefault="00B15A5A" w:rsidP="00946131">
      <w:pPr>
        <w:ind w:left="-1417" w:right="-1134"/>
      </w:pPr>
      <w:r w:rsidRPr="00033E65">
        <w:rPr>
          <w:b/>
          <w:i/>
          <w:sz w:val="18"/>
          <w:szCs w:val="18"/>
          <w:lang w:eastAsia="en-US"/>
        </w:rPr>
        <w:t xml:space="preserve">Fuente: </w:t>
      </w:r>
      <w:r w:rsidRPr="00033E65">
        <w:rPr>
          <w:b/>
          <w:i/>
          <w:sz w:val="18"/>
          <w:szCs w:val="18"/>
        </w:rPr>
        <w:t>Subproceso de Modernización Institucional</w:t>
      </w:r>
      <w:r w:rsidR="000911C1" w:rsidRPr="00033E65">
        <w:rPr>
          <w:b/>
          <w:i/>
          <w:sz w:val="18"/>
          <w:szCs w:val="18"/>
        </w:rPr>
        <w:t>, área No Penal,</w:t>
      </w:r>
      <w:r w:rsidRPr="00033E65">
        <w:rPr>
          <w:b/>
          <w:i/>
          <w:sz w:val="18"/>
          <w:szCs w:val="18"/>
        </w:rPr>
        <w:t xml:space="preserve"> </w:t>
      </w:r>
      <w:r w:rsidRPr="00033E65">
        <w:rPr>
          <w:b/>
          <w:i/>
          <w:sz w:val="18"/>
          <w:szCs w:val="18"/>
          <w:lang w:eastAsia="en-US"/>
        </w:rPr>
        <w:t xml:space="preserve">con base </w:t>
      </w:r>
      <w:r w:rsidR="000911C1" w:rsidRPr="00033E65">
        <w:rPr>
          <w:b/>
          <w:i/>
          <w:sz w:val="18"/>
          <w:szCs w:val="18"/>
        </w:rPr>
        <w:t xml:space="preserve">en </w:t>
      </w:r>
      <w:r w:rsidR="00304871" w:rsidRPr="00033E65">
        <w:rPr>
          <w:b/>
          <w:i/>
          <w:sz w:val="18"/>
          <w:szCs w:val="18"/>
        </w:rPr>
        <w:t>el Balance General Interactivo de la página web de la Dirección de Planificación y</w:t>
      </w:r>
      <w:r w:rsidR="000911C1" w:rsidRPr="00033E65">
        <w:rPr>
          <w:b/>
          <w:i/>
          <w:sz w:val="18"/>
          <w:szCs w:val="18"/>
        </w:rPr>
        <w:t xml:space="preserve"> la Matriz de Indicadores de Gestión</w:t>
      </w:r>
      <w:r w:rsidR="00304871" w:rsidRPr="00033E65">
        <w:rPr>
          <w:b/>
          <w:i/>
          <w:sz w:val="18"/>
          <w:szCs w:val="18"/>
        </w:rPr>
        <w:t xml:space="preserve">. </w:t>
      </w:r>
    </w:p>
    <w:p w14:paraId="7452A7F2" w14:textId="77777777" w:rsidR="00503BA1" w:rsidRPr="00033E65" w:rsidRDefault="00503BA1">
      <w:pPr>
        <w:pStyle w:val="Ttulo"/>
        <w:jc w:val="both"/>
        <w:rPr>
          <w:rFonts w:eastAsia="Times New Roman" w:cs="Times New Roman"/>
          <w:b w:val="0"/>
          <w:color w:val="auto"/>
          <w:spacing w:val="0"/>
          <w:sz w:val="22"/>
          <w:szCs w:val="20"/>
          <w:lang w:val="es-CR" w:eastAsia="es-ES"/>
        </w:rPr>
      </w:pPr>
    </w:p>
    <w:p w14:paraId="672FEEBD" w14:textId="5B991366" w:rsidR="004667AD" w:rsidRPr="00033E65" w:rsidRDefault="00112612" w:rsidP="0087671C">
      <w:pPr>
        <w:pStyle w:val="Ttulo"/>
        <w:jc w:val="both"/>
        <w:rPr>
          <w:rFonts w:eastAsia="Times New Roman" w:cs="Times New Roman"/>
          <w:b w:val="0"/>
          <w:color w:val="auto"/>
          <w:spacing w:val="0"/>
          <w:sz w:val="22"/>
          <w:szCs w:val="20"/>
          <w:lang w:val="es-CR" w:eastAsia="es-ES"/>
        </w:rPr>
      </w:pPr>
      <w:r w:rsidRPr="00033E65">
        <w:rPr>
          <w:rFonts w:eastAsia="Times New Roman" w:cs="Times New Roman"/>
          <w:b w:val="0"/>
          <w:color w:val="auto"/>
          <w:spacing w:val="0"/>
          <w:sz w:val="22"/>
          <w:szCs w:val="20"/>
          <w:lang w:val="es-CR" w:eastAsia="es-ES"/>
        </w:rPr>
        <w:t xml:space="preserve">Por lo </w:t>
      </w:r>
      <w:r w:rsidR="00230EC8" w:rsidRPr="00033E65">
        <w:rPr>
          <w:rFonts w:eastAsia="Times New Roman" w:cs="Times New Roman"/>
          <w:b w:val="0"/>
          <w:color w:val="auto"/>
          <w:spacing w:val="0"/>
          <w:sz w:val="22"/>
          <w:szCs w:val="20"/>
          <w:lang w:val="es-CR" w:eastAsia="es-ES"/>
        </w:rPr>
        <w:t>tanto,</w:t>
      </w:r>
      <w:r w:rsidRPr="00033E65">
        <w:rPr>
          <w:rFonts w:eastAsia="Times New Roman" w:cs="Times New Roman"/>
          <w:b w:val="0"/>
          <w:color w:val="auto"/>
          <w:spacing w:val="0"/>
          <w:sz w:val="22"/>
          <w:szCs w:val="20"/>
          <w:lang w:val="es-CR" w:eastAsia="es-ES"/>
        </w:rPr>
        <w:t xml:space="preserve"> </w:t>
      </w:r>
      <w:r w:rsidR="00E12EF8" w:rsidRPr="00033E65">
        <w:rPr>
          <w:rFonts w:eastAsia="Times New Roman" w:cs="Times New Roman"/>
          <w:b w:val="0"/>
          <w:color w:val="auto"/>
          <w:spacing w:val="0"/>
          <w:sz w:val="22"/>
          <w:szCs w:val="20"/>
          <w:lang w:val="es-CR" w:eastAsia="es-ES"/>
        </w:rPr>
        <w:t xml:space="preserve">los despachos que presentan las mejoras más sustanciales en el 2022, corresponde al Juzgado Agrario de Alajuela con la disminución del plazo para dictado de sentencia (-575) por la atención de los asuntos más antiguos pendientes y el Juzgado Agrario de Pococí con la disminución del plazo de agenda, la cual se logró bajar </w:t>
      </w:r>
      <w:r w:rsidR="009A3E03" w:rsidRPr="00033E65">
        <w:rPr>
          <w:rFonts w:eastAsia="Times New Roman" w:cs="Times New Roman"/>
          <w:b w:val="0"/>
          <w:color w:val="auto"/>
          <w:spacing w:val="0"/>
          <w:sz w:val="22"/>
          <w:szCs w:val="20"/>
          <w:lang w:val="es-CR" w:eastAsia="es-ES"/>
        </w:rPr>
        <w:t xml:space="preserve">275 días con relación al 2021. </w:t>
      </w:r>
      <w:r w:rsidR="008C4245" w:rsidRPr="00033E65">
        <w:rPr>
          <w:rFonts w:eastAsia="Times New Roman" w:cs="Times New Roman"/>
          <w:b w:val="0"/>
          <w:color w:val="auto"/>
          <w:spacing w:val="0"/>
          <w:sz w:val="22"/>
          <w:szCs w:val="20"/>
          <w:lang w:val="es-CR" w:eastAsia="es-ES"/>
        </w:rPr>
        <w:t xml:space="preserve">mientras que </w:t>
      </w:r>
      <w:r w:rsidR="00DA38CA" w:rsidRPr="00033E65">
        <w:rPr>
          <w:rFonts w:eastAsia="Times New Roman" w:cs="Times New Roman"/>
          <w:b w:val="0"/>
          <w:color w:val="auto"/>
          <w:spacing w:val="0"/>
          <w:sz w:val="22"/>
          <w:szCs w:val="20"/>
          <w:lang w:val="es-CR" w:eastAsia="es-ES"/>
        </w:rPr>
        <w:t>los</w:t>
      </w:r>
      <w:r w:rsidR="008A70C0" w:rsidRPr="00033E65">
        <w:rPr>
          <w:rFonts w:eastAsia="Times New Roman" w:cs="Times New Roman"/>
          <w:b w:val="0"/>
          <w:color w:val="auto"/>
          <w:spacing w:val="0"/>
          <w:sz w:val="22"/>
          <w:szCs w:val="20"/>
          <w:lang w:val="es-CR" w:eastAsia="es-ES"/>
        </w:rPr>
        <w:t xml:space="preserve"> </w:t>
      </w:r>
      <w:r w:rsidR="008C4245" w:rsidRPr="00033E65">
        <w:rPr>
          <w:rFonts w:eastAsia="Times New Roman" w:cs="Times New Roman"/>
          <w:b w:val="0"/>
          <w:color w:val="auto"/>
          <w:spacing w:val="0"/>
          <w:sz w:val="22"/>
          <w:szCs w:val="20"/>
          <w:lang w:val="es-CR" w:eastAsia="es-ES"/>
        </w:rPr>
        <w:t>despacho</w:t>
      </w:r>
      <w:r w:rsidR="008A70C0" w:rsidRPr="00033E65">
        <w:rPr>
          <w:rFonts w:eastAsia="Times New Roman" w:cs="Times New Roman"/>
          <w:b w:val="0"/>
          <w:color w:val="auto"/>
          <w:spacing w:val="0"/>
          <w:sz w:val="22"/>
          <w:szCs w:val="20"/>
          <w:lang w:val="es-CR" w:eastAsia="es-ES"/>
        </w:rPr>
        <w:t>s</w:t>
      </w:r>
      <w:r w:rsidR="008C4245" w:rsidRPr="00033E65">
        <w:rPr>
          <w:rFonts w:eastAsia="Times New Roman" w:cs="Times New Roman"/>
          <w:b w:val="0"/>
          <w:color w:val="auto"/>
          <w:spacing w:val="0"/>
          <w:sz w:val="22"/>
          <w:szCs w:val="20"/>
          <w:lang w:val="es-CR" w:eastAsia="es-ES"/>
        </w:rPr>
        <w:t xml:space="preserve"> agrario</w:t>
      </w:r>
      <w:r w:rsidR="00DA38CA" w:rsidRPr="00033E65">
        <w:rPr>
          <w:rFonts w:eastAsia="Times New Roman" w:cs="Times New Roman"/>
          <w:b w:val="0"/>
          <w:color w:val="auto"/>
          <w:spacing w:val="0"/>
          <w:sz w:val="22"/>
          <w:szCs w:val="20"/>
          <w:lang w:val="es-CR" w:eastAsia="es-ES"/>
        </w:rPr>
        <w:t>s</w:t>
      </w:r>
      <w:r w:rsidR="008C4245" w:rsidRPr="00033E65">
        <w:rPr>
          <w:rFonts w:eastAsia="Times New Roman" w:cs="Times New Roman"/>
          <w:b w:val="0"/>
          <w:color w:val="auto"/>
          <w:spacing w:val="0"/>
          <w:sz w:val="22"/>
          <w:szCs w:val="20"/>
          <w:lang w:val="es-CR" w:eastAsia="es-ES"/>
        </w:rPr>
        <w:t xml:space="preserve"> donde se dio menos mejoría en indicadores </w:t>
      </w:r>
      <w:r w:rsidR="00721B3B" w:rsidRPr="00033E65">
        <w:rPr>
          <w:rFonts w:eastAsia="Times New Roman" w:cs="Times New Roman"/>
          <w:b w:val="0"/>
          <w:color w:val="auto"/>
          <w:spacing w:val="0"/>
          <w:sz w:val="22"/>
          <w:szCs w:val="20"/>
          <w:lang w:val="es-CR" w:eastAsia="es-ES"/>
        </w:rPr>
        <w:t xml:space="preserve">fue el de </w:t>
      </w:r>
      <w:r w:rsidR="00DA38CA" w:rsidRPr="00033E65">
        <w:rPr>
          <w:rFonts w:eastAsia="Times New Roman" w:cs="Times New Roman"/>
          <w:b w:val="0"/>
          <w:color w:val="auto"/>
          <w:spacing w:val="0"/>
          <w:sz w:val="22"/>
          <w:szCs w:val="20"/>
          <w:lang w:val="es-CR" w:eastAsia="es-ES"/>
        </w:rPr>
        <w:t xml:space="preserve">Corredores y </w:t>
      </w:r>
      <w:r w:rsidR="00E56EEA" w:rsidRPr="00033E65">
        <w:rPr>
          <w:rFonts w:eastAsia="Times New Roman" w:cs="Times New Roman"/>
          <w:b w:val="0"/>
          <w:color w:val="auto"/>
          <w:spacing w:val="0"/>
          <w:sz w:val="22"/>
          <w:szCs w:val="20"/>
          <w:lang w:val="es-CR" w:eastAsia="es-ES"/>
        </w:rPr>
        <w:t>Limón.</w:t>
      </w:r>
    </w:p>
    <w:p w14:paraId="457C787D" w14:textId="77777777" w:rsidR="00112612" w:rsidRPr="00033E65" w:rsidRDefault="00112612" w:rsidP="003F0A3A">
      <w:pPr>
        <w:pStyle w:val="Ttulo"/>
      </w:pPr>
    </w:p>
    <w:p w14:paraId="348954A5" w14:textId="3CE09A3E" w:rsidR="00B925E4" w:rsidRPr="00033E65" w:rsidRDefault="0037722A" w:rsidP="00554C4E">
      <w:pPr>
        <w:pStyle w:val="Ttulo"/>
        <w:jc w:val="both"/>
        <w:rPr>
          <w:color w:val="000000" w:themeColor="text1"/>
        </w:rPr>
      </w:pPr>
      <w:r w:rsidRPr="00033E65">
        <w:rPr>
          <w:color w:val="000000" w:themeColor="text1"/>
        </w:rPr>
        <w:t xml:space="preserve">A </w:t>
      </w:r>
      <w:r w:rsidR="001D1871" w:rsidRPr="00033E65">
        <w:rPr>
          <w:color w:val="000000" w:themeColor="text1"/>
        </w:rPr>
        <w:t>continuación,</w:t>
      </w:r>
      <w:r w:rsidRPr="00033E65">
        <w:rPr>
          <w:color w:val="000000" w:themeColor="text1"/>
        </w:rPr>
        <w:t xml:space="preserve"> se analiza la comparación de resultados de los indicadores de gestión en relación con</w:t>
      </w:r>
      <w:r w:rsidR="004C58C4" w:rsidRPr="00033E65">
        <w:rPr>
          <w:color w:val="000000" w:themeColor="text1"/>
        </w:rPr>
        <w:t xml:space="preserve"> el 202</w:t>
      </w:r>
      <w:r w:rsidR="32B7CAC9" w:rsidRPr="00033E65">
        <w:rPr>
          <w:color w:val="000000" w:themeColor="text1"/>
        </w:rPr>
        <w:t>1</w:t>
      </w:r>
      <w:r w:rsidR="004C58C4" w:rsidRPr="00033E65">
        <w:rPr>
          <w:color w:val="000000" w:themeColor="text1"/>
        </w:rPr>
        <w:t xml:space="preserve"> y 202</w:t>
      </w:r>
      <w:r w:rsidR="04D2C2E7" w:rsidRPr="00033E65">
        <w:rPr>
          <w:color w:val="000000" w:themeColor="text1"/>
        </w:rPr>
        <w:t>2</w:t>
      </w:r>
      <w:r w:rsidRPr="00033E65">
        <w:rPr>
          <w:color w:val="000000" w:themeColor="text1"/>
        </w:rPr>
        <w:t>:</w:t>
      </w:r>
    </w:p>
    <w:p w14:paraId="74C4163A" w14:textId="12ECE508" w:rsidR="009E1B33" w:rsidRPr="00033E65" w:rsidRDefault="009E1B33" w:rsidP="003F0A3A">
      <w:pPr>
        <w:pStyle w:val="Ttulo"/>
      </w:pPr>
      <w:r w:rsidRPr="00033E65">
        <w:t xml:space="preserve">Juzgado Agrario de Cartago </w:t>
      </w:r>
    </w:p>
    <w:p w14:paraId="542329FA" w14:textId="42F7F0E0" w:rsidR="004667AD" w:rsidRPr="00033E65" w:rsidRDefault="00EA2BCF" w:rsidP="0011391C">
      <w:r w:rsidRPr="00033E65">
        <w:t xml:space="preserve">Del análisis realizado, el Juzgado Agrario de </w:t>
      </w:r>
      <w:r w:rsidR="009F3703" w:rsidRPr="00033E65">
        <w:t xml:space="preserve">Cartago mostró una desmejora en </w:t>
      </w:r>
      <w:r w:rsidR="00977D98" w:rsidRPr="00033E65">
        <w:t>9</w:t>
      </w:r>
      <w:r w:rsidR="009F3703" w:rsidRPr="00033E65">
        <w:t xml:space="preserve"> indicadores en el 202</w:t>
      </w:r>
      <w:r w:rsidR="00977D98" w:rsidRPr="00033E65">
        <w:t>2</w:t>
      </w:r>
      <w:r w:rsidRPr="00033E65">
        <w:t xml:space="preserve"> de acuerdo con el año que le antecede</w:t>
      </w:r>
      <w:r w:rsidR="009F3703" w:rsidRPr="00033E65">
        <w:t xml:space="preserve">, con un porcentaje </w:t>
      </w:r>
      <w:r w:rsidR="0038597E" w:rsidRPr="00033E65">
        <w:t>del 5</w:t>
      </w:r>
      <w:r w:rsidR="00452601" w:rsidRPr="00033E65">
        <w:t>3</w:t>
      </w:r>
      <w:r w:rsidR="005C47EB" w:rsidRPr="00033E65">
        <w:t>%</w:t>
      </w:r>
      <w:r w:rsidRPr="00033E65">
        <w:t>, entre ellos se en</w:t>
      </w:r>
      <w:r w:rsidR="00AA4BA9" w:rsidRPr="00033E65">
        <w:t>cuentran los casos terminados, aumento</w:t>
      </w:r>
      <w:r w:rsidRPr="00033E65">
        <w:t xml:space="preserve"> en el circulante, </w:t>
      </w:r>
      <w:r w:rsidR="00AA4BA9" w:rsidRPr="00033E65">
        <w:t xml:space="preserve">plazo para la realización de audiencias, </w:t>
      </w:r>
      <w:r w:rsidRPr="00033E65">
        <w:t>entre otros.</w:t>
      </w:r>
      <w:r w:rsidR="00AA4BA9" w:rsidRPr="00033E65">
        <w:t xml:space="preserve"> En seis (6) indicadores el juzgado </w:t>
      </w:r>
      <w:r w:rsidRPr="00033E65">
        <w:t>mejoró, como es en el caso del</w:t>
      </w:r>
      <w:r w:rsidR="00AA4BA9" w:rsidRPr="00033E65">
        <w:t xml:space="preserve"> plazo</w:t>
      </w:r>
      <w:r w:rsidR="008A6040" w:rsidRPr="00033E65">
        <w:t xml:space="preserve"> para dictado de sentencia, plazo</w:t>
      </w:r>
      <w:r w:rsidR="00AA4BA9" w:rsidRPr="00033E65">
        <w:t xml:space="preserve"> para resolver escrito dentro del despacho</w:t>
      </w:r>
      <w:r w:rsidR="002E33E9" w:rsidRPr="00033E65">
        <w:t>,</w:t>
      </w:r>
      <w:r w:rsidR="00AA4BA9" w:rsidRPr="00033E65">
        <w:t xml:space="preserve"> </w:t>
      </w:r>
      <w:r w:rsidR="008A6040" w:rsidRPr="00033E65">
        <w:t xml:space="preserve">plazo para resolver demandas nuevas, </w:t>
      </w:r>
      <w:r w:rsidR="00056C89" w:rsidRPr="00033E65">
        <w:t>cantidad de exp</w:t>
      </w:r>
      <w:r w:rsidR="00507328" w:rsidRPr="00033E65">
        <w:t>e</w:t>
      </w:r>
      <w:r w:rsidR="00056C89" w:rsidRPr="00033E65">
        <w:t>dientes pendientes de fallo</w:t>
      </w:r>
      <w:r w:rsidR="00AA4BA9" w:rsidRPr="00033E65">
        <w:t>,</w:t>
      </w:r>
      <w:r w:rsidR="00056C89" w:rsidRPr="00033E65">
        <w:t xml:space="preserve"> escritos pendientes de resolver,</w:t>
      </w:r>
      <w:r w:rsidR="00AA4BA9" w:rsidRPr="00033E65">
        <w:t xml:space="preserve"> cantidad de expedientes firmados, </w:t>
      </w:r>
      <w:r w:rsidR="00056C89" w:rsidRPr="00033E65">
        <w:t xml:space="preserve">cantidad de sentencias dictadas, </w:t>
      </w:r>
      <w:r w:rsidRPr="00033E65">
        <w:t>entre otros. Cabe indicar que existen indicadores con resultados negativos que no</w:t>
      </w:r>
      <w:r w:rsidR="00F04CD5" w:rsidRPr="00033E65">
        <w:t xml:space="preserve"> dependen de la gestión del Despacho, como es el caso de la entrada y los escritos pendientes de resolver de expedientes que se encuentran fuera de la oficina; por lo que es este caso se consideran en el análisis únicamente para determinar su variación. </w:t>
      </w:r>
      <w:r w:rsidR="000D2A9D" w:rsidRPr="00033E65">
        <w:t xml:space="preserve">En </w:t>
      </w:r>
      <w:r w:rsidR="0083684F" w:rsidRPr="00033E65">
        <w:t>tres</w:t>
      </w:r>
      <w:r w:rsidR="000D2A9D" w:rsidRPr="00033E65">
        <w:t xml:space="preserve"> (</w:t>
      </w:r>
      <w:r w:rsidR="0083684F" w:rsidRPr="00033E65">
        <w:t>3</w:t>
      </w:r>
      <w:r w:rsidR="000D2A9D" w:rsidRPr="00033E65">
        <w:t>) indicador</w:t>
      </w:r>
      <w:r w:rsidR="0083684F" w:rsidRPr="00033E65">
        <w:t>es</w:t>
      </w:r>
      <w:r w:rsidR="000D2A9D" w:rsidRPr="00033E65">
        <w:t xml:space="preserve"> de gestión no presentó variación alguna, corresponde a la cantidad de </w:t>
      </w:r>
      <w:r w:rsidR="0083684F" w:rsidRPr="00033E65">
        <w:t xml:space="preserve">asuntos nuevos ingresados, </w:t>
      </w:r>
      <w:r w:rsidR="004B4620" w:rsidRPr="00033E65">
        <w:t>plazo de espera de firma de resoluciones y cantidad de demandas nuevas pendientes de resolver</w:t>
      </w:r>
      <w:r w:rsidR="000D2A9D" w:rsidRPr="00033E65">
        <w:t>.</w:t>
      </w:r>
    </w:p>
    <w:p w14:paraId="32402E52" w14:textId="77777777" w:rsidR="009E1B33" w:rsidRPr="00033E65" w:rsidRDefault="009E1B33" w:rsidP="009E1B33">
      <w:pPr>
        <w:pStyle w:val="Ttulo"/>
      </w:pPr>
      <w:r w:rsidRPr="00033E65">
        <w:t xml:space="preserve">Juzgado Agrario de Alajuela </w:t>
      </w:r>
    </w:p>
    <w:p w14:paraId="311E28F6" w14:textId="00832A3C" w:rsidR="0038597E" w:rsidRPr="00033E65" w:rsidRDefault="00F04CD5" w:rsidP="0011391C">
      <w:r w:rsidRPr="00033E65">
        <w:t xml:space="preserve">En el caso del Juzgado Agrario de Alajuela, tuvo una </w:t>
      </w:r>
      <w:r w:rsidR="00B925E4" w:rsidRPr="00033E65">
        <w:t xml:space="preserve">desmejora en </w:t>
      </w:r>
      <w:r w:rsidR="000A3C5B" w:rsidRPr="00033E65">
        <w:t>6</w:t>
      </w:r>
      <w:r w:rsidRPr="00033E65">
        <w:t xml:space="preserve"> indicadores</w:t>
      </w:r>
      <w:r w:rsidR="00B925E4" w:rsidRPr="00033E65">
        <w:t xml:space="preserve">, lo que equivale a un </w:t>
      </w:r>
      <w:r w:rsidR="00AB51A0" w:rsidRPr="00033E65">
        <w:t>47</w:t>
      </w:r>
      <w:r w:rsidR="00B925E4" w:rsidRPr="00033E65">
        <w:t>%</w:t>
      </w:r>
      <w:r w:rsidRPr="00033E65">
        <w:t>, entre ellos</w:t>
      </w:r>
      <w:r w:rsidR="00AB51A0" w:rsidRPr="00033E65">
        <w:t xml:space="preserve"> el circulante, </w:t>
      </w:r>
      <w:r w:rsidR="00077EA5" w:rsidRPr="00033E65">
        <w:t xml:space="preserve"> </w:t>
      </w:r>
      <w:r w:rsidR="001532B5" w:rsidRPr="00033E65">
        <w:t xml:space="preserve">el plazo de realización de audiencia, la cantidad de audiencias pendientes de realización, </w:t>
      </w:r>
      <w:r w:rsidR="00E82BE1" w:rsidRPr="00033E65">
        <w:t>cantidad de expedientes pendientes de firma</w:t>
      </w:r>
      <w:r w:rsidR="000D2A9D" w:rsidRPr="00033E65">
        <w:t xml:space="preserve">, entre otros. </w:t>
      </w:r>
      <w:r w:rsidR="00E82BE1" w:rsidRPr="00033E65">
        <w:t xml:space="preserve">Ocho </w:t>
      </w:r>
      <w:r w:rsidR="00D26B54" w:rsidRPr="00033E65">
        <w:t>(</w:t>
      </w:r>
      <w:r w:rsidR="00E82BE1" w:rsidRPr="00033E65">
        <w:t>8</w:t>
      </w:r>
      <w:r w:rsidR="009E1B33" w:rsidRPr="00033E65">
        <w:t xml:space="preserve">) indicadores presentaron variaciones </w:t>
      </w:r>
      <w:r w:rsidR="00D26B54" w:rsidRPr="00033E65">
        <w:t>positivas</w:t>
      </w:r>
      <w:r w:rsidR="009E1B33" w:rsidRPr="00033E65">
        <w:t xml:space="preserve">, </w:t>
      </w:r>
      <w:r w:rsidR="00D26B54" w:rsidRPr="00033E65">
        <w:t xml:space="preserve">los casos terminados, </w:t>
      </w:r>
      <w:r w:rsidR="000F5696" w:rsidRPr="00033E65">
        <w:t xml:space="preserve">plazo de dictado de sentencia, plazo para resolver escritos, </w:t>
      </w:r>
      <w:r w:rsidR="00F42159" w:rsidRPr="00033E65">
        <w:t>cantidad de exp</w:t>
      </w:r>
      <w:r w:rsidR="00763B34" w:rsidRPr="00033E65">
        <w:t>e</w:t>
      </w:r>
      <w:r w:rsidR="00F42159" w:rsidRPr="00033E65">
        <w:t xml:space="preserve">dientes pendientes de fallo, </w:t>
      </w:r>
      <w:r w:rsidR="00763B34" w:rsidRPr="00033E65">
        <w:t>cantidad de esc</w:t>
      </w:r>
      <w:r w:rsidR="008A70C0" w:rsidRPr="00033E65">
        <w:t>r</w:t>
      </w:r>
      <w:r w:rsidR="00763B34" w:rsidRPr="00033E65">
        <w:t xml:space="preserve">itos pendientes de resolver, </w:t>
      </w:r>
      <w:r w:rsidR="00D26B54" w:rsidRPr="00033E65">
        <w:t xml:space="preserve">plazo de espera de firma de resoluciones y cantidad de sentencias dictadas. </w:t>
      </w:r>
      <w:r w:rsidR="007C26B2" w:rsidRPr="00033E65">
        <w:t>En</w:t>
      </w:r>
      <w:r w:rsidR="001D7340" w:rsidRPr="00033E65">
        <w:t xml:space="preserve"> tre</w:t>
      </w:r>
      <w:r w:rsidR="007C26B2" w:rsidRPr="00033E65">
        <w:t>s (</w:t>
      </w:r>
      <w:r w:rsidR="001D7340" w:rsidRPr="00033E65">
        <w:t>3</w:t>
      </w:r>
      <w:r w:rsidR="009E1B33" w:rsidRPr="00033E65">
        <w:t>) indicadores de gestión no presentaron v</w:t>
      </w:r>
      <w:r w:rsidR="007C26B2" w:rsidRPr="00033E65">
        <w:t xml:space="preserve">ariación alguna, tal como </w:t>
      </w:r>
      <w:r w:rsidR="001D7340" w:rsidRPr="00033E65">
        <w:t xml:space="preserve">plazo para resolver demandas nuevas, plazo para resolver escritos fuera del despacho y cantidad de demandas nuevas pendientes de resolver. </w:t>
      </w:r>
    </w:p>
    <w:p w14:paraId="48B2B9DE" w14:textId="02B87969" w:rsidR="009E1B33" w:rsidRPr="00033E65" w:rsidRDefault="009E1B33" w:rsidP="009E1B33">
      <w:pPr>
        <w:pStyle w:val="Ttulo"/>
      </w:pPr>
      <w:r w:rsidRPr="00033E65">
        <w:t>Juzgado Agrario de Liberia</w:t>
      </w:r>
    </w:p>
    <w:p w14:paraId="101C26D8" w14:textId="55954BA8" w:rsidR="004667AD" w:rsidRPr="00033E65" w:rsidRDefault="0038597E" w:rsidP="006845D2">
      <w:r w:rsidRPr="00033E65">
        <w:t xml:space="preserve">Esta oficina mostró una </w:t>
      </w:r>
      <w:r w:rsidR="002701C7" w:rsidRPr="00033E65">
        <w:t>desmejora</w:t>
      </w:r>
      <w:r w:rsidR="009E1B33" w:rsidRPr="00033E65">
        <w:t xml:space="preserve"> en </w:t>
      </w:r>
      <w:r w:rsidR="00812211" w:rsidRPr="00033E65">
        <w:t>9</w:t>
      </w:r>
      <w:r w:rsidR="009E1B33" w:rsidRPr="00033E65">
        <w:t xml:space="preserve"> indicadores de gestión</w:t>
      </w:r>
      <w:r w:rsidR="0092328A" w:rsidRPr="00033E65">
        <w:t xml:space="preserve">, correspondientes a un </w:t>
      </w:r>
      <w:r w:rsidR="00DA4ACD" w:rsidRPr="00033E65">
        <w:t>47</w:t>
      </w:r>
      <w:r w:rsidR="0092328A" w:rsidRPr="00033E65">
        <w:t xml:space="preserve">%, entre los cuales se encuentra </w:t>
      </w:r>
      <w:r w:rsidR="00386334" w:rsidRPr="00033E65">
        <w:t>plazo dictado de sentencia</w:t>
      </w:r>
      <w:r w:rsidRPr="00033E65">
        <w:t>,</w:t>
      </w:r>
      <w:r w:rsidR="005C14B9" w:rsidRPr="00033E65">
        <w:t xml:space="preserve"> plazo para resolver demanda nueva, plazo para resolver escrito fuera del despacho</w:t>
      </w:r>
      <w:r w:rsidR="0069233B" w:rsidRPr="00033E65">
        <w:t xml:space="preserve"> y dentro del despacho</w:t>
      </w:r>
      <w:r w:rsidR="005C14B9" w:rsidRPr="00033E65">
        <w:t>,</w:t>
      </w:r>
      <w:r w:rsidRPr="00033E65">
        <w:t xml:space="preserve"> </w:t>
      </w:r>
      <w:r w:rsidR="0069233B" w:rsidRPr="00033E65">
        <w:t xml:space="preserve">cantidad de expedientes pendientes de fallo, </w:t>
      </w:r>
      <w:r w:rsidRPr="00033E65">
        <w:t xml:space="preserve">, entre otros. </w:t>
      </w:r>
      <w:r w:rsidR="00E36682" w:rsidRPr="00033E65">
        <w:t xml:space="preserve">Ocho </w:t>
      </w:r>
      <w:r w:rsidRPr="00033E65">
        <w:t>(</w:t>
      </w:r>
      <w:r w:rsidR="00E36682" w:rsidRPr="00033E65">
        <w:t>8</w:t>
      </w:r>
      <w:r w:rsidR="0092328A" w:rsidRPr="00033E65">
        <w:t xml:space="preserve">) indicadores presentaron variaciones </w:t>
      </w:r>
      <w:r w:rsidRPr="00033E65">
        <w:t>positivas</w:t>
      </w:r>
      <w:r w:rsidR="0092328A" w:rsidRPr="00033E65">
        <w:t xml:space="preserve">, de los cuales se encuentran </w:t>
      </w:r>
      <w:r w:rsidR="00CC4060" w:rsidRPr="00033E65">
        <w:t xml:space="preserve">la entrada, circulante, plazo realización de audiencia, </w:t>
      </w:r>
      <w:r w:rsidR="009812C1" w:rsidRPr="00033E65">
        <w:t>cantidad de audiencias pendientes de realización, cantidad de exp</w:t>
      </w:r>
      <w:r w:rsidR="008A70C0" w:rsidRPr="00033E65">
        <w:t>e</w:t>
      </w:r>
      <w:r w:rsidR="009812C1" w:rsidRPr="00033E65">
        <w:t>dientes pasados a firmar, cantidad de sentencias dictadas, entre otros</w:t>
      </w:r>
      <w:r w:rsidR="0092328A" w:rsidRPr="00033E65">
        <w:t xml:space="preserve">. </w:t>
      </w:r>
      <w:r w:rsidR="009812C1" w:rsidRPr="00033E65">
        <w:t>No se contó con</w:t>
      </w:r>
      <w:r w:rsidR="007C26B2" w:rsidRPr="00033E65">
        <w:t xml:space="preserve"> indicadores de gestión </w:t>
      </w:r>
      <w:r w:rsidR="00554C4E" w:rsidRPr="00033E65">
        <w:t>que</w:t>
      </w:r>
      <w:r w:rsidR="00554C4E">
        <w:t xml:space="preserve"> no</w:t>
      </w:r>
      <w:r w:rsidR="009812C1" w:rsidRPr="00033E65">
        <w:t xml:space="preserve"> tuvieran</w:t>
      </w:r>
      <w:r w:rsidR="007C26B2" w:rsidRPr="00033E65">
        <w:t xml:space="preserve"> variación alguna</w:t>
      </w:r>
      <w:r w:rsidR="009812C1" w:rsidRPr="00033E65">
        <w:t>.</w:t>
      </w:r>
    </w:p>
    <w:p w14:paraId="7A166990" w14:textId="3CC949C4" w:rsidR="009E1B33" w:rsidRPr="00033E65" w:rsidRDefault="0092328A" w:rsidP="0092328A">
      <w:pPr>
        <w:pStyle w:val="Ttulo"/>
      </w:pPr>
      <w:r w:rsidRPr="00033E65">
        <w:t xml:space="preserve"> Juzgado Agrario de Limón</w:t>
      </w:r>
    </w:p>
    <w:p w14:paraId="76E16EAE" w14:textId="15AB3BD3" w:rsidR="004667AD" w:rsidRPr="00033E65" w:rsidRDefault="006113E2" w:rsidP="006113E2">
      <w:r w:rsidRPr="00033E65">
        <w:t xml:space="preserve">El Juzgado Agrario de Limón tuvo una </w:t>
      </w:r>
      <w:r w:rsidR="002701C7" w:rsidRPr="00033E65">
        <w:t>desmejora</w:t>
      </w:r>
      <w:r w:rsidR="00077EA5" w:rsidRPr="00033E65">
        <w:t xml:space="preserve"> del </w:t>
      </w:r>
      <w:r w:rsidR="001253EF" w:rsidRPr="00033E65">
        <w:t>59</w:t>
      </w:r>
      <w:r w:rsidR="00077EA5" w:rsidRPr="00033E65">
        <w:t>% en el 202</w:t>
      </w:r>
      <w:r w:rsidR="00975344" w:rsidRPr="00033E65">
        <w:t>2</w:t>
      </w:r>
      <w:r w:rsidR="00077EA5" w:rsidRPr="00033E65">
        <w:t>, en relación con el 202</w:t>
      </w:r>
      <w:r w:rsidR="00975344" w:rsidRPr="00033E65">
        <w:t>1</w:t>
      </w:r>
      <w:r w:rsidRPr="00033E65">
        <w:t xml:space="preserve">, con un total de </w:t>
      </w:r>
      <w:r w:rsidR="00A932D4" w:rsidRPr="00033E65">
        <w:t>9</w:t>
      </w:r>
      <w:r w:rsidR="00077EA5" w:rsidRPr="00033E65">
        <w:t xml:space="preserve"> </w:t>
      </w:r>
      <w:r w:rsidRPr="00033E65">
        <w:t xml:space="preserve">indicadores de gestión </w:t>
      </w:r>
      <w:r w:rsidR="00A932D4" w:rsidRPr="00033E65">
        <w:t>des</w:t>
      </w:r>
      <w:r w:rsidRPr="00033E65">
        <w:t xml:space="preserve">mejorados, entre ellos se encuentran </w:t>
      </w:r>
      <w:r w:rsidR="00726753" w:rsidRPr="00033E65">
        <w:t xml:space="preserve">casos </w:t>
      </w:r>
      <w:r w:rsidR="005C4FF1" w:rsidRPr="00033E65">
        <w:t xml:space="preserve">entrados, circulante, plazo dictado de sentencia, para realización de audiencia, </w:t>
      </w:r>
      <w:r w:rsidR="0090540F" w:rsidRPr="00033E65">
        <w:t>cantidad de audiencias pendientes, cantidad de expedientes pendientes de fallo, cantidad de escritos pendientes de resolver, entre otros.</w:t>
      </w:r>
      <w:r w:rsidRPr="00033E65">
        <w:t xml:space="preserve"> </w:t>
      </w:r>
      <w:r w:rsidR="00A932D4" w:rsidRPr="00033E65">
        <w:t xml:space="preserve">Siete </w:t>
      </w:r>
      <w:r w:rsidR="00FD798E" w:rsidRPr="00033E65">
        <w:t>(</w:t>
      </w:r>
      <w:r w:rsidR="00A932D4" w:rsidRPr="00033E65">
        <w:t>7</w:t>
      </w:r>
      <w:r w:rsidR="00FD798E" w:rsidRPr="00033E65">
        <w:t xml:space="preserve">) indicadores </w:t>
      </w:r>
      <w:r w:rsidRPr="00033E65">
        <w:t>mejoraron de acuerdo con los años analizados, entre los cuales se encuentran</w:t>
      </w:r>
      <w:r w:rsidR="008A70C0" w:rsidRPr="00033E65">
        <w:t xml:space="preserve"> </w:t>
      </w:r>
      <w:r w:rsidR="00A932D4" w:rsidRPr="00033E65">
        <w:t>terminados, plazo para resolver escritos fuera del despacho y dentro del des</w:t>
      </w:r>
      <w:r w:rsidR="008A70C0" w:rsidRPr="00033E65">
        <w:t>pa</w:t>
      </w:r>
      <w:r w:rsidR="00A932D4" w:rsidRPr="00033E65">
        <w:t>cho, plazo para espera de firma de resoluciones, cantidad de expedientes pasados a firmar, entre otros</w:t>
      </w:r>
      <w:r w:rsidR="00FD798E" w:rsidRPr="00033E65">
        <w:t xml:space="preserve">.  En </w:t>
      </w:r>
      <w:r w:rsidR="00684661" w:rsidRPr="00033E65">
        <w:t>un</w:t>
      </w:r>
      <w:r w:rsidR="00FD798E" w:rsidRPr="00033E65">
        <w:t xml:space="preserve"> (</w:t>
      </w:r>
      <w:r w:rsidR="00684661" w:rsidRPr="00033E65">
        <w:t>1</w:t>
      </w:r>
      <w:r w:rsidR="00FD798E" w:rsidRPr="00033E65">
        <w:t>) indicador de gestión no present</w:t>
      </w:r>
      <w:r w:rsidR="00684661" w:rsidRPr="00033E65">
        <w:t>ó</w:t>
      </w:r>
      <w:r w:rsidR="00FD798E" w:rsidRPr="00033E65">
        <w:t xml:space="preserve"> variación alguna, tal como es el caso </w:t>
      </w:r>
      <w:r w:rsidR="00862F6A" w:rsidRPr="00033E65">
        <w:t>de la cantidad de expedientes pendientes de firma.</w:t>
      </w:r>
    </w:p>
    <w:p w14:paraId="7C7A02BE" w14:textId="7813BD0F" w:rsidR="006113E2" w:rsidRPr="00033E65" w:rsidRDefault="006113E2" w:rsidP="006113E2">
      <w:pPr>
        <w:pStyle w:val="Ttulo"/>
      </w:pPr>
      <w:r w:rsidRPr="00033E65">
        <w:t xml:space="preserve">Juzgado Agrario de Pérez Zeledón </w:t>
      </w:r>
    </w:p>
    <w:p w14:paraId="1D642D1A" w14:textId="618064E3" w:rsidR="004667AD" w:rsidRPr="00033E65" w:rsidRDefault="00BB35DA" w:rsidP="006113E2">
      <w:r w:rsidRPr="00033E65">
        <w:t>E</w:t>
      </w:r>
      <w:r w:rsidR="00ED0D38" w:rsidRPr="00033E65">
        <w:t>n comparación al año que le antecede,</w:t>
      </w:r>
      <w:r w:rsidR="008A70C0" w:rsidRPr="00033E65">
        <w:t xml:space="preserve"> </w:t>
      </w:r>
      <w:r w:rsidRPr="00033E65">
        <w:t>obtuvo un</w:t>
      </w:r>
      <w:r w:rsidR="00ED0D38" w:rsidRPr="00033E65">
        <w:t xml:space="preserve"> porcentaje del </w:t>
      </w:r>
      <w:r w:rsidR="00B84101" w:rsidRPr="00033E65">
        <w:t>76</w:t>
      </w:r>
      <w:r w:rsidR="006113E2" w:rsidRPr="00033E65">
        <w:t xml:space="preserve">%, </w:t>
      </w:r>
      <w:r w:rsidR="00ED0D38" w:rsidRPr="00033E65">
        <w:t xml:space="preserve">con </w:t>
      </w:r>
      <w:r w:rsidR="001F3D27" w:rsidRPr="00033E65">
        <w:t>9</w:t>
      </w:r>
      <w:r w:rsidR="00132021" w:rsidRPr="00033E65">
        <w:t xml:space="preserve"> indicadores, </w:t>
      </w:r>
      <w:r w:rsidR="006113E2" w:rsidRPr="00033E65">
        <w:t xml:space="preserve">dentro de los cuales se encuentran los indicadores de los casos, circulante, </w:t>
      </w:r>
      <w:r w:rsidR="001F3D27" w:rsidRPr="00033E65">
        <w:t xml:space="preserve">plazo dictado de sentencia, </w:t>
      </w:r>
      <w:r w:rsidR="006113E2" w:rsidRPr="00033E65">
        <w:t xml:space="preserve">plazo </w:t>
      </w:r>
      <w:r w:rsidR="00ED0D38" w:rsidRPr="00033E65">
        <w:t xml:space="preserve">de realización </w:t>
      </w:r>
      <w:r w:rsidR="00572E64" w:rsidRPr="00033E65">
        <w:t>de la audiencia,</w:t>
      </w:r>
      <w:r w:rsidR="006113E2" w:rsidRPr="00033E65">
        <w:t xml:space="preserve"> plazo para resolver escritos</w:t>
      </w:r>
      <w:r w:rsidR="00F543FD" w:rsidRPr="00033E65">
        <w:t xml:space="preserve"> y demandas nuevas</w:t>
      </w:r>
      <w:r w:rsidR="00132021" w:rsidRPr="00033E65">
        <w:t xml:space="preserve">, entre otros. </w:t>
      </w:r>
      <w:r w:rsidR="003234F9" w:rsidRPr="00033E65">
        <w:t>En 4 indicadores se notó una mejoría entre los que se encuentran el plazo de espera para firma de resoluciones, expedientes pasados a firmar</w:t>
      </w:r>
      <w:r w:rsidR="00DE0962" w:rsidRPr="00033E65">
        <w:t xml:space="preserve"> y cantidad de sentencias dictadas. Cuatro indicadores no presentaron variación, los relacionados a plazo para resolver escrito fuera del despacho, cantidad de demandas nuevas pendientes de resolver, entrada y terminados.</w:t>
      </w:r>
    </w:p>
    <w:p w14:paraId="049B3115" w14:textId="0AAB9CD8" w:rsidR="000007A7" w:rsidRPr="00033E65" w:rsidRDefault="000007A7" w:rsidP="000007A7">
      <w:pPr>
        <w:pStyle w:val="Ttulo"/>
      </w:pPr>
      <w:r w:rsidRPr="00033E65">
        <w:t>Juzgado Agrario de San Carlos</w:t>
      </w:r>
    </w:p>
    <w:p w14:paraId="031217A0" w14:textId="2FD38ACB" w:rsidR="004667AD" w:rsidRPr="00033E65" w:rsidRDefault="009A49A1" w:rsidP="000007A7">
      <w:r w:rsidRPr="00033E65">
        <w:t xml:space="preserve">Cuenta con </w:t>
      </w:r>
      <w:r w:rsidR="0000678E" w:rsidRPr="00033E65">
        <w:t xml:space="preserve">ocho </w:t>
      </w:r>
      <w:r w:rsidRPr="00033E65">
        <w:t>(</w:t>
      </w:r>
      <w:r w:rsidR="0000678E" w:rsidRPr="00033E65">
        <w:t>8</w:t>
      </w:r>
      <w:r w:rsidR="00A13140" w:rsidRPr="00033E65">
        <w:t xml:space="preserve">) </w:t>
      </w:r>
      <w:r w:rsidR="004D3DA0" w:rsidRPr="00033E65">
        <w:t>indicadores mejorados en el 202</w:t>
      </w:r>
      <w:r w:rsidR="00D7122E" w:rsidRPr="00033E65">
        <w:t>2</w:t>
      </w:r>
      <w:r w:rsidR="00A13140" w:rsidRPr="00033E65">
        <w:t xml:space="preserve"> en relación con el 20</w:t>
      </w:r>
      <w:r w:rsidR="004D3DA0" w:rsidRPr="00033E65">
        <w:t>2</w:t>
      </w:r>
      <w:r w:rsidR="00D7122E" w:rsidRPr="00033E65">
        <w:t>1</w:t>
      </w:r>
      <w:r w:rsidR="00A13140" w:rsidRPr="00033E65">
        <w:t xml:space="preserve">, dentro de los cuales se encuentran </w:t>
      </w:r>
      <w:r w:rsidR="00D7122E" w:rsidRPr="00033E65">
        <w:t xml:space="preserve">plazo para realización de audiencia, </w:t>
      </w:r>
      <w:r w:rsidR="006E6A8E" w:rsidRPr="00033E65">
        <w:t xml:space="preserve">plazo para resolver demandas nuevas, </w:t>
      </w:r>
      <w:r w:rsidRPr="00033E65">
        <w:t>plazo para resolver escrito dentro del despacho,</w:t>
      </w:r>
      <w:r w:rsidR="006E6A8E" w:rsidRPr="00033E65">
        <w:t xml:space="preserve"> cantidad de audiencias pendientes de realización</w:t>
      </w:r>
      <w:r w:rsidR="00ED6D8B" w:rsidRPr="00033E65">
        <w:t>,</w:t>
      </w:r>
      <w:r w:rsidR="008A70C0" w:rsidRPr="00033E65">
        <w:t xml:space="preserve"> </w:t>
      </w:r>
      <w:r w:rsidR="00A13140" w:rsidRPr="00033E65">
        <w:t>entre otros, lo</w:t>
      </w:r>
      <w:r w:rsidRPr="00033E65">
        <w:t xml:space="preserve"> que hace indicar que posee un </w:t>
      </w:r>
      <w:r w:rsidR="00ED6D8B" w:rsidRPr="00033E65">
        <w:t>47</w:t>
      </w:r>
      <w:r w:rsidR="00A13140" w:rsidRPr="00033E65">
        <w:t xml:space="preserve">% de porcentaje de mejora. </w:t>
      </w:r>
      <w:r w:rsidRPr="00033E65">
        <w:t xml:space="preserve">En </w:t>
      </w:r>
      <w:r w:rsidR="00ED6D8B" w:rsidRPr="00033E65">
        <w:t xml:space="preserve">ocho </w:t>
      </w:r>
      <w:r w:rsidRPr="00033E65">
        <w:t>(</w:t>
      </w:r>
      <w:r w:rsidR="00ED6D8B" w:rsidRPr="00033E65">
        <w:t>8</w:t>
      </w:r>
      <w:r w:rsidRPr="00033E65">
        <w:t>)</w:t>
      </w:r>
      <w:r w:rsidR="00E81280" w:rsidRPr="00033E65">
        <w:t xml:space="preserve"> indicadores presentaron valores negativos en referencia al año que le antecede, dentro de los cuales se encuentra </w:t>
      </w:r>
      <w:r w:rsidRPr="00033E65">
        <w:t xml:space="preserve">casos terminados, circulante, </w:t>
      </w:r>
      <w:r w:rsidR="00E81280" w:rsidRPr="00033E65">
        <w:t>el plaz</w:t>
      </w:r>
      <w:r w:rsidRPr="00033E65">
        <w:t>o para el dictado de sentencia</w:t>
      </w:r>
      <w:r w:rsidR="00E81280" w:rsidRPr="00033E65">
        <w:t xml:space="preserve">, </w:t>
      </w:r>
      <w:r w:rsidR="007D6875" w:rsidRPr="00033E65">
        <w:t>cantidad de expedientes pendientes de fallo</w:t>
      </w:r>
      <w:r w:rsidR="006643F9" w:rsidRPr="00033E65">
        <w:t>, cantidad de expedientes firmados</w:t>
      </w:r>
      <w:r w:rsidR="00E81280" w:rsidRPr="00033E65">
        <w:t xml:space="preserve">, entre otros. </w:t>
      </w:r>
      <w:r w:rsidR="000F28A0" w:rsidRPr="00033E65">
        <w:t xml:space="preserve">En </w:t>
      </w:r>
      <w:r w:rsidR="006643F9" w:rsidRPr="00033E65">
        <w:t xml:space="preserve">un </w:t>
      </w:r>
      <w:r w:rsidR="000F28A0" w:rsidRPr="00033E65">
        <w:t>(</w:t>
      </w:r>
      <w:r w:rsidR="006643F9" w:rsidRPr="00033E65">
        <w:t>1</w:t>
      </w:r>
      <w:r w:rsidR="000F28A0" w:rsidRPr="00033E65">
        <w:t xml:space="preserve">) indicador de gestión no presentaron variación alguna, tal como es el caso del plazo </w:t>
      </w:r>
      <w:r w:rsidR="006643F9" w:rsidRPr="00033E65">
        <w:t>de espera para firma de resoluciones</w:t>
      </w:r>
      <w:r w:rsidR="000F28A0" w:rsidRPr="00033E65">
        <w:t>.</w:t>
      </w:r>
    </w:p>
    <w:p w14:paraId="321268E4" w14:textId="4033F323" w:rsidR="00E81280" w:rsidRPr="00033E65" w:rsidRDefault="00E81280" w:rsidP="00E81280">
      <w:pPr>
        <w:pStyle w:val="Ttulo"/>
      </w:pPr>
      <w:r w:rsidRPr="00033E65">
        <w:t>Juzgado Agrario de Santa Cruz</w:t>
      </w:r>
    </w:p>
    <w:p w14:paraId="46D64EED" w14:textId="0CC803B6" w:rsidR="00E220F9" w:rsidRPr="00033E65" w:rsidRDefault="00E81280" w:rsidP="009107A1">
      <w:r w:rsidRPr="00033E65">
        <w:t>El Desp</w:t>
      </w:r>
      <w:r w:rsidR="009107A1" w:rsidRPr="00033E65">
        <w:t xml:space="preserve">acho presenta una mejoría del </w:t>
      </w:r>
      <w:r w:rsidR="00792817" w:rsidRPr="00033E65">
        <w:t>53</w:t>
      </w:r>
      <w:r w:rsidRPr="00033E65">
        <w:t xml:space="preserve">%, lo hace indicar que mejoraron </w:t>
      </w:r>
      <w:r w:rsidR="00792817" w:rsidRPr="00033E65">
        <w:t>9</w:t>
      </w:r>
      <w:r w:rsidRPr="00033E65">
        <w:t xml:space="preserve"> indicadores</w:t>
      </w:r>
      <w:r w:rsidR="009107A1" w:rsidRPr="00033E65">
        <w:t xml:space="preserve"> de gestión</w:t>
      </w:r>
      <w:r w:rsidR="008269BF" w:rsidRPr="00033E65">
        <w:t xml:space="preserve"> tales como la entrada, </w:t>
      </w:r>
      <w:r w:rsidR="00D1782B" w:rsidRPr="00033E65">
        <w:t xml:space="preserve">el circulante, el plazo para resolver demanda nueva, plazo para resolver escrito fuera del despacho, </w:t>
      </w:r>
      <w:r w:rsidR="00E870E7" w:rsidRPr="00033E65">
        <w:t>expedientes pasados a firmar, entre otros.</w:t>
      </w:r>
      <w:r w:rsidR="009107A1" w:rsidRPr="00033E65">
        <w:t xml:space="preserve">  </w:t>
      </w:r>
      <w:r w:rsidR="00E870E7" w:rsidRPr="00033E65">
        <w:t>D</w:t>
      </w:r>
      <w:r w:rsidR="009107A1" w:rsidRPr="00033E65">
        <w:t xml:space="preserve">esmejoraron en </w:t>
      </w:r>
      <w:r w:rsidR="00792817" w:rsidRPr="00033E65">
        <w:t>5</w:t>
      </w:r>
      <w:r w:rsidRPr="00033E65">
        <w:t xml:space="preserve"> de ellos, dentro de los cuales se encuentran </w:t>
      </w:r>
      <w:r w:rsidR="009107A1" w:rsidRPr="00033E65">
        <w:t xml:space="preserve">casos terminados, </w:t>
      </w:r>
      <w:r w:rsidRPr="00033E65">
        <w:t xml:space="preserve">, </w:t>
      </w:r>
      <w:r w:rsidR="009107A1" w:rsidRPr="00033E65">
        <w:t xml:space="preserve">plazo de dictado sentencia, </w:t>
      </w:r>
      <w:r w:rsidR="00A508B3" w:rsidRPr="00033E65">
        <w:t xml:space="preserve">plazo para resolver escritos dentro del despacho, cantidad de audiencias pendientes de realización, cantidad de expedientes pendientes de fallo </w:t>
      </w:r>
      <w:r w:rsidR="009107A1" w:rsidRPr="00033E65">
        <w:t>entre otros.</w:t>
      </w:r>
    </w:p>
    <w:p w14:paraId="68BF6A08" w14:textId="1253B1AA" w:rsidR="00554C4E" w:rsidRPr="00033E65" w:rsidRDefault="00882A11" w:rsidP="00554C4E">
      <w:r w:rsidRPr="00033E65">
        <w:t xml:space="preserve">Los indicadores que no presentaron variación </w:t>
      </w:r>
      <w:r w:rsidR="008A70C0" w:rsidRPr="00033E65">
        <w:t>corresponden</w:t>
      </w:r>
      <w:r w:rsidRPr="00033E65">
        <w:t xml:space="preserve"> a 3, relacionados con cantidad de expedientes pendientes de firma, cantidad de demandas nuevas pendientes de resolver y plazo para realización de audiencia.</w:t>
      </w:r>
    </w:p>
    <w:p w14:paraId="3C80A6AB" w14:textId="391B95DE" w:rsidR="00E81280" w:rsidRPr="00033E65" w:rsidRDefault="00E81280" w:rsidP="00E81280">
      <w:pPr>
        <w:pStyle w:val="Ttulo"/>
      </w:pPr>
      <w:r w:rsidRPr="00033E65">
        <w:t>Juzgado Agrario de Goicoechea</w:t>
      </w:r>
    </w:p>
    <w:p w14:paraId="1E3E2FC0" w14:textId="52AFAC0E" w:rsidR="00E81280" w:rsidRPr="00033E65" w:rsidRDefault="00E81280" w:rsidP="00E81280">
      <w:r w:rsidRPr="00033E65">
        <w:t>Esta oficina presenta</w:t>
      </w:r>
      <w:r w:rsidR="00495A0D" w:rsidRPr="00033E65">
        <w:t xml:space="preserve"> un porcentaje de mejoría del 47</w:t>
      </w:r>
      <w:r w:rsidRPr="00033E65">
        <w:t>% en los indicadores de gestión, lo que hac</w:t>
      </w:r>
      <w:r w:rsidR="00495A0D" w:rsidRPr="00033E65">
        <w:t>e indicar que mejoraron en ocho (8</w:t>
      </w:r>
      <w:r w:rsidRPr="00033E65">
        <w:t xml:space="preserve">) indicadores, entre ellos se encuentran plazo </w:t>
      </w:r>
      <w:r w:rsidR="002511DA" w:rsidRPr="00033E65">
        <w:t xml:space="preserve">para resolver escritos </w:t>
      </w:r>
      <w:r w:rsidR="00A40B79" w:rsidRPr="00033E65">
        <w:t>dentro del despacho,  plazo de espera para firma de resoluciones, cantidad de sentencias dictadas</w:t>
      </w:r>
      <w:r w:rsidR="0085089C" w:rsidRPr="00033E65">
        <w:t>, cantidad de expedientes firmados</w:t>
      </w:r>
      <w:r w:rsidRPr="00033E65">
        <w:t>,</w:t>
      </w:r>
      <w:r w:rsidR="00495A0D" w:rsidRPr="00033E65">
        <w:t xml:space="preserve"> </w:t>
      </w:r>
      <w:r w:rsidRPr="00033E65">
        <w:t xml:space="preserve">entre otros. </w:t>
      </w:r>
      <w:r w:rsidR="000C4868" w:rsidRPr="00033E65">
        <w:t xml:space="preserve">Desmejoraron en </w:t>
      </w:r>
      <w:r w:rsidR="0085089C" w:rsidRPr="00033E65">
        <w:t>siete</w:t>
      </w:r>
      <w:r w:rsidR="000C4868" w:rsidRPr="00033E65">
        <w:t xml:space="preserve"> (</w:t>
      </w:r>
      <w:r w:rsidR="0085089C" w:rsidRPr="00033E65">
        <w:t>7</w:t>
      </w:r>
      <w:r w:rsidR="000C4868" w:rsidRPr="00033E65">
        <w:t xml:space="preserve">) indicadores de gestión, de los cuales se encuentran </w:t>
      </w:r>
      <w:r w:rsidR="00495A0D" w:rsidRPr="00033E65">
        <w:t>casos terminados, circulante</w:t>
      </w:r>
      <w:r w:rsidR="000C4868" w:rsidRPr="00033E65">
        <w:t xml:space="preserve">, </w:t>
      </w:r>
      <w:r w:rsidR="00CA5940" w:rsidRPr="00033E65">
        <w:t xml:space="preserve">plazo dictado de </w:t>
      </w:r>
      <w:r w:rsidR="00024139" w:rsidRPr="00033E65">
        <w:t xml:space="preserve">sentencia, plazo realización de audiencias, </w:t>
      </w:r>
      <w:r w:rsidR="000C4868" w:rsidRPr="00033E65">
        <w:t xml:space="preserve">entre otros. </w:t>
      </w:r>
      <w:r w:rsidR="00B81CF3" w:rsidRPr="00033E65">
        <w:t>Dos</w:t>
      </w:r>
      <w:r w:rsidR="00EC1C13" w:rsidRPr="00033E65">
        <w:t xml:space="preserve"> (</w:t>
      </w:r>
      <w:r w:rsidR="00B81CF3" w:rsidRPr="00033E65">
        <w:t>2</w:t>
      </w:r>
      <w:r w:rsidR="000C4868" w:rsidRPr="00033E65">
        <w:t>) indicadores no presentaron variaciones, tal es el caso del plazo para resolver demandas nuevas, plazo para resolver escritos</w:t>
      </w:r>
      <w:r w:rsidR="00EC1C13" w:rsidRPr="00033E65">
        <w:t xml:space="preserve"> fuera del despacho</w:t>
      </w:r>
      <w:r w:rsidR="0025548B" w:rsidRPr="00033E65">
        <w:t>.</w:t>
      </w:r>
    </w:p>
    <w:p w14:paraId="6843C5E9" w14:textId="7D38AAC2" w:rsidR="004667AD" w:rsidRPr="00033E65" w:rsidRDefault="004667AD" w:rsidP="00E81280"/>
    <w:p w14:paraId="2C506126" w14:textId="4BCE2B48" w:rsidR="008C3988" w:rsidRPr="00033E65" w:rsidRDefault="008C3988" w:rsidP="008C3988">
      <w:pPr>
        <w:pStyle w:val="Ttulo"/>
      </w:pPr>
      <w:r w:rsidRPr="00033E65">
        <w:t>Juzgado Agrario de Pococí</w:t>
      </w:r>
    </w:p>
    <w:p w14:paraId="13A29B28" w14:textId="19198786" w:rsidR="007F195F" w:rsidRPr="00033E65" w:rsidRDefault="008C3988" w:rsidP="004E475A">
      <w:r w:rsidRPr="00033E65">
        <w:t>El Juzgado Agrario de Poco</w:t>
      </w:r>
      <w:r w:rsidR="004C3082" w:rsidRPr="00033E65">
        <w:t xml:space="preserve">cí presenta una mejoría de un </w:t>
      </w:r>
      <w:r w:rsidR="00FC2F7F" w:rsidRPr="00033E65">
        <w:t>82</w:t>
      </w:r>
      <w:r w:rsidRPr="00033E65">
        <w:t>%, lo que</w:t>
      </w:r>
      <w:r w:rsidR="004C3082" w:rsidRPr="00033E65">
        <w:t xml:space="preserve"> hace indicar que mejoró en </w:t>
      </w:r>
      <w:r w:rsidR="00FC2F7F" w:rsidRPr="00033E65">
        <w:t>14</w:t>
      </w:r>
      <w:r w:rsidRPr="00033E65">
        <w:t xml:space="preserve">) indicadores de gestión, de los cuales se encuentran </w:t>
      </w:r>
      <w:r w:rsidR="004C3082" w:rsidRPr="00033E65">
        <w:t>casos terminados</w:t>
      </w:r>
      <w:r w:rsidRPr="00033E65">
        <w:t xml:space="preserve">, </w:t>
      </w:r>
      <w:r w:rsidR="00270500" w:rsidRPr="00033E65">
        <w:t>circulante, plazo realización de audiencia, plazo resolver demanda nuevas</w:t>
      </w:r>
      <w:r w:rsidR="005D41D9" w:rsidRPr="00033E65">
        <w:t>, plazo resolver escritos fuera del despacho y dentro del despacho,</w:t>
      </w:r>
      <w:r w:rsidR="00E00C2C" w:rsidRPr="00033E65">
        <w:t xml:space="preserve"> plazo espera firma de resoluciones, </w:t>
      </w:r>
      <w:r w:rsidR="0019573C" w:rsidRPr="00033E65">
        <w:t>cantidad de audiencias pendientes de realización,</w:t>
      </w:r>
      <w:r w:rsidR="008A70C0" w:rsidRPr="00033E65">
        <w:t xml:space="preserve"> </w:t>
      </w:r>
      <w:r w:rsidR="0019573C" w:rsidRPr="00033E65">
        <w:t>cantidad de escritos pendientes de resolver, entre otros</w:t>
      </w:r>
      <w:r w:rsidR="00457DCF" w:rsidRPr="00033E65">
        <w:t xml:space="preserve"> </w:t>
      </w:r>
      <w:r w:rsidR="004C3082" w:rsidRPr="00033E65">
        <w:t>expedientes pasados a firmar</w:t>
      </w:r>
      <w:r w:rsidRPr="00033E65">
        <w:t xml:space="preserve">, entre otros. </w:t>
      </w:r>
      <w:r w:rsidR="008333B4" w:rsidRPr="00033E65">
        <w:t xml:space="preserve"> (</w:t>
      </w:r>
      <w:r w:rsidR="00A93F5D" w:rsidRPr="00033E65">
        <w:t>3</w:t>
      </w:r>
      <w:r w:rsidRPr="00033E65">
        <w:t xml:space="preserve">) indicadores cuenta con una </w:t>
      </w:r>
      <w:r w:rsidR="008333B4" w:rsidRPr="00033E65">
        <w:t>desmejora de acuerdo con el 202</w:t>
      </w:r>
      <w:r w:rsidR="00AA6705" w:rsidRPr="00033E65">
        <w:t>1</w:t>
      </w:r>
      <w:r w:rsidRPr="00033E65">
        <w:t>, dentro de los cuales se encuentran</w:t>
      </w:r>
      <w:r w:rsidR="008333B4" w:rsidRPr="00033E65">
        <w:t xml:space="preserve"> </w:t>
      </w:r>
      <w:r w:rsidR="00C90A39" w:rsidRPr="00033E65">
        <w:t>plazo para dictado de sen</w:t>
      </w:r>
      <w:r w:rsidR="00FB67F4" w:rsidRPr="00033E65">
        <w:t>tencia</w:t>
      </w:r>
      <w:r w:rsidR="008333B4" w:rsidRPr="00033E65">
        <w:t xml:space="preserve">, </w:t>
      </w:r>
      <w:r w:rsidR="00A54244" w:rsidRPr="00033E65">
        <w:t xml:space="preserve">cantidad de expedientes pendientes de fallo, </w:t>
      </w:r>
      <w:r w:rsidR="00FC2834" w:rsidRPr="00033E65">
        <w:t>y los entrados</w:t>
      </w:r>
      <w:r w:rsidRPr="00033E65">
        <w:t xml:space="preserve">. </w:t>
      </w:r>
      <w:r w:rsidR="009E159E" w:rsidRPr="00033E65">
        <w:t>Asimismo</w:t>
      </w:r>
      <w:r w:rsidR="00457DCF" w:rsidRPr="00033E65">
        <w:t>,</w:t>
      </w:r>
      <w:r w:rsidR="009E159E" w:rsidRPr="00033E65">
        <w:t xml:space="preserve"> no se contó con indicadores que mantuvieran el mismo resultado que el 2021.</w:t>
      </w:r>
    </w:p>
    <w:p w14:paraId="37A0DAD1" w14:textId="77777777" w:rsidR="001439D6" w:rsidRPr="00033E65" w:rsidRDefault="001439D6" w:rsidP="004E475A"/>
    <w:p w14:paraId="1FADC303" w14:textId="76F79882" w:rsidR="008C3988" w:rsidRPr="00033E65" w:rsidRDefault="00613321" w:rsidP="00613321">
      <w:pPr>
        <w:pStyle w:val="Ttulo"/>
      </w:pPr>
      <w:r w:rsidRPr="00033E65">
        <w:t>Juzgado Agrario de Corredores</w:t>
      </w:r>
    </w:p>
    <w:p w14:paraId="7297A45A" w14:textId="71834DC7" w:rsidR="00C1214F" w:rsidRPr="00033E65" w:rsidRDefault="007E4B11" w:rsidP="00613321">
      <w:r w:rsidRPr="00033E65">
        <w:t xml:space="preserve">Presenta una mejoría del </w:t>
      </w:r>
      <w:r w:rsidR="00E249AA" w:rsidRPr="00033E65">
        <w:t>24</w:t>
      </w:r>
      <w:r w:rsidRPr="00033E65">
        <w:t xml:space="preserve">%, teniendo como resultado </w:t>
      </w:r>
      <w:r w:rsidR="00E249AA" w:rsidRPr="00033E65">
        <w:t>cuatro</w:t>
      </w:r>
      <w:r w:rsidRPr="00033E65">
        <w:t xml:space="preserve"> (</w:t>
      </w:r>
      <w:r w:rsidR="00E249AA" w:rsidRPr="00033E65">
        <w:t>4</w:t>
      </w:r>
      <w:r w:rsidR="00613321" w:rsidRPr="00033E65">
        <w:t>) indicadores mejorados en relación que el año que le antecede, dentro de los cuales se encuentran</w:t>
      </w:r>
      <w:r w:rsidR="005D0791" w:rsidRPr="00033E65">
        <w:t xml:space="preserve"> los terminados, cantidad de sentencias dictadas, cantidad de expedientes pasados a firmar, </w:t>
      </w:r>
      <w:r w:rsidR="0039321F" w:rsidRPr="00033E65">
        <w:t>entre otros</w:t>
      </w:r>
      <w:r w:rsidR="008C710A" w:rsidRPr="00033E65">
        <w:t>.</w:t>
      </w:r>
      <w:r w:rsidR="00B7693C" w:rsidRPr="00033E65">
        <w:t xml:space="preserve"> </w:t>
      </w:r>
      <w:r w:rsidR="00613321" w:rsidRPr="00033E65">
        <w:t xml:space="preserve">Caso contrario se detectaron </w:t>
      </w:r>
      <w:r w:rsidR="00767319" w:rsidRPr="00033E65">
        <w:t>11</w:t>
      </w:r>
      <w:r w:rsidR="00613321" w:rsidRPr="00033E65">
        <w:t xml:space="preserve"> indicad</w:t>
      </w:r>
      <w:r w:rsidR="00DD3FD2" w:rsidRPr="00033E65">
        <w:t>ores que desmejoraron en el 202</w:t>
      </w:r>
      <w:r w:rsidR="00767319" w:rsidRPr="00033E65">
        <w:t>2</w:t>
      </w:r>
      <w:r w:rsidR="00613321" w:rsidRPr="00033E65">
        <w:t xml:space="preserve">, </w:t>
      </w:r>
      <w:r w:rsidR="00767319" w:rsidRPr="00033E65">
        <w:t>entre los que más impactan al despacho se indican</w:t>
      </w:r>
      <w:r w:rsidR="006C636C" w:rsidRPr="00033E65">
        <w:t xml:space="preserve">, el circulante, </w:t>
      </w:r>
      <w:r w:rsidR="00ED1A67" w:rsidRPr="00033E65">
        <w:t xml:space="preserve">plazo de realización de audiencias, plazo para resolver  escritos, </w:t>
      </w:r>
      <w:r w:rsidR="00B617A2" w:rsidRPr="00033E65">
        <w:t xml:space="preserve">cantidad de expedientes pendientes de fallo, cantidad de escritos pendientes de fallo, entre otros . Asimismo se tienen 2 indicadores que no variaron sus resultados con respecto al 2021, tales como cantidad de expedientes pendientes de firma </w:t>
      </w:r>
      <w:r w:rsidR="00CF3FFB" w:rsidRPr="00033E65">
        <w:t>y plazo de espera para firma de resoluciones.</w:t>
      </w:r>
    </w:p>
    <w:p w14:paraId="4702C2E0" w14:textId="77777777" w:rsidR="00773716" w:rsidRPr="00033E65" w:rsidRDefault="00773716" w:rsidP="00613321"/>
    <w:p w14:paraId="1A6FD6D6" w14:textId="7371EF78" w:rsidR="00613321" w:rsidRPr="00033E65" w:rsidRDefault="00613321" w:rsidP="00613321">
      <w:pPr>
        <w:pStyle w:val="Ttulo"/>
      </w:pPr>
      <w:r w:rsidRPr="00033E65">
        <w:t>Juzgado Agrario de San Ramón</w:t>
      </w:r>
    </w:p>
    <w:p w14:paraId="4D0E2929" w14:textId="055CE42C" w:rsidR="0042750B" w:rsidRPr="00033E65" w:rsidRDefault="00613321" w:rsidP="00613321">
      <w:r w:rsidRPr="00033E65">
        <w:t>Este Despacho presenta un porcentaje de mejora</w:t>
      </w:r>
      <w:r w:rsidR="003F6D74" w:rsidRPr="00033E65">
        <w:t xml:space="preserve"> en el 202</w:t>
      </w:r>
      <w:r w:rsidR="00714ACB" w:rsidRPr="00033E65">
        <w:t>2</w:t>
      </w:r>
      <w:r w:rsidRPr="00033E65">
        <w:t xml:space="preserve"> de acuerdo con el </w:t>
      </w:r>
      <w:r w:rsidR="003F6D74" w:rsidRPr="00033E65">
        <w:t>202</w:t>
      </w:r>
      <w:r w:rsidR="00714ACB" w:rsidRPr="00033E65">
        <w:t>1</w:t>
      </w:r>
      <w:r w:rsidR="003F6D74" w:rsidRPr="00033E65">
        <w:t xml:space="preserve"> del </w:t>
      </w:r>
      <w:r w:rsidR="00714ACB" w:rsidRPr="00033E65">
        <w:t>53</w:t>
      </w:r>
      <w:r w:rsidR="0042750B" w:rsidRPr="00033E65">
        <w:t xml:space="preserve">%, lo que </w:t>
      </w:r>
      <w:r w:rsidR="003F6D74" w:rsidRPr="00033E65">
        <w:t xml:space="preserve">hace indicar que mejoraron en </w:t>
      </w:r>
      <w:r w:rsidR="00714ACB" w:rsidRPr="00033E65">
        <w:t>nueve</w:t>
      </w:r>
      <w:r w:rsidR="003F6D74" w:rsidRPr="00033E65">
        <w:t xml:space="preserve"> (</w:t>
      </w:r>
      <w:r w:rsidR="00714ACB" w:rsidRPr="00033E65">
        <w:t>9)</w:t>
      </w:r>
      <w:r w:rsidR="0042750B" w:rsidRPr="00033E65">
        <w:t xml:space="preserve"> indicadores dentro de los cuales se encuentran </w:t>
      </w:r>
      <w:r w:rsidR="003F6D74" w:rsidRPr="00033E65">
        <w:t xml:space="preserve">terminados, circulante, </w:t>
      </w:r>
      <w:r w:rsidR="00714ACB" w:rsidRPr="00033E65">
        <w:t>plazo espera de firma de resoluciones,</w:t>
      </w:r>
      <w:r w:rsidR="00251EF9" w:rsidRPr="00033E65">
        <w:t xml:space="preserve"> </w:t>
      </w:r>
      <w:r w:rsidR="00647B0D" w:rsidRPr="00033E65">
        <w:t xml:space="preserve">cantidad de escritos pendientes de resolver, cantidad de demandas pendientes de resolver, expedientes </w:t>
      </w:r>
      <w:r w:rsidR="00417831" w:rsidRPr="00033E65">
        <w:t>pasados a firmar, cantidad de sentencias dictadas,</w:t>
      </w:r>
      <w:r w:rsidR="008A70C0" w:rsidRPr="00033E65">
        <w:t xml:space="preserve"> </w:t>
      </w:r>
      <w:r w:rsidR="0042750B" w:rsidRPr="00033E65">
        <w:t xml:space="preserve">entre otros. Caso contrario se encuentran </w:t>
      </w:r>
      <w:r w:rsidR="00417831" w:rsidRPr="00033E65">
        <w:t xml:space="preserve">ocho </w:t>
      </w:r>
      <w:r w:rsidR="0042750B" w:rsidRPr="00033E65">
        <w:t>(</w:t>
      </w:r>
      <w:r w:rsidR="00417831" w:rsidRPr="00033E65">
        <w:t>8</w:t>
      </w:r>
      <w:r w:rsidR="0042750B" w:rsidRPr="00033E65">
        <w:t xml:space="preserve">) indicadores que desmejoraron, entre ellos se encuentran </w:t>
      </w:r>
      <w:r w:rsidR="00C12237" w:rsidRPr="00033E65">
        <w:t>el plazo de dictado de sentencia, plazo para realización de audiencias,</w:t>
      </w:r>
      <w:r w:rsidR="00AB2060" w:rsidRPr="00033E65">
        <w:t xml:space="preserve"> plazo para resolver demanda nueva, </w:t>
      </w:r>
      <w:r w:rsidR="00A83449" w:rsidRPr="00033E65">
        <w:t xml:space="preserve">plazo para resolver escritos fuera del despacho y dentro del despacho, </w:t>
      </w:r>
      <w:r w:rsidR="002512ED" w:rsidRPr="00033E65">
        <w:t xml:space="preserve">cantidad de audiencias </w:t>
      </w:r>
      <w:r w:rsidR="00FC55C8" w:rsidRPr="00033E65">
        <w:t>pendientes de resolución</w:t>
      </w:r>
      <w:r w:rsidR="00A83449" w:rsidRPr="00033E65">
        <w:t xml:space="preserve">, </w:t>
      </w:r>
      <w:r w:rsidR="00C12237" w:rsidRPr="00033E65">
        <w:t xml:space="preserve"> </w:t>
      </w:r>
      <w:r w:rsidR="00E04E00" w:rsidRPr="00033E65">
        <w:t xml:space="preserve">entre otros. </w:t>
      </w:r>
      <w:r w:rsidR="0020413F" w:rsidRPr="00033E65">
        <w:t xml:space="preserve">Para el 2022 no obtuvo indicadores con iguales resultados al 2021. </w:t>
      </w:r>
    </w:p>
    <w:p w14:paraId="5579D284" w14:textId="77777777" w:rsidR="004667AD" w:rsidRPr="00033E65" w:rsidRDefault="004667AD" w:rsidP="00613321"/>
    <w:p w14:paraId="6D5A58EF" w14:textId="23CDF02F" w:rsidR="0042750B" w:rsidRPr="00033E65" w:rsidRDefault="0042750B" w:rsidP="0042750B">
      <w:pPr>
        <w:pStyle w:val="Ttulo"/>
      </w:pPr>
      <w:r w:rsidRPr="00033E65">
        <w:t xml:space="preserve">Juzgado Agrario de Puntarenas </w:t>
      </w:r>
    </w:p>
    <w:p w14:paraId="307F5A47" w14:textId="4CD5DA9E" w:rsidR="00F76DC2" w:rsidRPr="00033E65" w:rsidRDefault="0042750B" w:rsidP="0042750B">
      <w:r w:rsidRPr="00033E65">
        <w:t>Este Juzgado presenta un p</w:t>
      </w:r>
      <w:r w:rsidR="00740C9E" w:rsidRPr="00033E65">
        <w:t>orcentaje de mejoramiento del 4</w:t>
      </w:r>
      <w:r w:rsidR="00244836" w:rsidRPr="00033E65">
        <w:t>7</w:t>
      </w:r>
      <w:r w:rsidRPr="00033E65">
        <w:t xml:space="preserve">%, lo que </w:t>
      </w:r>
      <w:r w:rsidR="00740C9E" w:rsidRPr="00033E65">
        <w:t xml:space="preserve">hace indicar que mejoraron en </w:t>
      </w:r>
      <w:r w:rsidR="00244836" w:rsidRPr="00033E65">
        <w:t>8</w:t>
      </w:r>
      <w:r w:rsidRPr="00033E65">
        <w:t xml:space="preserve"> indicadores, de los cuales se encuentran</w:t>
      </w:r>
      <w:r w:rsidR="00FD2FBE" w:rsidRPr="00033E65">
        <w:t xml:space="preserve"> el plazo para </w:t>
      </w:r>
      <w:r w:rsidR="00006B73" w:rsidRPr="00033E65">
        <w:t>realización de audiencias</w:t>
      </w:r>
      <w:r w:rsidR="00100513" w:rsidRPr="00033E65">
        <w:t>, plazo espera de firma de resoluciones, cantidad de audiencias pendientes de realización</w:t>
      </w:r>
      <w:r w:rsidR="0053480B" w:rsidRPr="00033E65">
        <w:t>, cantidad de expedientes pasados a firmar, cantidad de sentencias dictadas, cantidad de expedientes firmados,</w:t>
      </w:r>
      <w:r w:rsidR="00100513" w:rsidRPr="00033E65">
        <w:t xml:space="preserve"> </w:t>
      </w:r>
      <w:r w:rsidR="00740C9E" w:rsidRPr="00033E65">
        <w:t xml:space="preserve">entre otros. En </w:t>
      </w:r>
      <w:r w:rsidR="00C969D6" w:rsidRPr="00033E65">
        <w:t>ocho</w:t>
      </w:r>
      <w:r w:rsidR="00740C9E" w:rsidRPr="00033E65">
        <w:t xml:space="preserve"> (</w:t>
      </w:r>
      <w:r w:rsidR="00C969D6" w:rsidRPr="00033E65">
        <w:t>8</w:t>
      </w:r>
      <w:r w:rsidR="00FD2FBE" w:rsidRPr="00033E65">
        <w:t xml:space="preserve">) indicadores muestran una desmejora, como es </w:t>
      </w:r>
      <w:r w:rsidR="00275246" w:rsidRPr="00033E65">
        <w:t xml:space="preserve">en el circulante, </w:t>
      </w:r>
      <w:r w:rsidR="002E3F50" w:rsidRPr="00033E65">
        <w:t xml:space="preserve">la cantidad de expedientes pendientes de firma, </w:t>
      </w:r>
      <w:r w:rsidR="00275246" w:rsidRPr="00033E65">
        <w:t>cantidad de escritos pendientes de resolver, cantidad de expedientes pendientes de fallo, plazo para trámite de escritos y asuntos nuevos, plazo para dictado de sentencia y plazo para realización de audiencias,</w:t>
      </w:r>
      <w:r w:rsidR="00200948" w:rsidRPr="00033E65">
        <w:t xml:space="preserve"> </w:t>
      </w:r>
      <w:r w:rsidR="00740C9E" w:rsidRPr="00033E65">
        <w:t>entre otros.</w:t>
      </w:r>
      <w:r w:rsidR="00F76DC2" w:rsidRPr="00033E65">
        <w:t xml:space="preserve"> </w:t>
      </w:r>
      <w:r w:rsidR="00BB5519" w:rsidRPr="00033E65">
        <w:t xml:space="preserve">Un </w:t>
      </w:r>
      <w:r w:rsidR="00F76DC2" w:rsidRPr="00033E65">
        <w:t>(</w:t>
      </w:r>
      <w:r w:rsidR="00BB5519" w:rsidRPr="00033E65">
        <w:t>1</w:t>
      </w:r>
      <w:r w:rsidR="00F76DC2" w:rsidRPr="00033E65">
        <w:t>) indicador no present</w:t>
      </w:r>
      <w:r w:rsidR="00BB5519" w:rsidRPr="00033E65">
        <w:t>ó</w:t>
      </w:r>
      <w:r w:rsidR="00F76DC2" w:rsidRPr="00033E65">
        <w:t xml:space="preserve"> variaciones, tal es el caso </w:t>
      </w:r>
      <w:r w:rsidR="00FD2FBE" w:rsidRPr="00033E65">
        <w:t xml:space="preserve">de </w:t>
      </w:r>
      <w:r w:rsidR="00BB5519" w:rsidRPr="00033E65">
        <w:t>demandas nuevas pendientes de resolver</w:t>
      </w:r>
      <w:r w:rsidR="00F76DC2" w:rsidRPr="00033E65">
        <w:t>.</w:t>
      </w:r>
    </w:p>
    <w:p w14:paraId="7E18060A" w14:textId="77777777" w:rsidR="00FF5EBC" w:rsidRPr="00033E65" w:rsidRDefault="00FF5EBC" w:rsidP="0042750B"/>
    <w:p w14:paraId="2E84046E" w14:textId="7527313C" w:rsidR="0042750B" w:rsidRPr="00033E65" w:rsidRDefault="00FD2FBE" w:rsidP="00730108">
      <w:r w:rsidRPr="00033E65">
        <w:t>De lo analizado anteriormente, es un reflejo comparativo entre los resultados obtenidos en el 202</w:t>
      </w:r>
      <w:r w:rsidR="002216A5" w:rsidRPr="00033E65">
        <w:t>2</w:t>
      </w:r>
      <w:r w:rsidR="00740C9E" w:rsidRPr="00033E65">
        <w:t xml:space="preserve"> en relación con el 202</w:t>
      </w:r>
      <w:r w:rsidR="002216A5" w:rsidRPr="00033E65">
        <w:t>1</w:t>
      </w:r>
      <w:r w:rsidRPr="00033E65">
        <w:t xml:space="preserve">. Esta Dirección es consiente que </w:t>
      </w:r>
      <w:r w:rsidR="00653327" w:rsidRPr="00033E65">
        <w:t xml:space="preserve">aún en estos períodos quedan remanentes del </w:t>
      </w:r>
      <w:r w:rsidRPr="00033E65">
        <w:t xml:space="preserve">impacto negativo en consecuencia de la pandemia. </w:t>
      </w:r>
      <w:r w:rsidR="0042750B" w:rsidRPr="00033E65">
        <w:t xml:space="preserve"> </w:t>
      </w:r>
    </w:p>
    <w:p w14:paraId="40700AC5" w14:textId="6155F795" w:rsidR="00AC4ED9" w:rsidRPr="00033E65" w:rsidRDefault="00AC4ED9" w:rsidP="00730108"/>
    <w:p w14:paraId="3A07FDCC" w14:textId="448FEAF4" w:rsidR="00AC4ED9" w:rsidRPr="00033E65" w:rsidRDefault="00AC4ED9" w:rsidP="00730108">
      <w:r w:rsidRPr="00033E65">
        <w:t xml:space="preserve">A </w:t>
      </w:r>
      <w:r w:rsidR="00D7458F" w:rsidRPr="00033E65">
        <w:t>continuación,</w:t>
      </w:r>
      <w:r w:rsidRPr="00033E65">
        <w:t xml:space="preserve"> se </w:t>
      </w:r>
      <w:r w:rsidR="00D7458F" w:rsidRPr="00033E65">
        <w:t>detalla la clasificación</w:t>
      </w:r>
      <w:r w:rsidRPr="00033E65">
        <w:t xml:space="preserve"> del MAIC</w:t>
      </w:r>
      <w:r w:rsidR="00457DCF" w:rsidRPr="00033E65">
        <w:t xml:space="preserve"> (Modelo de Análisis Integral de Circuitos Judiciales)</w:t>
      </w:r>
      <w:r w:rsidR="00D7458F" w:rsidRPr="00033E65">
        <w:t xml:space="preserve"> de</w:t>
      </w:r>
      <w:r w:rsidRPr="00033E65">
        <w:t xml:space="preserve"> diciembre 202</w:t>
      </w:r>
      <w:r w:rsidR="00D84D79" w:rsidRPr="00033E65">
        <w:t>2</w:t>
      </w:r>
      <w:r w:rsidRPr="00033E65">
        <w:t xml:space="preserve">, en donde se evidencia el riesgo </w:t>
      </w:r>
      <w:r w:rsidR="00D7458F" w:rsidRPr="00033E65">
        <w:t xml:space="preserve">de implementar </w:t>
      </w:r>
      <w:r w:rsidR="00BC3C63" w:rsidRPr="00033E65">
        <w:t xml:space="preserve">la Reforma del </w:t>
      </w:r>
      <w:r w:rsidR="00D7458F" w:rsidRPr="00033E65">
        <w:t>Código Procesal Agrario:</w:t>
      </w:r>
      <w:r w:rsidR="00866979" w:rsidRPr="00033E65">
        <w:t xml:space="preserve"> </w:t>
      </w:r>
    </w:p>
    <w:p w14:paraId="3199D462" w14:textId="1C04B53F" w:rsidR="00374B3C" w:rsidRPr="00033E65" w:rsidRDefault="00457DCF" w:rsidP="00457DCF">
      <w:pPr>
        <w:spacing w:before="0" w:after="0"/>
        <w:jc w:val="center"/>
        <w:rPr>
          <w:b/>
          <w:bCs/>
          <w:color w:val="244061" w:themeColor="accent1" w:themeShade="80"/>
        </w:rPr>
      </w:pPr>
      <w:r w:rsidRPr="00033E65">
        <w:rPr>
          <w:b/>
          <w:bCs/>
          <w:color w:val="244061" w:themeColor="accent1" w:themeShade="80"/>
        </w:rPr>
        <w:t>Cuadro 15</w:t>
      </w:r>
    </w:p>
    <w:p w14:paraId="7BA9E463" w14:textId="0EC0B21D" w:rsidR="00457DCF" w:rsidRPr="00033E65" w:rsidRDefault="00457DCF" w:rsidP="00457DCF">
      <w:pPr>
        <w:spacing w:before="0" w:after="0"/>
        <w:jc w:val="center"/>
        <w:rPr>
          <w:b/>
          <w:bCs/>
          <w:color w:val="244061" w:themeColor="accent1" w:themeShade="80"/>
        </w:rPr>
      </w:pPr>
      <w:r w:rsidRPr="00033E65">
        <w:rPr>
          <w:b/>
          <w:bCs/>
          <w:color w:val="244061" w:themeColor="accent1" w:themeShade="80"/>
        </w:rPr>
        <w:t>Calificación del MAIC de despachos que atienden materia Agraria</w:t>
      </w:r>
    </w:p>
    <w:p w14:paraId="117DCC58" w14:textId="6BE40BA7" w:rsidR="00457DCF" w:rsidRPr="00033E65" w:rsidRDefault="00457DCF" w:rsidP="00457DCF">
      <w:pPr>
        <w:spacing w:before="0" w:after="0"/>
        <w:jc w:val="center"/>
        <w:rPr>
          <w:b/>
          <w:bCs/>
          <w:color w:val="244061" w:themeColor="accent1" w:themeShade="80"/>
        </w:rPr>
      </w:pPr>
      <w:r w:rsidRPr="00033E65">
        <w:rPr>
          <w:b/>
          <w:bCs/>
          <w:color w:val="244061" w:themeColor="accent1" w:themeShade="80"/>
        </w:rPr>
        <w:t>Diciembre 2022</w:t>
      </w:r>
    </w:p>
    <w:tbl>
      <w:tblPr>
        <w:tblW w:w="5674" w:type="pct"/>
        <w:tblInd w:w="-307" w:type="dxa"/>
        <w:tblCellMar>
          <w:left w:w="70" w:type="dxa"/>
          <w:right w:w="70" w:type="dxa"/>
        </w:tblCellMar>
        <w:tblLook w:val="04A0" w:firstRow="1" w:lastRow="0" w:firstColumn="1" w:lastColumn="0" w:noHBand="0" w:noVBand="1"/>
      </w:tblPr>
      <w:tblGrid>
        <w:gridCol w:w="8608"/>
        <w:gridCol w:w="18"/>
        <w:gridCol w:w="1351"/>
      </w:tblGrid>
      <w:tr w:rsidR="00374B3C" w:rsidRPr="00033E65" w14:paraId="3B1EFF34" w14:textId="77777777" w:rsidTr="008A70C0">
        <w:trPr>
          <w:trHeight w:val="1180"/>
          <w:tblHeader/>
        </w:trPr>
        <w:tc>
          <w:tcPr>
            <w:tcW w:w="4323" w:type="pct"/>
            <w:gridSpan w:val="2"/>
            <w:tcBorders>
              <w:top w:val="double" w:sz="6" w:space="0" w:color="44546A"/>
              <w:left w:val="double" w:sz="6" w:space="0" w:color="44546A"/>
              <w:bottom w:val="double" w:sz="6" w:space="0" w:color="44546A"/>
              <w:right w:val="double" w:sz="6" w:space="0" w:color="44546A"/>
            </w:tcBorders>
            <w:shd w:val="clear" w:color="000000" w:fill="0673A5"/>
            <w:vAlign w:val="center"/>
            <w:hideMark/>
          </w:tcPr>
          <w:p w14:paraId="20F2D152" w14:textId="77777777" w:rsidR="00374B3C" w:rsidRPr="00033E65" w:rsidRDefault="00374B3C" w:rsidP="00374B3C">
            <w:pPr>
              <w:spacing w:before="0" w:after="0"/>
              <w:jc w:val="center"/>
              <w:rPr>
                <w:rFonts w:cs="Arial"/>
                <w:b/>
                <w:bCs/>
                <w:color w:val="FFFFFF"/>
                <w:szCs w:val="22"/>
                <w:lang w:eastAsia="es-CR"/>
              </w:rPr>
            </w:pPr>
            <w:r w:rsidRPr="00033E65">
              <w:rPr>
                <w:rFonts w:cs="Arial"/>
                <w:b/>
                <w:bCs/>
                <w:color w:val="FFFFFF"/>
                <w:szCs w:val="22"/>
                <w:lang w:eastAsia="es-CR"/>
              </w:rPr>
              <w:t>Despacho</w:t>
            </w:r>
          </w:p>
        </w:tc>
        <w:tc>
          <w:tcPr>
            <w:tcW w:w="677" w:type="pct"/>
            <w:tcBorders>
              <w:top w:val="double" w:sz="6" w:space="0" w:color="44546A"/>
              <w:left w:val="nil"/>
              <w:bottom w:val="double" w:sz="6" w:space="0" w:color="44546A"/>
              <w:right w:val="double" w:sz="6" w:space="0" w:color="44546A"/>
            </w:tcBorders>
            <w:shd w:val="clear" w:color="000000" w:fill="0673A5"/>
            <w:vAlign w:val="center"/>
            <w:hideMark/>
          </w:tcPr>
          <w:p w14:paraId="1E54ED44" w14:textId="03904597" w:rsidR="00374B3C" w:rsidRPr="00033E65" w:rsidRDefault="00374B3C" w:rsidP="00374B3C">
            <w:pPr>
              <w:spacing w:before="0" w:after="0"/>
              <w:jc w:val="center"/>
              <w:rPr>
                <w:rFonts w:cs="Arial"/>
                <w:b/>
                <w:bCs/>
                <w:color w:val="FFFFFF"/>
                <w:szCs w:val="22"/>
                <w:lang w:eastAsia="es-CR"/>
              </w:rPr>
            </w:pPr>
            <w:r w:rsidRPr="00033E65">
              <w:rPr>
                <w:rFonts w:cs="Arial"/>
                <w:b/>
                <w:bCs/>
                <w:color w:val="FFFFFF"/>
                <w:szCs w:val="22"/>
                <w:lang w:eastAsia="es-CR"/>
              </w:rPr>
              <w:t>Calificación de los indicadores de Diciembre 202</w:t>
            </w:r>
            <w:r w:rsidR="00B26044" w:rsidRPr="00033E65">
              <w:rPr>
                <w:rFonts w:cs="Arial"/>
                <w:b/>
                <w:bCs/>
                <w:color w:val="FFFFFF"/>
                <w:szCs w:val="22"/>
                <w:lang w:eastAsia="es-CR"/>
              </w:rPr>
              <w:t>2</w:t>
            </w:r>
          </w:p>
        </w:tc>
      </w:tr>
      <w:tr w:rsidR="00374B3C" w:rsidRPr="00033E65" w14:paraId="618A92F9" w14:textId="77777777" w:rsidTr="00710B74">
        <w:trPr>
          <w:trHeight w:val="31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2F313BE4" w14:textId="31FD1BED" w:rsidR="00374B3C" w:rsidRPr="00033E65" w:rsidRDefault="00374B3C" w:rsidP="00374B3C">
            <w:pPr>
              <w:spacing w:before="0" w:after="0"/>
              <w:rPr>
                <w:rFonts w:cs="Arial"/>
                <w:color w:val="000000"/>
                <w:szCs w:val="22"/>
                <w:lang w:eastAsia="es-CR"/>
              </w:rPr>
            </w:pPr>
            <w:r w:rsidRPr="00033E65">
              <w:rPr>
                <w:rFonts w:cs="Arial"/>
                <w:color w:val="000000"/>
                <w:szCs w:val="22"/>
                <w:lang w:eastAsia="es-CR"/>
              </w:rPr>
              <w:t>Juzgado Agrario del Segundo Circuito Judicial de San José</w:t>
            </w:r>
          </w:p>
        </w:tc>
        <w:tc>
          <w:tcPr>
            <w:tcW w:w="677" w:type="pct"/>
            <w:tcBorders>
              <w:top w:val="nil"/>
              <w:left w:val="nil"/>
              <w:bottom w:val="double" w:sz="6" w:space="0" w:color="44546A"/>
              <w:right w:val="double" w:sz="6" w:space="0" w:color="44546A"/>
            </w:tcBorders>
            <w:shd w:val="clear" w:color="auto" w:fill="E36C0A" w:themeFill="accent6" w:themeFillShade="BF"/>
            <w:noWrap/>
            <w:vAlign w:val="center"/>
            <w:hideMark/>
          </w:tcPr>
          <w:p w14:paraId="0ED3770B" w14:textId="77777777" w:rsidR="00374B3C" w:rsidRPr="00033E65" w:rsidRDefault="00374B3C" w:rsidP="00374B3C">
            <w:pPr>
              <w:spacing w:before="0" w:after="0"/>
              <w:jc w:val="center"/>
              <w:rPr>
                <w:rFonts w:cs="Arial"/>
                <w:color w:val="000000"/>
                <w:szCs w:val="22"/>
                <w:lang w:eastAsia="es-CR"/>
              </w:rPr>
            </w:pPr>
            <w:r w:rsidRPr="00033E65">
              <w:rPr>
                <w:rFonts w:cs="Arial"/>
                <w:color w:val="000000"/>
                <w:szCs w:val="22"/>
                <w:lang w:eastAsia="es-CR"/>
              </w:rPr>
              <w:t>E</w:t>
            </w:r>
          </w:p>
        </w:tc>
      </w:tr>
      <w:tr w:rsidR="00374B3C" w:rsidRPr="00033E65" w14:paraId="4BA565E8" w14:textId="77777777" w:rsidTr="008A70C0">
        <w:trPr>
          <w:trHeight w:val="31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1C353A38" w14:textId="3CB5B049" w:rsidR="00374B3C" w:rsidRPr="00033E65" w:rsidRDefault="00374B3C" w:rsidP="00374B3C">
            <w:pPr>
              <w:spacing w:before="0" w:after="0"/>
              <w:rPr>
                <w:rFonts w:cs="Arial"/>
                <w:color w:val="000000"/>
                <w:szCs w:val="22"/>
                <w:lang w:eastAsia="es-CR"/>
              </w:rPr>
            </w:pPr>
            <w:r w:rsidRPr="00033E65">
              <w:rPr>
                <w:rFonts w:cs="Arial"/>
                <w:color w:val="000000"/>
                <w:szCs w:val="22"/>
                <w:lang w:eastAsia="es-CR"/>
              </w:rPr>
              <w:t>Juzgado Agrario del Primer Circuito Judicial de Alajuela</w:t>
            </w:r>
          </w:p>
        </w:tc>
        <w:tc>
          <w:tcPr>
            <w:tcW w:w="677" w:type="pct"/>
            <w:tcBorders>
              <w:top w:val="nil"/>
              <w:left w:val="nil"/>
              <w:bottom w:val="double" w:sz="6" w:space="0" w:color="44546A"/>
              <w:right w:val="double" w:sz="6" w:space="0" w:color="44546A"/>
            </w:tcBorders>
            <w:shd w:val="clear" w:color="000000" w:fill="FF0000"/>
            <w:noWrap/>
            <w:vAlign w:val="center"/>
            <w:hideMark/>
          </w:tcPr>
          <w:p w14:paraId="41072F11" w14:textId="77777777" w:rsidR="00374B3C" w:rsidRPr="00033E65" w:rsidRDefault="00374B3C" w:rsidP="00374B3C">
            <w:pPr>
              <w:spacing w:before="0" w:after="0"/>
              <w:jc w:val="center"/>
              <w:rPr>
                <w:rFonts w:cs="Arial"/>
                <w:color w:val="000000"/>
                <w:szCs w:val="22"/>
                <w:lang w:eastAsia="es-CR"/>
              </w:rPr>
            </w:pPr>
            <w:r w:rsidRPr="00033E65">
              <w:rPr>
                <w:rFonts w:cs="Arial"/>
                <w:color w:val="000000"/>
                <w:szCs w:val="22"/>
                <w:lang w:eastAsia="es-CR"/>
              </w:rPr>
              <w:t>D</w:t>
            </w:r>
          </w:p>
        </w:tc>
      </w:tr>
      <w:tr w:rsidR="00C62B28" w:rsidRPr="00033E65" w14:paraId="3C3BD4F9" w14:textId="77777777" w:rsidTr="008A70C0">
        <w:trPr>
          <w:trHeight w:val="310"/>
        </w:trPr>
        <w:tc>
          <w:tcPr>
            <w:tcW w:w="4314" w:type="pct"/>
            <w:tcBorders>
              <w:top w:val="nil"/>
              <w:left w:val="double" w:sz="6" w:space="0" w:color="44546A"/>
              <w:bottom w:val="double" w:sz="6" w:space="0" w:color="44546A"/>
              <w:right w:val="double" w:sz="6" w:space="0" w:color="44546A"/>
            </w:tcBorders>
            <w:shd w:val="clear" w:color="auto" w:fill="auto"/>
            <w:noWrap/>
            <w:vAlign w:val="center"/>
            <w:hideMark/>
          </w:tcPr>
          <w:p w14:paraId="2343611B" w14:textId="37836664" w:rsidR="00374B3C" w:rsidRPr="00033E65" w:rsidRDefault="00374B3C" w:rsidP="00374B3C">
            <w:pPr>
              <w:spacing w:before="0" w:after="0"/>
              <w:rPr>
                <w:rFonts w:cs="Arial"/>
                <w:color w:val="000000"/>
                <w:szCs w:val="22"/>
                <w:lang w:eastAsia="es-CR"/>
              </w:rPr>
            </w:pPr>
            <w:r w:rsidRPr="00033E65">
              <w:rPr>
                <w:rFonts w:cs="Arial"/>
                <w:color w:val="000000"/>
                <w:szCs w:val="22"/>
                <w:lang w:eastAsia="es-CR"/>
              </w:rPr>
              <w:t>Juzgado Agrario del Segundo Circuito Judicial de Alajuela</w:t>
            </w:r>
          </w:p>
        </w:tc>
        <w:tc>
          <w:tcPr>
            <w:tcW w:w="686" w:type="pct"/>
            <w:gridSpan w:val="2"/>
            <w:tcBorders>
              <w:top w:val="nil"/>
              <w:left w:val="nil"/>
              <w:bottom w:val="double" w:sz="6" w:space="0" w:color="44546A"/>
              <w:right w:val="double" w:sz="6" w:space="0" w:color="44546A"/>
            </w:tcBorders>
            <w:shd w:val="clear" w:color="000000" w:fill="FF0000"/>
            <w:noWrap/>
            <w:vAlign w:val="center"/>
            <w:hideMark/>
          </w:tcPr>
          <w:p w14:paraId="6AF10AE5" w14:textId="0EFE1298" w:rsidR="00374B3C" w:rsidRPr="00033E65" w:rsidRDefault="00374B3C" w:rsidP="00374B3C">
            <w:pPr>
              <w:spacing w:before="0" w:after="0"/>
              <w:jc w:val="center"/>
              <w:rPr>
                <w:rFonts w:cs="Arial"/>
                <w:color w:val="000000"/>
                <w:szCs w:val="22"/>
                <w:lang w:eastAsia="es-CR"/>
              </w:rPr>
            </w:pPr>
            <w:r w:rsidRPr="00033E65">
              <w:rPr>
                <w:rFonts w:cs="Arial"/>
                <w:color w:val="000000"/>
                <w:szCs w:val="22"/>
                <w:lang w:eastAsia="es-CR"/>
              </w:rPr>
              <w:t>D</w:t>
            </w:r>
          </w:p>
        </w:tc>
      </w:tr>
      <w:tr w:rsidR="00374B3C" w:rsidRPr="00033E65" w14:paraId="64FE1C23" w14:textId="77777777" w:rsidTr="00CE1721">
        <w:trPr>
          <w:trHeight w:val="31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5E662FF1" w14:textId="46AFA5EB" w:rsidR="00374B3C" w:rsidRPr="00033E65" w:rsidRDefault="00374B3C" w:rsidP="00374B3C">
            <w:pPr>
              <w:spacing w:before="0" w:after="0"/>
              <w:rPr>
                <w:rFonts w:cs="Arial"/>
                <w:color w:val="000000"/>
                <w:szCs w:val="22"/>
                <w:lang w:eastAsia="es-CR"/>
              </w:rPr>
            </w:pPr>
            <w:r w:rsidRPr="00033E65">
              <w:rPr>
                <w:rFonts w:cs="Arial"/>
                <w:color w:val="000000"/>
                <w:szCs w:val="22"/>
                <w:lang w:eastAsia="es-CR"/>
              </w:rPr>
              <w:t>Juzgado Agrario del Tercer Circuito Judicial de Alajuela</w:t>
            </w:r>
          </w:p>
        </w:tc>
        <w:tc>
          <w:tcPr>
            <w:tcW w:w="677" w:type="pct"/>
            <w:tcBorders>
              <w:top w:val="nil"/>
              <w:left w:val="nil"/>
              <w:bottom w:val="double" w:sz="6" w:space="0" w:color="44546A"/>
              <w:right w:val="double" w:sz="6" w:space="0" w:color="44546A"/>
            </w:tcBorders>
            <w:shd w:val="clear" w:color="000000" w:fill="FF0000"/>
            <w:noWrap/>
            <w:vAlign w:val="center"/>
            <w:hideMark/>
          </w:tcPr>
          <w:p w14:paraId="114A2870" w14:textId="77777777" w:rsidR="00374B3C" w:rsidRPr="00033E65" w:rsidRDefault="00374B3C" w:rsidP="00374B3C">
            <w:pPr>
              <w:spacing w:before="0" w:after="0"/>
              <w:jc w:val="center"/>
              <w:rPr>
                <w:rFonts w:cs="Arial"/>
                <w:color w:val="000000"/>
                <w:szCs w:val="22"/>
                <w:lang w:eastAsia="es-CR"/>
              </w:rPr>
            </w:pPr>
            <w:r w:rsidRPr="00033E65">
              <w:rPr>
                <w:rFonts w:cs="Arial"/>
                <w:color w:val="000000"/>
                <w:szCs w:val="22"/>
                <w:lang w:eastAsia="es-CR"/>
              </w:rPr>
              <w:t>D</w:t>
            </w:r>
          </w:p>
        </w:tc>
      </w:tr>
      <w:tr w:rsidR="00374B3C" w:rsidRPr="00033E65" w14:paraId="4866614E" w14:textId="77777777" w:rsidTr="00CE1721">
        <w:trPr>
          <w:trHeight w:val="31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038A678D" w14:textId="62F915EF" w:rsidR="00374B3C" w:rsidRPr="00033E65" w:rsidRDefault="00374B3C" w:rsidP="00374B3C">
            <w:pPr>
              <w:spacing w:before="0" w:after="0"/>
              <w:rPr>
                <w:rFonts w:cs="Arial"/>
                <w:color w:val="000000"/>
                <w:szCs w:val="22"/>
                <w:lang w:eastAsia="es-CR"/>
              </w:rPr>
            </w:pPr>
            <w:r w:rsidRPr="00033E65">
              <w:rPr>
                <w:rFonts w:cs="Arial"/>
                <w:color w:val="000000"/>
                <w:szCs w:val="22"/>
                <w:lang w:eastAsia="es-CR"/>
              </w:rPr>
              <w:t>Juzgado Agrario del Circuito Judicial de Cartago</w:t>
            </w:r>
          </w:p>
        </w:tc>
        <w:tc>
          <w:tcPr>
            <w:tcW w:w="677" w:type="pct"/>
            <w:tcBorders>
              <w:top w:val="nil"/>
              <w:left w:val="nil"/>
              <w:bottom w:val="double" w:sz="6" w:space="0" w:color="44546A"/>
              <w:right w:val="double" w:sz="6" w:space="0" w:color="44546A"/>
            </w:tcBorders>
            <w:shd w:val="clear" w:color="000000" w:fill="FF0000"/>
            <w:noWrap/>
            <w:vAlign w:val="center"/>
            <w:hideMark/>
          </w:tcPr>
          <w:p w14:paraId="6FB330DC" w14:textId="77777777" w:rsidR="00374B3C" w:rsidRPr="00033E65" w:rsidRDefault="00374B3C" w:rsidP="00374B3C">
            <w:pPr>
              <w:spacing w:before="0" w:after="0"/>
              <w:jc w:val="center"/>
              <w:rPr>
                <w:rFonts w:cs="Arial"/>
                <w:color w:val="000000"/>
                <w:szCs w:val="22"/>
                <w:lang w:eastAsia="es-CR"/>
              </w:rPr>
            </w:pPr>
            <w:r w:rsidRPr="00033E65">
              <w:rPr>
                <w:rFonts w:cs="Arial"/>
                <w:color w:val="000000"/>
                <w:szCs w:val="22"/>
                <w:lang w:eastAsia="es-CR"/>
              </w:rPr>
              <w:t>D</w:t>
            </w:r>
          </w:p>
        </w:tc>
      </w:tr>
      <w:tr w:rsidR="00374B3C" w:rsidRPr="00033E65" w14:paraId="67C5C1C5" w14:textId="77777777" w:rsidTr="00710B74">
        <w:trPr>
          <w:trHeight w:val="31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1AAFD111" w14:textId="5073CEAF" w:rsidR="00374B3C" w:rsidRPr="00033E65" w:rsidRDefault="00374B3C" w:rsidP="00374B3C">
            <w:pPr>
              <w:spacing w:before="0" w:after="0"/>
              <w:rPr>
                <w:rFonts w:cs="Arial"/>
                <w:color w:val="000000"/>
                <w:szCs w:val="22"/>
                <w:lang w:eastAsia="es-CR"/>
              </w:rPr>
            </w:pPr>
            <w:r w:rsidRPr="00033E65">
              <w:rPr>
                <w:rFonts w:cs="Arial"/>
                <w:color w:val="000000"/>
                <w:szCs w:val="22"/>
                <w:lang w:eastAsia="es-CR"/>
              </w:rPr>
              <w:t>Juzgado Agrario de Puntarenas</w:t>
            </w:r>
          </w:p>
        </w:tc>
        <w:tc>
          <w:tcPr>
            <w:tcW w:w="677" w:type="pct"/>
            <w:tcBorders>
              <w:top w:val="nil"/>
              <w:left w:val="nil"/>
              <w:bottom w:val="double" w:sz="6" w:space="0" w:color="44546A"/>
              <w:right w:val="double" w:sz="6" w:space="0" w:color="44546A"/>
            </w:tcBorders>
            <w:shd w:val="clear" w:color="auto" w:fill="E36C0A" w:themeFill="accent6" w:themeFillShade="BF"/>
            <w:noWrap/>
            <w:vAlign w:val="center"/>
            <w:hideMark/>
          </w:tcPr>
          <w:p w14:paraId="65F449F2" w14:textId="77777777" w:rsidR="00374B3C" w:rsidRPr="00033E65" w:rsidRDefault="00374B3C" w:rsidP="00374B3C">
            <w:pPr>
              <w:spacing w:before="0" w:after="0"/>
              <w:jc w:val="center"/>
              <w:rPr>
                <w:rFonts w:cs="Arial"/>
                <w:color w:val="000000"/>
                <w:szCs w:val="22"/>
                <w:lang w:eastAsia="es-CR"/>
              </w:rPr>
            </w:pPr>
            <w:r w:rsidRPr="00033E65">
              <w:rPr>
                <w:rFonts w:cs="Arial"/>
                <w:color w:val="000000"/>
                <w:szCs w:val="22"/>
                <w:lang w:eastAsia="es-CR"/>
              </w:rPr>
              <w:t>E</w:t>
            </w:r>
          </w:p>
        </w:tc>
      </w:tr>
      <w:tr w:rsidR="00374B3C" w:rsidRPr="00033E65" w14:paraId="4AACE551" w14:textId="77777777" w:rsidTr="00CE1721">
        <w:trPr>
          <w:trHeight w:val="60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28A7A23F" w14:textId="3E02FC4D" w:rsidR="00374B3C" w:rsidRPr="00033E65" w:rsidRDefault="00374B3C" w:rsidP="00374B3C">
            <w:pPr>
              <w:spacing w:before="0" w:after="0"/>
              <w:rPr>
                <w:rFonts w:cs="Arial"/>
                <w:color w:val="000000"/>
                <w:szCs w:val="22"/>
                <w:lang w:eastAsia="es-CR"/>
              </w:rPr>
            </w:pPr>
            <w:r w:rsidRPr="00033E65">
              <w:rPr>
                <w:rFonts w:cs="Arial"/>
                <w:color w:val="000000"/>
                <w:szCs w:val="22"/>
                <w:lang w:eastAsia="es-CR"/>
              </w:rPr>
              <w:t>Juzgado Agrario del Primer Circuito Judicial de la Zona Sur</w:t>
            </w:r>
          </w:p>
        </w:tc>
        <w:tc>
          <w:tcPr>
            <w:tcW w:w="677" w:type="pct"/>
            <w:tcBorders>
              <w:top w:val="nil"/>
              <w:left w:val="nil"/>
              <w:bottom w:val="double" w:sz="6" w:space="0" w:color="44546A"/>
              <w:right w:val="double" w:sz="6" w:space="0" w:color="44546A"/>
            </w:tcBorders>
            <w:shd w:val="clear" w:color="000000" w:fill="FF0000"/>
            <w:noWrap/>
            <w:vAlign w:val="center"/>
            <w:hideMark/>
          </w:tcPr>
          <w:p w14:paraId="42081225" w14:textId="176930A8" w:rsidR="00374B3C" w:rsidRPr="00033E65" w:rsidRDefault="00374B3C" w:rsidP="00374B3C">
            <w:pPr>
              <w:spacing w:before="0" w:after="0"/>
              <w:jc w:val="center"/>
              <w:rPr>
                <w:rFonts w:cs="Arial"/>
                <w:color w:val="000000"/>
                <w:szCs w:val="22"/>
                <w:lang w:eastAsia="es-CR"/>
              </w:rPr>
            </w:pPr>
            <w:r w:rsidRPr="00033E65">
              <w:rPr>
                <w:rFonts w:cs="Arial"/>
                <w:color w:val="000000"/>
                <w:szCs w:val="22"/>
                <w:lang w:eastAsia="es-CR"/>
              </w:rPr>
              <w:t>D</w:t>
            </w:r>
          </w:p>
        </w:tc>
      </w:tr>
      <w:tr w:rsidR="00374B3C" w:rsidRPr="00033E65" w14:paraId="48307D0A" w14:textId="77777777" w:rsidTr="00710B74">
        <w:trPr>
          <w:trHeight w:val="60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65E62007" w14:textId="71202D7F" w:rsidR="00374B3C" w:rsidRPr="00033E65" w:rsidRDefault="00374B3C" w:rsidP="00374B3C">
            <w:pPr>
              <w:spacing w:before="0" w:after="0"/>
              <w:rPr>
                <w:rFonts w:cs="Arial"/>
                <w:color w:val="000000"/>
                <w:szCs w:val="22"/>
                <w:lang w:eastAsia="es-CR"/>
              </w:rPr>
            </w:pPr>
            <w:r w:rsidRPr="00033E65">
              <w:rPr>
                <w:rFonts w:cs="Arial"/>
                <w:color w:val="000000"/>
                <w:szCs w:val="22"/>
                <w:lang w:eastAsia="es-CR"/>
              </w:rPr>
              <w:t>Juzgado Agrario del Segundo Circuito Judicial de la Zona Sur</w:t>
            </w:r>
          </w:p>
        </w:tc>
        <w:tc>
          <w:tcPr>
            <w:tcW w:w="677" w:type="pct"/>
            <w:tcBorders>
              <w:top w:val="nil"/>
              <w:left w:val="nil"/>
              <w:bottom w:val="double" w:sz="6" w:space="0" w:color="44546A"/>
              <w:right w:val="double" w:sz="6" w:space="0" w:color="44546A"/>
            </w:tcBorders>
            <w:shd w:val="clear" w:color="auto" w:fill="E36C0A" w:themeFill="accent6" w:themeFillShade="BF"/>
            <w:noWrap/>
            <w:vAlign w:val="center"/>
            <w:hideMark/>
          </w:tcPr>
          <w:p w14:paraId="486790F2" w14:textId="77777777" w:rsidR="00374B3C" w:rsidRPr="00033E65" w:rsidRDefault="00374B3C" w:rsidP="00374B3C">
            <w:pPr>
              <w:spacing w:before="0" w:after="0"/>
              <w:jc w:val="center"/>
              <w:rPr>
                <w:rFonts w:cs="Arial"/>
                <w:color w:val="000000"/>
                <w:szCs w:val="22"/>
                <w:lang w:eastAsia="es-CR"/>
              </w:rPr>
            </w:pPr>
            <w:r w:rsidRPr="00033E65">
              <w:rPr>
                <w:rFonts w:cs="Arial"/>
                <w:color w:val="000000"/>
                <w:szCs w:val="22"/>
                <w:lang w:eastAsia="es-CR"/>
              </w:rPr>
              <w:t>E</w:t>
            </w:r>
          </w:p>
        </w:tc>
      </w:tr>
      <w:tr w:rsidR="00374B3C" w:rsidRPr="00033E65" w14:paraId="37C111BC" w14:textId="77777777" w:rsidTr="008A70C0">
        <w:trPr>
          <w:trHeight w:val="60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0739BC68" w14:textId="57106A10" w:rsidR="00374B3C" w:rsidRPr="00033E65" w:rsidRDefault="00374B3C" w:rsidP="00374B3C">
            <w:pPr>
              <w:spacing w:before="0" w:after="0"/>
              <w:rPr>
                <w:rFonts w:cs="Arial"/>
                <w:color w:val="000000"/>
                <w:szCs w:val="22"/>
                <w:lang w:eastAsia="es-CR"/>
              </w:rPr>
            </w:pPr>
            <w:r w:rsidRPr="00033E65">
              <w:rPr>
                <w:rFonts w:cs="Arial"/>
                <w:color w:val="000000"/>
                <w:szCs w:val="22"/>
                <w:lang w:eastAsia="es-CR"/>
              </w:rPr>
              <w:t>Juzgado Agrario del Primer Circuito Judicial de Guanacaste</w:t>
            </w:r>
          </w:p>
        </w:tc>
        <w:tc>
          <w:tcPr>
            <w:tcW w:w="677" w:type="pct"/>
            <w:tcBorders>
              <w:top w:val="nil"/>
              <w:left w:val="nil"/>
              <w:bottom w:val="double" w:sz="6" w:space="0" w:color="44546A"/>
              <w:right w:val="double" w:sz="6" w:space="0" w:color="44546A"/>
            </w:tcBorders>
            <w:shd w:val="clear" w:color="auto" w:fill="FF0000"/>
            <w:noWrap/>
            <w:vAlign w:val="center"/>
            <w:hideMark/>
          </w:tcPr>
          <w:p w14:paraId="4CFD981B" w14:textId="48A01251" w:rsidR="00374B3C" w:rsidRPr="00033E65" w:rsidRDefault="008869F8" w:rsidP="00374B3C">
            <w:pPr>
              <w:spacing w:before="0" w:after="0"/>
              <w:jc w:val="center"/>
              <w:rPr>
                <w:rFonts w:cs="Arial"/>
                <w:color w:val="000000"/>
                <w:szCs w:val="22"/>
                <w:lang w:eastAsia="es-CR"/>
              </w:rPr>
            </w:pPr>
            <w:r w:rsidRPr="00033E65">
              <w:rPr>
                <w:rFonts w:cs="Arial"/>
                <w:color w:val="000000"/>
                <w:szCs w:val="22"/>
                <w:lang w:eastAsia="es-CR"/>
              </w:rPr>
              <w:t>D</w:t>
            </w:r>
          </w:p>
        </w:tc>
      </w:tr>
      <w:tr w:rsidR="00374B3C" w:rsidRPr="00033E65" w14:paraId="7788AF99" w14:textId="77777777" w:rsidTr="00103E7A">
        <w:trPr>
          <w:trHeight w:val="60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04D22F8B" w14:textId="419ADA1F" w:rsidR="00374B3C" w:rsidRPr="00033E65" w:rsidRDefault="00374B3C" w:rsidP="00374B3C">
            <w:pPr>
              <w:spacing w:before="0" w:after="0"/>
              <w:rPr>
                <w:rFonts w:cs="Arial"/>
                <w:color w:val="000000"/>
                <w:szCs w:val="22"/>
                <w:lang w:eastAsia="es-CR"/>
              </w:rPr>
            </w:pPr>
            <w:r w:rsidRPr="00033E65">
              <w:rPr>
                <w:rFonts w:cs="Arial"/>
                <w:color w:val="000000"/>
                <w:szCs w:val="22"/>
                <w:lang w:eastAsia="es-CR"/>
              </w:rPr>
              <w:t>Juzgado Agrario del Segundo Circuito Judicial de Guanacaste</w:t>
            </w:r>
          </w:p>
        </w:tc>
        <w:tc>
          <w:tcPr>
            <w:tcW w:w="677" w:type="pct"/>
            <w:tcBorders>
              <w:top w:val="nil"/>
              <w:left w:val="nil"/>
              <w:bottom w:val="double" w:sz="6" w:space="0" w:color="44546A"/>
              <w:right w:val="double" w:sz="6" w:space="0" w:color="44546A"/>
            </w:tcBorders>
            <w:shd w:val="clear" w:color="auto" w:fill="E36C0A" w:themeFill="accent6" w:themeFillShade="BF"/>
            <w:noWrap/>
            <w:vAlign w:val="center"/>
            <w:hideMark/>
          </w:tcPr>
          <w:p w14:paraId="0E769D99" w14:textId="49BE0562" w:rsidR="00374B3C" w:rsidRPr="00033E65" w:rsidRDefault="00103E7A" w:rsidP="00374B3C">
            <w:pPr>
              <w:spacing w:before="0" w:after="0"/>
              <w:jc w:val="center"/>
              <w:rPr>
                <w:rFonts w:cs="Arial"/>
                <w:color w:val="000000"/>
                <w:szCs w:val="22"/>
                <w:lang w:eastAsia="es-CR"/>
              </w:rPr>
            </w:pPr>
            <w:r w:rsidRPr="00033E65">
              <w:rPr>
                <w:rFonts w:cs="Arial"/>
                <w:color w:val="000000"/>
                <w:szCs w:val="22"/>
                <w:lang w:eastAsia="es-CR"/>
              </w:rPr>
              <w:t>E</w:t>
            </w:r>
          </w:p>
        </w:tc>
      </w:tr>
      <w:tr w:rsidR="00374B3C" w:rsidRPr="00033E65" w14:paraId="432074E6" w14:textId="77777777" w:rsidTr="00CE1721">
        <w:trPr>
          <w:trHeight w:val="60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51C5898D" w14:textId="25BE0FAB" w:rsidR="00374B3C" w:rsidRPr="00033E65" w:rsidRDefault="00374B3C" w:rsidP="00374B3C">
            <w:pPr>
              <w:spacing w:before="0" w:after="0"/>
              <w:rPr>
                <w:rFonts w:cs="Arial"/>
                <w:color w:val="000000"/>
                <w:szCs w:val="22"/>
                <w:lang w:eastAsia="es-CR"/>
              </w:rPr>
            </w:pPr>
            <w:r w:rsidRPr="00033E65">
              <w:rPr>
                <w:rFonts w:cs="Arial"/>
                <w:color w:val="000000"/>
                <w:szCs w:val="22"/>
                <w:lang w:eastAsia="es-CR"/>
              </w:rPr>
              <w:t>Juzgado Agrario del Primer Circuito Judicial de la Zona Atlántica</w:t>
            </w:r>
          </w:p>
        </w:tc>
        <w:tc>
          <w:tcPr>
            <w:tcW w:w="677" w:type="pct"/>
            <w:tcBorders>
              <w:top w:val="nil"/>
              <w:left w:val="nil"/>
              <w:bottom w:val="double" w:sz="6" w:space="0" w:color="44546A"/>
              <w:right w:val="double" w:sz="6" w:space="0" w:color="44546A"/>
            </w:tcBorders>
            <w:shd w:val="clear" w:color="000000" w:fill="FF0000"/>
            <w:noWrap/>
            <w:vAlign w:val="center"/>
            <w:hideMark/>
          </w:tcPr>
          <w:p w14:paraId="223AC190" w14:textId="77777777" w:rsidR="00374B3C" w:rsidRPr="00033E65" w:rsidRDefault="00374B3C" w:rsidP="00374B3C">
            <w:pPr>
              <w:spacing w:before="0" w:after="0"/>
              <w:jc w:val="center"/>
              <w:rPr>
                <w:rFonts w:cs="Arial"/>
                <w:color w:val="000000"/>
                <w:szCs w:val="22"/>
                <w:lang w:eastAsia="es-CR"/>
              </w:rPr>
            </w:pPr>
            <w:r w:rsidRPr="00033E65">
              <w:rPr>
                <w:rFonts w:cs="Arial"/>
                <w:color w:val="000000"/>
                <w:szCs w:val="22"/>
                <w:lang w:eastAsia="es-CR"/>
              </w:rPr>
              <w:t>D</w:t>
            </w:r>
          </w:p>
        </w:tc>
      </w:tr>
      <w:tr w:rsidR="00374B3C" w:rsidRPr="00033E65" w14:paraId="44225F24" w14:textId="77777777" w:rsidTr="002E177E">
        <w:trPr>
          <w:trHeight w:val="31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4F316F40" w14:textId="6FEE0B27" w:rsidR="00374B3C" w:rsidRPr="00033E65" w:rsidRDefault="00374B3C" w:rsidP="00374B3C">
            <w:pPr>
              <w:spacing w:before="0" w:after="0"/>
              <w:jc w:val="left"/>
              <w:rPr>
                <w:rFonts w:cs="Arial"/>
                <w:color w:val="000000"/>
                <w:szCs w:val="22"/>
                <w:lang w:eastAsia="es-CR"/>
              </w:rPr>
            </w:pPr>
            <w:r w:rsidRPr="00033E65">
              <w:rPr>
                <w:rFonts w:cs="Arial"/>
                <w:color w:val="000000"/>
                <w:szCs w:val="22"/>
                <w:lang w:eastAsia="es-CR"/>
              </w:rPr>
              <w:t>Juzgado Agrario del Segundo Circuito Judicial de la Zona Atlántica</w:t>
            </w:r>
          </w:p>
        </w:tc>
        <w:tc>
          <w:tcPr>
            <w:tcW w:w="677" w:type="pct"/>
            <w:tcBorders>
              <w:top w:val="nil"/>
              <w:left w:val="nil"/>
              <w:bottom w:val="double" w:sz="6" w:space="0" w:color="44546A"/>
              <w:right w:val="double" w:sz="6" w:space="0" w:color="44546A"/>
            </w:tcBorders>
            <w:shd w:val="clear" w:color="auto" w:fill="E36C0A" w:themeFill="accent6" w:themeFillShade="BF"/>
            <w:noWrap/>
            <w:vAlign w:val="center"/>
            <w:hideMark/>
          </w:tcPr>
          <w:p w14:paraId="3685BFF8" w14:textId="1E0FDFF4" w:rsidR="00374B3C" w:rsidRPr="00033E65" w:rsidRDefault="002E177E" w:rsidP="00374B3C">
            <w:pPr>
              <w:spacing w:before="0" w:after="0"/>
              <w:jc w:val="center"/>
              <w:rPr>
                <w:rFonts w:cs="Arial"/>
                <w:color w:val="000000"/>
                <w:szCs w:val="22"/>
                <w:lang w:eastAsia="es-CR"/>
              </w:rPr>
            </w:pPr>
            <w:r w:rsidRPr="00033E65">
              <w:rPr>
                <w:rFonts w:cs="Arial"/>
                <w:color w:val="000000"/>
                <w:szCs w:val="22"/>
                <w:lang w:eastAsia="es-CR"/>
              </w:rPr>
              <w:t>E</w:t>
            </w:r>
          </w:p>
        </w:tc>
      </w:tr>
      <w:tr w:rsidR="00374B3C" w:rsidRPr="00033E65" w14:paraId="3F406141" w14:textId="77777777" w:rsidTr="00710B74">
        <w:trPr>
          <w:trHeight w:val="31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75A8BDF1" w14:textId="1378802F" w:rsidR="00374B3C" w:rsidRPr="00033E65" w:rsidRDefault="00374B3C" w:rsidP="00374B3C">
            <w:pPr>
              <w:spacing w:before="0" w:after="0"/>
              <w:jc w:val="left"/>
              <w:rPr>
                <w:rFonts w:cs="Arial"/>
                <w:color w:val="000000"/>
                <w:szCs w:val="22"/>
                <w:lang w:eastAsia="es-CR"/>
              </w:rPr>
            </w:pPr>
            <w:r w:rsidRPr="00033E65">
              <w:rPr>
                <w:rFonts w:cs="Arial"/>
                <w:color w:val="000000"/>
                <w:szCs w:val="22"/>
                <w:lang w:eastAsia="es-CR"/>
              </w:rPr>
              <w:t>Juzgado Agrario de Jicaral</w:t>
            </w:r>
          </w:p>
        </w:tc>
        <w:tc>
          <w:tcPr>
            <w:tcW w:w="677" w:type="pct"/>
            <w:tcBorders>
              <w:top w:val="nil"/>
              <w:left w:val="nil"/>
              <w:bottom w:val="double" w:sz="6" w:space="0" w:color="44546A"/>
              <w:right w:val="double" w:sz="6" w:space="0" w:color="44546A"/>
            </w:tcBorders>
            <w:shd w:val="clear" w:color="auto" w:fill="F6882E"/>
            <w:noWrap/>
            <w:vAlign w:val="center"/>
            <w:hideMark/>
          </w:tcPr>
          <w:p w14:paraId="658BCCE5" w14:textId="61E5FC47" w:rsidR="00374B3C" w:rsidRPr="00033E65" w:rsidRDefault="00710B74" w:rsidP="00374B3C">
            <w:pPr>
              <w:spacing w:before="0" w:after="0"/>
              <w:jc w:val="center"/>
              <w:rPr>
                <w:rFonts w:cs="Arial"/>
                <w:color w:val="000000"/>
                <w:szCs w:val="22"/>
                <w:lang w:eastAsia="es-CR"/>
              </w:rPr>
            </w:pPr>
            <w:r w:rsidRPr="00033E65">
              <w:rPr>
                <w:rFonts w:cs="Arial"/>
                <w:color w:val="000000"/>
                <w:szCs w:val="22"/>
                <w:lang w:eastAsia="es-CR"/>
              </w:rPr>
              <w:t>E</w:t>
            </w:r>
          </w:p>
        </w:tc>
      </w:tr>
      <w:tr w:rsidR="00374B3C" w:rsidRPr="00033E65" w14:paraId="37DA85BA" w14:textId="77777777" w:rsidTr="00CE1721">
        <w:trPr>
          <w:trHeight w:val="60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23DFE251" w14:textId="4781B931" w:rsidR="00374B3C" w:rsidRPr="00033E65" w:rsidRDefault="00374B3C" w:rsidP="00374B3C">
            <w:pPr>
              <w:spacing w:before="0" w:after="0"/>
              <w:rPr>
                <w:rFonts w:cs="Arial"/>
                <w:color w:val="000000"/>
                <w:szCs w:val="22"/>
                <w:lang w:eastAsia="es-CR"/>
              </w:rPr>
            </w:pPr>
            <w:r w:rsidRPr="00033E65">
              <w:rPr>
                <w:rFonts w:cs="Arial"/>
                <w:color w:val="000000"/>
                <w:szCs w:val="22"/>
                <w:lang w:eastAsia="es-CR"/>
              </w:rPr>
              <w:t>Juzgado Civil y Trabajo del Segundo Circuito Judicial de Alajuela (Upala</w:t>
            </w:r>
          </w:p>
        </w:tc>
        <w:tc>
          <w:tcPr>
            <w:tcW w:w="677" w:type="pct"/>
            <w:tcBorders>
              <w:top w:val="nil"/>
              <w:left w:val="nil"/>
              <w:bottom w:val="double" w:sz="6" w:space="0" w:color="44546A"/>
              <w:right w:val="double" w:sz="6" w:space="0" w:color="44546A"/>
            </w:tcBorders>
            <w:shd w:val="clear" w:color="000000" w:fill="FF0000"/>
            <w:noWrap/>
            <w:vAlign w:val="center"/>
            <w:hideMark/>
          </w:tcPr>
          <w:p w14:paraId="5EF9FFE3" w14:textId="77777777" w:rsidR="00374B3C" w:rsidRPr="00033E65" w:rsidRDefault="00374B3C" w:rsidP="00374B3C">
            <w:pPr>
              <w:spacing w:before="0" w:after="0"/>
              <w:jc w:val="center"/>
              <w:rPr>
                <w:rFonts w:cs="Arial"/>
                <w:color w:val="000000"/>
                <w:szCs w:val="22"/>
                <w:lang w:eastAsia="es-CR"/>
              </w:rPr>
            </w:pPr>
            <w:r w:rsidRPr="00033E65">
              <w:rPr>
                <w:rFonts w:cs="Arial"/>
                <w:color w:val="000000"/>
                <w:szCs w:val="22"/>
                <w:lang w:eastAsia="es-CR"/>
              </w:rPr>
              <w:t>D</w:t>
            </w:r>
          </w:p>
        </w:tc>
      </w:tr>
      <w:tr w:rsidR="00374B3C" w:rsidRPr="00033E65" w14:paraId="20572E17" w14:textId="77777777" w:rsidTr="00CE1721">
        <w:trPr>
          <w:trHeight w:val="60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5548F760" w14:textId="1D877966" w:rsidR="00374B3C" w:rsidRPr="00033E65" w:rsidRDefault="00374B3C" w:rsidP="00374B3C">
            <w:pPr>
              <w:spacing w:before="0" w:after="0"/>
              <w:rPr>
                <w:rFonts w:cs="Arial"/>
                <w:color w:val="000000"/>
                <w:szCs w:val="22"/>
                <w:lang w:eastAsia="es-CR"/>
              </w:rPr>
            </w:pPr>
            <w:r w:rsidRPr="00033E65">
              <w:rPr>
                <w:rFonts w:cs="Arial"/>
                <w:color w:val="000000"/>
                <w:szCs w:val="22"/>
                <w:lang w:eastAsia="es-CR"/>
              </w:rPr>
              <w:t>Juzgado Civil, Trabajo y Familia Buenos Aires</w:t>
            </w:r>
          </w:p>
        </w:tc>
        <w:tc>
          <w:tcPr>
            <w:tcW w:w="677" w:type="pct"/>
            <w:tcBorders>
              <w:top w:val="nil"/>
              <w:left w:val="nil"/>
              <w:bottom w:val="double" w:sz="6" w:space="0" w:color="44546A"/>
              <w:right w:val="double" w:sz="6" w:space="0" w:color="44546A"/>
            </w:tcBorders>
            <w:shd w:val="clear" w:color="000000" w:fill="FF0000"/>
            <w:noWrap/>
            <w:vAlign w:val="center"/>
            <w:hideMark/>
          </w:tcPr>
          <w:p w14:paraId="6B4710AA" w14:textId="77777777" w:rsidR="00374B3C" w:rsidRPr="00033E65" w:rsidRDefault="00374B3C" w:rsidP="00374B3C">
            <w:pPr>
              <w:spacing w:before="0" w:after="0"/>
              <w:jc w:val="center"/>
              <w:rPr>
                <w:rFonts w:cs="Arial"/>
                <w:color w:val="000000"/>
                <w:szCs w:val="22"/>
                <w:lang w:eastAsia="es-CR"/>
              </w:rPr>
            </w:pPr>
            <w:r w:rsidRPr="00033E65">
              <w:rPr>
                <w:rFonts w:cs="Arial"/>
                <w:color w:val="000000"/>
                <w:szCs w:val="22"/>
                <w:lang w:eastAsia="es-CR"/>
              </w:rPr>
              <w:t>D</w:t>
            </w:r>
          </w:p>
        </w:tc>
      </w:tr>
      <w:tr w:rsidR="00374B3C" w:rsidRPr="00033E65" w14:paraId="4ACDBBDE" w14:textId="77777777" w:rsidTr="00710B74">
        <w:trPr>
          <w:trHeight w:val="600"/>
        </w:trPr>
        <w:tc>
          <w:tcPr>
            <w:tcW w:w="4323" w:type="pct"/>
            <w:gridSpan w:val="2"/>
            <w:tcBorders>
              <w:top w:val="nil"/>
              <w:left w:val="double" w:sz="6" w:space="0" w:color="44546A"/>
              <w:bottom w:val="double" w:sz="6" w:space="0" w:color="44546A"/>
              <w:right w:val="double" w:sz="6" w:space="0" w:color="44546A"/>
            </w:tcBorders>
            <w:shd w:val="clear" w:color="auto" w:fill="auto"/>
            <w:noWrap/>
            <w:vAlign w:val="center"/>
            <w:hideMark/>
          </w:tcPr>
          <w:p w14:paraId="4B8FE439" w14:textId="6F178205" w:rsidR="00374B3C" w:rsidRPr="00033E65" w:rsidRDefault="00374B3C" w:rsidP="00374B3C">
            <w:pPr>
              <w:spacing w:before="0" w:after="0"/>
              <w:rPr>
                <w:rFonts w:cs="Arial"/>
                <w:color w:val="000000"/>
                <w:szCs w:val="22"/>
                <w:lang w:eastAsia="es-CR"/>
              </w:rPr>
            </w:pPr>
            <w:r w:rsidRPr="00033E65">
              <w:rPr>
                <w:rFonts w:cs="Arial"/>
                <w:color w:val="000000"/>
                <w:szCs w:val="22"/>
                <w:lang w:eastAsia="es-CR"/>
              </w:rPr>
              <w:t>Juzgado Civil, Trabajo y Agrario de Turrialba</w:t>
            </w:r>
          </w:p>
        </w:tc>
        <w:tc>
          <w:tcPr>
            <w:tcW w:w="677" w:type="pct"/>
            <w:tcBorders>
              <w:top w:val="nil"/>
              <w:left w:val="nil"/>
              <w:bottom w:val="double" w:sz="6" w:space="0" w:color="44546A"/>
              <w:right w:val="double" w:sz="6" w:space="0" w:color="44546A"/>
            </w:tcBorders>
            <w:shd w:val="clear" w:color="auto" w:fill="E36C0A" w:themeFill="accent6" w:themeFillShade="BF"/>
            <w:noWrap/>
            <w:vAlign w:val="center"/>
            <w:hideMark/>
          </w:tcPr>
          <w:p w14:paraId="6A333D90" w14:textId="77777777" w:rsidR="00374B3C" w:rsidRPr="00033E65" w:rsidRDefault="00374B3C" w:rsidP="00374B3C">
            <w:pPr>
              <w:spacing w:before="0" w:after="0"/>
              <w:jc w:val="center"/>
              <w:rPr>
                <w:rFonts w:cs="Arial"/>
                <w:color w:val="000000"/>
                <w:szCs w:val="22"/>
                <w:lang w:eastAsia="es-CR"/>
              </w:rPr>
            </w:pPr>
            <w:r w:rsidRPr="00033E65">
              <w:rPr>
                <w:rFonts w:cs="Arial"/>
                <w:color w:val="000000"/>
                <w:szCs w:val="22"/>
                <w:lang w:eastAsia="es-CR"/>
              </w:rPr>
              <w:t>E</w:t>
            </w:r>
          </w:p>
        </w:tc>
      </w:tr>
    </w:tbl>
    <w:p w14:paraId="2339B72C" w14:textId="34293239" w:rsidR="00374B3C" w:rsidRPr="00033E65" w:rsidRDefault="00BD6C7B" w:rsidP="00730108">
      <w:pPr>
        <w:rPr>
          <w:i/>
          <w:sz w:val="20"/>
        </w:rPr>
      </w:pPr>
      <w:r w:rsidRPr="00033E65">
        <w:rPr>
          <w:i/>
          <w:iCs/>
          <w:sz w:val="20"/>
        </w:rPr>
        <w:t>Fuente:</w:t>
      </w:r>
      <w:r w:rsidR="008A70C0" w:rsidRPr="00033E65">
        <w:rPr>
          <w:i/>
          <w:iCs/>
          <w:sz w:val="20"/>
        </w:rPr>
        <w:t xml:space="preserve"> </w:t>
      </w:r>
      <w:r w:rsidR="00755B20" w:rsidRPr="00033E65">
        <w:rPr>
          <w:i/>
          <w:iCs/>
          <w:sz w:val="20"/>
        </w:rPr>
        <w:t>Subproceso de Moderniz</w:t>
      </w:r>
      <w:r w:rsidR="008A70C0" w:rsidRPr="00033E65">
        <w:rPr>
          <w:i/>
          <w:iCs/>
          <w:sz w:val="20"/>
        </w:rPr>
        <w:t>ación Institucional, No Penal,</w:t>
      </w:r>
      <w:r w:rsidR="00755B20" w:rsidRPr="00033E65">
        <w:rPr>
          <w:i/>
          <w:iCs/>
          <w:sz w:val="20"/>
        </w:rPr>
        <w:t xml:space="preserve"> de acuerdo con información suministrada por Estadística y Subproceso de Evaluación.</w:t>
      </w:r>
    </w:p>
    <w:p w14:paraId="56F48CBF" w14:textId="77777777" w:rsidR="00715841" w:rsidRPr="00033E65" w:rsidRDefault="00715841" w:rsidP="00730108"/>
    <w:p w14:paraId="67206598" w14:textId="0E32E63D" w:rsidR="009A4D5C" w:rsidRPr="00033E65" w:rsidRDefault="00554C4E" w:rsidP="00554C4E">
      <w:pPr>
        <w:pStyle w:val="Ttulo2"/>
        <w:numPr>
          <w:ilvl w:val="0"/>
          <w:numId w:val="0"/>
        </w:numPr>
      </w:pPr>
      <w:bookmarkStart w:id="202" w:name="_Toc132639552"/>
      <w:r>
        <w:t xml:space="preserve">8. </w:t>
      </w:r>
      <w:r w:rsidR="009E5BE6" w:rsidRPr="00033E65">
        <w:t xml:space="preserve">Análisis de Indicadores de Gestión de los </w:t>
      </w:r>
      <w:r w:rsidR="009A4D5C" w:rsidRPr="00033E65">
        <w:t>Juzgados Mixtos con Competencia en Materia Agraria</w:t>
      </w:r>
      <w:bookmarkEnd w:id="202"/>
      <w:r w:rsidR="009A4D5C" w:rsidRPr="00033E65">
        <w:t xml:space="preserve">  </w:t>
      </w:r>
    </w:p>
    <w:p w14:paraId="60E65E6B" w14:textId="3D8DFBC1" w:rsidR="009A4D5C" w:rsidRPr="00033E65" w:rsidRDefault="009E5BE6" w:rsidP="00B75E8A">
      <w:pPr>
        <w:rPr>
          <w:lang w:val="es-ES"/>
        </w:rPr>
      </w:pPr>
      <w:r w:rsidRPr="00033E65">
        <w:rPr>
          <w:lang w:val="es-ES"/>
        </w:rPr>
        <w:t xml:space="preserve">De los tres (3) Despachos de naturaleza mixta, los de Upala y Buenos Aires tienen características similares, por conocer ambos seis (6) materias cada uno y el ubicado en Turrialba conoce únicamente tres materias; por lo que es importante conocer en este apartado, el comportamiento promedio de los siguientes indicadores: </w:t>
      </w:r>
    </w:p>
    <w:p w14:paraId="0AFFE0E0" w14:textId="4B38C8FF" w:rsidR="004667AD" w:rsidRPr="00033E65" w:rsidRDefault="004667AD" w:rsidP="00B75E8A">
      <w:pPr>
        <w:rPr>
          <w:lang w:val="es-ES"/>
        </w:rPr>
      </w:pPr>
    </w:p>
    <w:p w14:paraId="1D95B573" w14:textId="718B4874" w:rsidR="004D13EA" w:rsidRPr="00033E65" w:rsidRDefault="004D13EA" w:rsidP="004D13E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Cuadro </w:t>
      </w:r>
      <w:r w:rsidR="00475C11" w:rsidRPr="00033E65">
        <w:rPr>
          <w:rFonts w:eastAsia="Times New Roman" w:cs="Arial"/>
          <w:iCs/>
          <w:spacing w:val="0"/>
          <w:szCs w:val="28"/>
          <w:lang w:val="es-CR" w:eastAsia="es-ES"/>
        </w:rPr>
        <w:t>1</w:t>
      </w:r>
      <w:r w:rsidR="00AB5B18" w:rsidRPr="00033E65">
        <w:rPr>
          <w:rFonts w:eastAsia="Times New Roman" w:cs="Arial"/>
          <w:iCs/>
          <w:spacing w:val="0"/>
          <w:szCs w:val="28"/>
          <w:lang w:val="es-CR" w:eastAsia="es-ES"/>
        </w:rPr>
        <w:t>6</w:t>
      </w:r>
    </w:p>
    <w:p w14:paraId="2C2638F6" w14:textId="1BFBBCA0" w:rsidR="004D13EA" w:rsidRPr="00033E65" w:rsidRDefault="004D13EA" w:rsidP="004D13EA">
      <w:pPr>
        <w:spacing w:before="0" w:line="252" w:lineRule="auto"/>
        <w:jc w:val="center"/>
        <w:rPr>
          <w:rFonts w:cs="Arial"/>
          <w:b/>
          <w:iCs/>
          <w:color w:val="244061" w:themeColor="accent1" w:themeShade="80"/>
          <w:sz w:val="24"/>
          <w:szCs w:val="28"/>
        </w:rPr>
      </w:pPr>
      <w:r w:rsidRPr="00033E65">
        <w:rPr>
          <w:rFonts w:cs="Arial"/>
          <w:b/>
          <w:iCs/>
          <w:color w:val="244061" w:themeColor="accent1" w:themeShade="80"/>
          <w:sz w:val="24"/>
          <w:szCs w:val="28"/>
        </w:rPr>
        <w:t>Análisis de los Indicadores de Gestión de los Juzgados de Naturaleza Mixta con Competencia en Materia Agraria (Promedio 202</w:t>
      </w:r>
      <w:r w:rsidR="00514FA4" w:rsidRPr="00033E65">
        <w:rPr>
          <w:rFonts w:cs="Arial"/>
          <w:b/>
          <w:iCs/>
          <w:color w:val="244061" w:themeColor="accent1" w:themeShade="80"/>
          <w:sz w:val="24"/>
          <w:szCs w:val="28"/>
        </w:rPr>
        <w:t>1</w:t>
      </w:r>
      <w:r w:rsidRPr="00033E65">
        <w:rPr>
          <w:rFonts w:cs="Arial"/>
          <w:b/>
          <w:iCs/>
          <w:color w:val="244061" w:themeColor="accent1" w:themeShade="80"/>
          <w:sz w:val="24"/>
          <w:szCs w:val="28"/>
        </w:rPr>
        <w:t>-202</w:t>
      </w:r>
      <w:r w:rsidR="00514FA4" w:rsidRPr="00033E65">
        <w:rPr>
          <w:rFonts w:cs="Arial"/>
          <w:b/>
          <w:iCs/>
          <w:color w:val="244061" w:themeColor="accent1" w:themeShade="80"/>
          <w:sz w:val="24"/>
          <w:szCs w:val="28"/>
        </w:rPr>
        <w:t>2</w:t>
      </w:r>
      <w:r w:rsidRPr="00033E65">
        <w:rPr>
          <w:rFonts w:cs="Arial"/>
          <w:b/>
          <w:iCs/>
          <w:color w:val="244061" w:themeColor="accent1" w:themeShade="80"/>
          <w:sz w:val="24"/>
          <w:szCs w:val="28"/>
        </w:rPr>
        <w:t>)</w:t>
      </w:r>
      <w:r w:rsidR="00ED0E9D" w:rsidRPr="00033E65">
        <w:rPr>
          <w:rFonts w:cs="Arial"/>
          <w:b/>
          <w:iCs/>
          <w:color w:val="244061" w:themeColor="accent1" w:themeShade="80"/>
          <w:sz w:val="24"/>
          <w:szCs w:val="28"/>
        </w:rPr>
        <w:t xml:space="preserve"> </w:t>
      </w:r>
    </w:p>
    <w:tbl>
      <w:tblPr>
        <w:tblpPr w:leftFromText="141" w:rightFromText="141" w:vertAnchor="text" w:horzAnchor="margin" w:tblpXSpec="center" w:tblpY="254"/>
        <w:tblW w:w="11660" w:type="dxa"/>
        <w:tblCellMar>
          <w:left w:w="70" w:type="dxa"/>
          <w:right w:w="70" w:type="dxa"/>
        </w:tblCellMar>
        <w:tblLook w:val="04A0" w:firstRow="1" w:lastRow="0" w:firstColumn="1" w:lastColumn="0" w:noHBand="0" w:noVBand="1"/>
      </w:tblPr>
      <w:tblGrid>
        <w:gridCol w:w="7780"/>
        <w:gridCol w:w="1480"/>
        <w:gridCol w:w="1200"/>
        <w:gridCol w:w="1200"/>
      </w:tblGrid>
      <w:tr w:rsidR="004D13EA" w:rsidRPr="00033E65" w14:paraId="055715F5" w14:textId="77777777" w:rsidTr="00086E97">
        <w:trPr>
          <w:trHeight w:val="300"/>
          <w:tblHeader/>
        </w:trPr>
        <w:tc>
          <w:tcPr>
            <w:tcW w:w="7780" w:type="dxa"/>
            <w:tcBorders>
              <w:top w:val="nil"/>
              <w:left w:val="double" w:sz="6" w:space="0" w:color="1F497D"/>
              <w:bottom w:val="double" w:sz="6" w:space="0" w:color="1F497D"/>
              <w:right w:val="double" w:sz="6" w:space="0" w:color="1F497D"/>
            </w:tcBorders>
            <w:shd w:val="clear" w:color="000000" w:fill="0673A5"/>
            <w:noWrap/>
            <w:vAlign w:val="center"/>
            <w:hideMark/>
          </w:tcPr>
          <w:p w14:paraId="043260A6" w14:textId="77777777" w:rsidR="004D13EA" w:rsidRPr="00033E65" w:rsidRDefault="004D13EA" w:rsidP="004D13EA">
            <w:pPr>
              <w:spacing w:before="0" w:after="0"/>
              <w:jc w:val="center"/>
              <w:rPr>
                <w:b/>
                <w:bCs/>
                <w:color w:val="FFFFFF"/>
                <w:szCs w:val="22"/>
                <w:lang w:eastAsia="es-CR"/>
              </w:rPr>
            </w:pPr>
            <w:r w:rsidRPr="00033E65">
              <w:rPr>
                <w:b/>
                <w:bCs/>
                <w:color w:val="FFFFFF"/>
                <w:szCs w:val="22"/>
                <w:lang w:eastAsia="es-CR"/>
              </w:rPr>
              <w:t xml:space="preserve">Indicador </w:t>
            </w:r>
          </w:p>
        </w:tc>
        <w:tc>
          <w:tcPr>
            <w:tcW w:w="1480" w:type="dxa"/>
            <w:tcBorders>
              <w:top w:val="nil"/>
              <w:left w:val="nil"/>
              <w:bottom w:val="double" w:sz="6" w:space="0" w:color="1F497D"/>
              <w:right w:val="double" w:sz="6" w:space="0" w:color="1F497D"/>
            </w:tcBorders>
            <w:shd w:val="clear" w:color="000000" w:fill="0673A5"/>
            <w:noWrap/>
            <w:vAlign w:val="center"/>
            <w:hideMark/>
          </w:tcPr>
          <w:p w14:paraId="1BB264CC" w14:textId="77777777" w:rsidR="004D13EA" w:rsidRPr="00033E65" w:rsidRDefault="004D13EA" w:rsidP="004D13EA">
            <w:pPr>
              <w:spacing w:before="0" w:after="0"/>
              <w:jc w:val="center"/>
              <w:rPr>
                <w:b/>
                <w:bCs/>
                <w:color w:val="FFFFFF"/>
                <w:szCs w:val="22"/>
                <w:lang w:eastAsia="es-CR"/>
              </w:rPr>
            </w:pPr>
            <w:r w:rsidRPr="00033E65">
              <w:rPr>
                <w:b/>
                <w:bCs/>
                <w:color w:val="FFFFFF"/>
                <w:szCs w:val="22"/>
                <w:lang w:eastAsia="es-CR"/>
              </w:rPr>
              <w:t>Buenos Aires</w:t>
            </w:r>
          </w:p>
        </w:tc>
        <w:tc>
          <w:tcPr>
            <w:tcW w:w="1200" w:type="dxa"/>
            <w:tcBorders>
              <w:top w:val="nil"/>
              <w:left w:val="nil"/>
              <w:bottom w:val="double" w:sz="6" w:space="0" w:color="1F497D"/>
              <w:right w:val="double" w:sz="6" w:space="0" w:color="1F497D"/>
            </w:tcBorders>
            <w:shd w:val="clear" w:color="000000" w:fill="0673A5"/>
            <w:noWrap/>
            <w:vAlign w:val="center"/>
            <w:hideMark/>
          </w:tcPr>
          <w:p w14:paraId="25D1AB32" w14:textId="77777777" w:rsidR="004D13EA" w:rsidRPr="00033E65" w:rsidRDefault="004D13EA" w:rsidP="004D13EA">
            <w:pPr>
              <w:spacing w:before="0" w:after="0"/>
              <w:jc w:val="center"/>
              <w:rPr>
                <w:b/>
                <w:bCs/>
                <w:color w:val="FFFFFF"/>
                <w:szCs w:val="22"/>
                <w:lang w:eastAsia="es-CR"/>
              </w:rPr>
            </w:pPr>
            <w:r w:rsidRPr="00033E65">
              <w:rPr>
                <w:b/>
                <w:bCs/>
                <w:color w:val="FFFFFF"/>
                <w:szCs w:val="22"/>
                <w:lang w:eastAsia="es-CR"/>
              </w:rPr>
              <w:t xml:space="preserve">Upala </w:t>
            </w:r>
          </w:p>
        </w:tc>
        <w:tc>
          <w:tcPr>
            <w:tcW w:w="1200" w:type="dxa"/>
            <w:tcBorders>
              <w:top w:val="nil"/>
              <w:left w:val="nil"/>
              <w:bottom w:val="double" w:sz="6" w:space="0" w:color="1F497D"/>
              <w:right w:val="double" w:sz="6" w:space="0" w:color="1F497D"/>
            </w:tcBorders>
            <w:shd w:val="clear" w:color="000000" w:fill="0673A5"/>
            <w:noWrap/>
            <w:vAlign w:val="center"/>
            <w:hideMark/>
          </w:tcPr>
          <w:p w14:paraId="77A162C5" w14:textId="77777777" w:rsidR="004D13EA" w:rsidRPr="00033E65" w:rsidRDefault="004D13EA" w:rsidP="004D13EA">
            <w:pPr>
              <w:spacing w:before="0" w:after="0"/>
              <w:jc w:val="center"/>
              <w:rPr>
                <w:b/>
                <w:bCs/>
                <w:color w:val="FFFFFF"/>
                <w:szCs w:val="22"/>
                <w:lang w:eastAsia="es-CR"/>
              </w:rPr>
            </w:pPr>
            <w:r w:rsidRPr="00033E65">
              <w:rPr>
                <w:b/>
                <w:bCs/>
                <w:color w:val="FFFFFF"/>
                <w:szCs w:val="22"/>
                <w:lang w:eastAsia="es-CR"/>
              </w:rPr>
              <w:t xml:space="preserve">Turrialba </w:t>
            </w:r>
          </w:p>
        </w:tc>
      </w:tr>
      <w:tr w:rsidR="004D13EA" w:rsidRPr="00033E65" w14:paraId="377A814B"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78F20B2D" w14:textId="77777777" w:rsidR="004D13EA" w:rsidRPr="00033E65" w:rsidRDefault="004D13EA" w:rsidP="004D13EA">
            <w:pPr>
              <w:spacing w:before="0" w:after="0"/>
              <w:rPr>
                <w:color w:val="000000"/>
                <w:szCs w:val="22"/>
                <w:lang w:eastAsia="es-CR"/>
              </w:rPr>
            </w:pPr>
            <w:r w:rsidRPr="00033E65">
              <w:rPr>
                <w:color w:val="000000"/>
                <w:szCs w:val="22"/>
                <w:lang w:eastAsia="es-CR"/>
              </w:rPr>
              <w:t>Promedio Mensual Casos Entrados Total (Casos Nuevos + Reentrados)</w:t>
            </w:r>
          </w:p>
        </w:tc>
        <w:tc>
          <w:tcPr>
            <w:tcW w:w="1480" w:type="dxa"/>
            <w:tcBorders>
              <w:top w:val="nil"/>
              <w:left w:val="nil"/>
              <w:bottom w:val="double" w:sz="6" w:space="0" w:color="1F497D"/>
              <w:right w:val="double" w:sz="6" w:space="0" w:color="1F497D"/>
            </w:tcBorders>
            <w:shd w:val="clear" w:color="auto" w:fill="auto"/>
            <w:noWrap/>
            <w:vAlign w:val="center"/>
            <w:hideMark/>
          </w:tcPr>
          <w:p w14:paraId="78A3BFDF" w14:textId="77777777" w:rsidR="004D13EA" w:rsidRPr="00033E65" w:rsidRDefault="004D13EA" w:rsidP="004D13EA">
            <w:pPr>
              <w:spacing w:before="0" w:after="0"/>
              <w:jc w:val="center"/>
              <w:rPr>
                <w:color w:val="000000"/>
                <w:szCs w:val="22"/>
                <w:lang w:eastAsia="es-CR"/>
              </w:rPr>
            </w:pPr>
            <w:r w:rsidRPr="00033E65">
              <w:rPr>
                <w:color w:val="000000"/>
                <w:szCs w:val="22"/>
                <w:lang w:eastAsia="es-CR"/>
              </w:rPr>
              <w:t>7</w:t>
            </w:r>
          </w:p>
        </w:tc>
        <w:tc>
          <w:tcPr>
            <w:tcW w:w="1200" w:type="dxa"/>
            <w:tcBorders>
              <w:top w:val="nil"/>
              <w:left w:val="nil"/>
              <w:bottom w:val="double" w:sz="6" w:space="0" w:color="1F497D"/>
              <w:right w:val="double" w:sz="6" w:space="0" w:color="1F497D"/>
            </w:tcBorders>
            <w:shd w:val="clear" w:color="auto" w:fill="auto"/>
            <w:noWrap/>
            <w:vAlign w:val="center"/>
            <w:hideMark/>
          </w:tcPr>
          <w:p w14:paraId="3D04B809" w14:textId="55E0E89A" w:rsidR="004D13EA" w:rsidRPr="00033E65" w:rsidRDefault="00D915EE" w:rsidP="004D13EA">
            <w:pPr>
              <w:spacing w:before="0" w:after="0"/>
              <w:jc w:val="center"/>
              <w:rPr>
                <w:color w:val="000000"/>
                <w:szCs w:val="22"/>
                <w:lang w:eastAsia="es-CR"/>
              </w:rPr>
            </w:pPr>
            <w:r w:rsidRPr="00033E65">
              <w:rPr>
                <w:color w:val="000000"/>
                <w:szCs w:val="22"/>
                <w:lang w:eastAsia="es-CR"/>
              </w:rPr>
              <w:t>21</w:t>
            </w:r>
          </w:p>
        </w:tc>
        <w:tc>
          <w:tcPr>
            <w:tcW w:w="1200" w:type="dxa"/>
            <w:tcBorders>
              <w:top w:val="nil"/>
              <w:left w:val="nil"/>
              <w:bottom w:val="double" w:sz="6" w:space="0" w:color="1F497D"/>
              <w:right w:val="double" w:sz="6" w:space="0" w:color="1F497D"/>
            </w:tcBorders>
            <w:shd w:val="clear" w:color="auto" w:fill="auto"/>
            <w:noWrap/>
            <w:vAlign w:val="center"/>
            <w:hideMark/>
          </w:tcPr>
          <w:p w14:paraId="79150C01" w14:textId="3FF46885" w:rsidR="004D13EA" w:rsidRPr="00033E65" w:rsidRDefault="00D915EE" w:rsidP="004D13EA">
            <w:pPr>
              <w:spacing w:before="0" w:after="0"/>
              <w:jc w:val="center"/>
              <w:rPr>
                <w:color w:val="000000"/>
                <w:szCs w:val="22"/>
                <w:lang w:eastAsia="es-CR"/>
              </w:rPr>
            </w:pPr>
            <w:r w:rsidRPr="00033E65">
              <w:rPr>
                <w:color w:val="000000"/>
                <w:szCs w:val="22"/>
                <w:lang w:eastAsia="es-CR"/>
              </w:rPr>
              <w:t>8</w:t>
            </w:r>
          </w:p>
        </w:tc>
      </w:tr>
      <w:tr w:rsidR="004D13EA" w:rsidRPr="00033E65" w14:paraId="5C3B625A"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71BEE8B1" w14:textId="77777777" w:rsidR="004D13EA" w:rsidRPr="00033E65" w:rsidRDefault="004D13EA" w:rsidP="004D13EA">
            <w:pPr>
              <w:spacing w:before="0" w:after="0"/>
              <w:rPr>
                <w:color w:val="000000"/>
                <w:szCs w:val="22"/>
                <w:lang w:eastAsia="es-CR"/>
              </w:rPr>
            </w:pPr>
            <w:r w:rsidRPr="00033E65">
              <w:rPr>
                <w:color w:val="000000"/>
                <w:szCs w:val="22"/>
                <w:lang w:eastAsia="es-CR"/>
              </w:rPr>
              <w:t>Promedio Mensual Casos Terminados Total (Casos Finalizados + Inactivos)</w:t>
            </w:r>
          </w:p>
        </w:tc>
        <w:tc>
          <w:tcPr>
            <w:tcW w:w="1480" w:type="dxa"/>
            <w:tcBorders>
              <w:top w:val="nil"/>
              <w:left w:val="nil"/>
              <w:bottom w:val="double" w:sz="6" w:space="0" w:color="1F497D"/>
              <w:right w:val="double" w:sz="6" w:space="0" w:color="1F497D"/>
            </w:tcBorders>
            <w:shd w:val="clear" w:color="auto" w:fill="auto"/>
            <w:noWrap/>
            <w:vAlign w:val="center"/>
            <w:hideMark/>
          </w:tcPr>
          <w:p w14:paraId="43F1D552" w14:textId="77777777" w:rsidR="004D13EA" w:rsidRPr="00033E65" w:rsidRDefault="004D13EA" w:rsidP="004D13EA">
            <w:pPr>
              <w:spacing w:before="0" w:after="0"/>
              <w:jc w:val="center"/>
              <w:rPr>
                <w:color w:val="000000"/>
                <w:szCs w:val="22"/>
                <w:lang w:eastAsia="es-CR"/>
              </w:rPr>
            </w:pPr>
            <w:r w:rsidRPr="00033E65">
              <w:rPr>
                <w:color w:val="000000"/>
                <w:szCs w:val="22"/>
                <w:lang w:eastAsia="es-CR"/>
              </w:rPr>
              <w:t>6</w:t>
            </w:r>
          </w:p>
        </w:tc>
        <w:tc>
          <w:tcPr>
            <w:tcW w:w="1200" w:type="dxa"/>
            <w:tcBorders>
              <w:top w:val="nil"/>
              <w:left w:val="nil"/>
              <w:bottom w:val="double" w:sz="6" w:space="0" w:color="1F497D"/>
              <w:right w:val="double" w:sz="6" w:space="0" w:color="1F497D"/>
            </w:tcBorders>
            <w:shd w:val="clear" w:color="auto" w:fill="auto"/>
            <w:noWrap/>
            <w:vAlign w:val="center"/>
            <w:hideMark/>
          </w:tcPr>
          <w:p w14:paraId="2F9190EB" w14:textId="5A5B85C6" w:rsidR="004D13EA" w:rsidRPr="00033E65" w:rsidRDefault="00D915EE" w:rsidP="004D13EA">
            <w:pPr>
              <w:spacing w:before="0" w:after="0"/>
              <w:jc w:val="center"/>
              <w:rPr>
                <w:color w:val="000000"/>
                <w:szCs w:val="22"/>
                <w:lang w:eastAsia="es-CR"/>
              </w:rPr>
            </w:pPr>
            <w:r w:rsidRPr="00033E65">
              <w:rPr>
                <w:color w:val="000000"/>
                <w:szCs w:val="22"/>
                <w:lang w:eastAsia="es-CR"/>
              </w:rPr>
              <w:t>28</w:t>
            </w:r>
          </w:p>
        </w:tc>
        <w:tc>
          <w:tcPr>
            <w:tcW w:w="1200" w:type="dxa"/>
            <w:tcBorders>
              <w:top w:val="nil"/>
              <w:left w:val="nil"/>
              <w:bottom w:val="double" w:sz="6" w:space="0" w:color="1F497D"/>
              <w:right w:val="double" w:sz="6" w:space="0" w:color="1F497D"/>
            </w:tcBorders>
            <w:shd w:val="clear" w:color="auto" w:fill="auto"/>
            <w:noWrap/>
            <w:vAlign w:val="center"/>
            <w:hideMark/>
          </w:tcPr>
          <w:p w14:paraId="7E7150F2" w14:textId="0427D533" w:rsidR="004D13EA" w:rsidRPr="00033E65" w:rsidRDefault="00D915EE" w:rsidP="004D13EA">
            <w:pPr>
              <w:spacing w:before="0" w:after="0"/>
              <w:jc w:val="center"/>
              <w:rPr>
                <w:color w:val="000000"/>
                <w:szCs w:val="22"/>
                <w:lang w:eastAsia="es-CR"/>
              </w:rPr>
            </w:pPr>
            <w:r w:rsidRPr="00033E65">
              <w:rPr>
                <w:color w:val="000000"/>
                <w:szCs w:val="22"/>
                <w:lang w:eastAsia="es-CR"/>
              </w:rPr>
              <w:t>11</w:t>
            </w:r>
          </w:p>
        </w:tc>
      </w:tr>
      <w:tr w:rsidR="004D13EA" w:rsidRPr="00033E65" w14:paraId="5EF95C5F"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6D38FC12" w14:textId="77777777" w:rsidR="004D13EA" w:rsidRPr="00033E65" w:rsidRDefault="004D13EA" w:rsidP="004D13EA">
            <w:pPr>
              <w:spacing w:before="0" w:after="0"/>
              <w:rPr>
                <w:color w:val="000000"/>
                <w:szCs w:val="22"/>
                <w:lang w:eastAsia="es-CR"/>
              </w:rPr>
            </w:pPr>
            <w:r w:rsidRPr="00033E65">
              <w:rPr>
                <w:color w:val="000000"/>
                <w:szCs w:val="22"/>
                <w:lang w:eastAsia="es-CR"/>
              </w:rPr>
              <w:t>Relación Salida vs Entrada</w:t>
            </w:r>
          </w:p>
        </w:tc>
        <w:tc>
          <w:tcPr>
            <w:tcW w:w="1480" w:type="dxa"/>
            <w:tcBorders>
              <w:top w:val="nil"/>
              <w:left w:val="nil"/>
              <w:bottom w:val="double" w:sz="6" w:space="0" w:color="1F497D"/>
              <w:right w:val="double" w:sz="6" w:space="0" w:color="1F497D"/>
            </w:tcBorders>
            <w:shd w:val="clear" w:color="auto" w:fill="auto"/>
            <w:noWrap/>
            <w:vAlign w:val="center"/>
            <w:hideMark/>
          </w:tcPr>
          <w:p w14:paraId="3E2B3587" w14:textId="77777777" w:rsidR="004D13EA" w:rsidRPr="00033E65" w:rsidRDefault="004D13EA" w:rsidP="004D13EA">
            <w:pPr>
              <w:spacing w:before="0" w:after="0"/>
              <w:jc w:val="center"/>
              <w:rPr>
                <w:color w:val="000000"/>
                <w:szCs w:val="22"/>
                <w:lang w:eastAsia="es-CR"/>
              </w:rPr>
            </w:pPr>
            <w:r w:rsidRPr="00033E65">
              <w:rPr>
                <w:color w:val="000000"/>
                <w:szCs w:val="22"/>
                <w:lang w:eastAsia="es-CR"/>
              </w:rPr>
              <w:t>86%</w:t>
            </w:r>
          </w:p>
        </w:tc>
        <w:tc>
          <w:tcPr>
            <w:tcW w:w="1200" w:type="dxa"/>
            <w:tcBorders>
              <w:top w:val="nil"/>
              <w:left w:val="nil"/>
              <w:bottom w:val="double" w:sz="6" w:space="0" w:color="1F497D"/>
              <w:right w:val="double" w:sz="6" w:space="0" w:color="1F497D"/>
            </w:tcBorders>
            <w:shd w:val="clear" w:color="auto" w:fill="auto"/>
            <w:noWrap/>
            <w:vAlign w:val="center"/>
            <w:hideMark/>
          </w:tcPr>
          <w:p w14:paraId="1AB1409B" w14:textId="6CBF1DB1" w:rsidR="004D13EA" w:rsidRPr="00033E65" w:rsidRDefault="00C165A3" w:rsidP="004D13EA">
            <w:pPr>
              <w:spacing w:before="0" w:after="0"/>
              <w:jc w:val="center"/>
              <w:rPr>
                <w:color w:val="000000"/>
                <w:szCs w:val="22"/>
                <w:lang w:eastAsia="es-CR"/>
              </w:rPr>
            </w:pPr>
            <w:r w:rsidRPr="00033E65">
              <w:rPr>
                <w:color w:val="000000"/>
                <w:szCs w:val="22"/>
                <w:lang w:eastAsia="es-CR"/>
              </w:rPr>
              <w:t>133</w:t>
            </w:r>
            <w:r w:rsidR="004D13EA" w:rsidRPr="00033E65">
              <w:rPr>
                <w:color w:val="000000"/>
                <w:szCs w:val="22"/>
                <w:lang w:eastAsia="es-CR"/>
              </w:rPr>
              <w:t>%</w:t>
            </w:r>
          </w:p>
        </w:tc>
        <w:tc>
          <w:tcPr>
            <w:tcW w:w="1200" w:type="dxa"/>
            <w:tcBorders>
              <w:top w:val="nil"/>
              <w:left w:val="nil"/>
              <w:bottom w:val="double" w:sz="6" w:space="0" w:color="1F497D"/>
              <w:right w:val="double" w:sz="6" w:space="0" w:color="1F497D"/>
            </w:tcBorders>
            <w:shd w:val="clear" w:color="auto" w:fill="auto"/>
            <w:noWrap/>
            <w:vAlign w:val="center"/>
            <w:hideMark/>
          </w:tcPr>
          <w:p w14:paraId="1D083581" w14:textId="29CFFA2C" w:rsidR="004D13EA" w:rsidRPr="00033E65" w:rsidRDefault="00C165A3" w:rsidP="004D13EA">
            <w:pPr>
              <w:spacing w:before="0" w:after="0"/>
              <w:jc w:val="center"/>
              <w:rPr>
                <w:color w:val="000000"/>
                <w:szCs w:val="22"/>
                <w:lang w:eastAsia="es-CR"/>
              </w:rPr>
            </w:pPr>
            <w:r w:rsidRPr="00033E65">
              <w:rPr>
                <w:color w:val="000000"/>
                <w:szCs w:val="22"/>
                <w:lang w:eastAsia="es-CR"/>
              </w:rPr>
              <w:t>138</w:t>
            </w:r>
            <w:r w:rsidR="004D13EA" w:rsidRPr="00033E65">
              <w:rPr>
                <w:color w:val="000000"/>
                <w:szCs w:val="22"/>
                <w:lang w:eastAsia="es-CR"/>
              </w:rPr>
              <w:t>%</w:t>
            </w:r>
          </w:p>
        </w:tc>
      </w:tr>
      <w:tr w:rsidR="004D13EA" w:rsidRPr="00033E65" w14:paraId="219920C9"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1F597F6E" w14:textId="4724EA7F" w:rsidR="004D13EA" w:rsidRPr="0043490A" w:rsidRDefault="004D13EA" w:rsidP="004D13EA">
            <w:pPr>
              <w:spacing w:before="0" w:after="0"/>
              <w:rPr>
                <w:color w:val="000000"/>
                <w:szCs w:val="22"/>
                <w:lang w:eastAsia="es-CR"/>
              </w:rPr>
            </w:pPr>
            <w:r w:rsidRPr="00033E65">
              <w:rPr>
                <w:color w:val="000000"/>
                <w:szCs w:val="22"/>
                <w:lang w:eastAsia="es-CR"/>
              </w:rPr>
              <w:t xml:space="preserve">Circulante Final </w:t>
            </w:r>
            <w:r w:rsidR="00665E77" w:rsidRPr="00033E65">
              <w:rPr>
                <w:color w:val="000000"/>
                <w:szCs w:val="22"/>
                <w:lang w:eastAsia="es-CR"/>
              </w:rPr>
              <w:t xml:space="preserve"> </w:t>
            </w:r>
            <w:r w:rsidR="00C01C9E" w:rsidRPr="00033E65">
              <w:rPr>
                <w:color w:val="000000"/>
                <w:szCs w:val="22"/>
                <w:lang w:eastAsia="es-CR"/>
              </w:rPr>
              <w:t xml:space="preserve"> </w:t>
            </w:r>
          </w:p>
        </w:tc>
        <w:tc>
          <w:tcPr>
            <w:tcW w:w="1480" w:type="dxa"/>
            <w:tcBorders>
              <w:top w:val="nil"/>
              <w:left w:val="nil"/>
              <w:bottom w:val="double" w:sz="6" w:space="0" w:color="1F497D"/>
              <w:right w:val="double" w:sz="6" w:space="0" w:color="1F497D"/>
            </w:tcBorders>
            <w:shd w:val="clear" w:color="auto" w:fill="auto"/>
            <w:noWrap/>
            <w:vAlign w:val="center"/>
            <w:hideMark/>
          </w:tcPr>
          <w:p w14:paraId="477A6D69" w14:textId="4C858A91" w:rsidR="004D13EA" w:rsidRPr="00033E65" w:rsidRDefault="00C165A3" w:rsidP="004D13EA">
            <w:pPr>
              <w:spacing w:before="0" w:after="0"/>
              <w:jc w:val="center"/>
              <w:rPr>
                <w:color w:val="000000"/>
                <w:szCs w:val="22"/>
                <w:lang w:eastAsia="es-CR"/>
              </w:rPr>
            </w:pPr>
            <w:r w:rsidRPr="00033E65">
              <w:rPr>
                <w:color w:val="000000"/>
                <w:szCs w:val="22"/>
                <w:lang w:eastAsia="es-CR"/>
              </w:rPr>
              <w:t>3</w:t>
            </w:r>
            <w:r w:rsidR="00E27B7A" w:rsidRPr="00033E65">
              <w:rPr>
                <w:color w:val="000000"/>
                <w:szCs w:val="22"/>
                <w:lang w:eastAsia="es-CR"/>
              </w:rPr>
              <w:t>60</w:t>
            </w:r>
          </w:p>
        </w:tc>
        <w:tc>
          <w:tcPr>
            <w:tcW w:w="1200" w:type="dxa"/>
            <w:tcBorders>
              <w:top w:val="nil"/>
              <w:left w:val="nil"/>
              <w:bottom w:val="double" w:sz="6" w:space="0" w:color="1F497D"/>
              <w:right w:val="double" w:sz="6" w:space="0" w:color="1F497D"/>
            </w:tcBorders>
            <w:shd w:val="clear" w:color="auto" w:fill="auto"/>
            <w:noWrap/>
            <w:vAlign w:val="center"/>
            <w:hideMark/>
          </w:tcPr>
          <w:p w14:paraId="3EC435CD" w14:textId="5D882F72" w:rsidR="004D13EA" w:rsidRPr="00033E65" w:rsidRDefault="00E27B7A" w:rsidP="004D13EA">
            <w:pPr>
              <w:spacing w:before="0" w:after="0"/>
              <w:jc w:val="center"/>
              <w:rPr>
                <w:color w:val="000000"/>
                <w:szCs w:val="22"/>
                <w:lang w:eastAsia="es-CR"/>
              </w:rPr>
            </w:pPr>
            <w:r w:rsidRPr="00033E65">
              <w:rPr>
                <w:color w:val="000000"/>
                <w:szCs w:val="22"/>
                <w:lang w:eastAsia="es-CR"/>
              </w:rPr>
              <w:t>662</w:t>
            </w:r>
          </w:p>
        </w:tc>
        <w:tc>
          <w:tcPr>
            <w:tcW w:w="1200" w:type="dxa"/>
            <w:tcBorders>
              <w:top w:val="nil"/>
              <w:left w:val="nil"/>
              <w:bottom w:val="double" w:sz="6" w:space="0" w:color="1F497D"/>
              <w:right w:val="double" w:sz="6" w:space="0" w:color="1F497D"/>
            </w:tcBorders>
            <w:shd w:val="clear" w:color="auto" w:fill="auto"/>
            <w:noWrap/>
            <w:vAlign w:val="center"/>
            <w:hideMark/>
          </w:tcPr>
          <w:p w14:paraId="0850DF74" w14:textId="19C8184F" w:rsidR="004D13EA" w:rsidRPr="00033E65" w:rsidRDefault="00031513" w:rsidP="004D13EA">
            <w:pPr>
              <w:spacing w:before="0" w:after="0"/>
              <w:jc w:val="center"/>
              <w:rPr>
                <w:color w:val="000000"/>
                <w:szCs w:val="22"/>
                <w:lang w:eastAsia="es-CR"/>
              </w:rPr>
            </w:pPr>
            <w:r w:rsidRPr="00033E65">
              <w:rPr>
                <w:color w:val="000000"/>
                <w:szCs w:val="22"/>
                <w:lang w:eastAsia="es-CR"/>
              </w:rPr>
              <w:t>1</w:t>
            </w:r>
            <w:r w:rsidR="00E27B7A" w:rsidRPr="00033E65">
              <w:rPr>
                <w:color w:val="000000"/>
                <w:szCs w:val="22"/>
                <w:lang w:eastAsia="es-CR"/>
              </w:rPr>
              <w:t>81</w:t>
            </w:r>
          </w:p>
        </w:tc>
      </w:tr>
      <w:tr w:rsidR="004D13EA" w:rsidRPr="00033E65" w14:paraId="131A4415"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0A8B88FA" w14:textId="77777777" w:rsidR="004D13EA" w:rsidRPr="00033E65" w:rsidRDefault="004D13EA" w:rsidP="004D13EA">
            <w:pPr>
              <w:spacing w:before="0" w:after="0"/>
              <w:rPr>
                <w:color w:val="000000"/>
                <w:szCs w:val="22"/>
                <w:lang w:eastAsia="es-CR"/>
              </w:rPr>
            </w:pPr>
            <w:r w:rsidRPr="00033E65">
              <w:rPr>
                <w:color w:val="000000"/>
                <w:szCs w:val="22"/>
                <w:lang w:eastAsia="es-CR"/>
              </w:rPr>
              <w:t>Plazo de Espera de Dictado de Sentencia</w:t>
            </w:r>
          </w:p>
        </w:tc>
        <w:tc>
          <w:tcPr>
            <w:tcW w:w="1480" w:type="dxa"/>
            <w:tcBorders>
              <w:top w:val="nil"/>
              <w:left w:val="nil"/>
              <w:bottom w:val="double" w:sz="6" w:space="0" w:color="1F497D"/>
              <w:right w:val="double" w:sz="6" w:space="0" w:color="1F497D"/>
            </w:tcBorders>
            <w:shd w:val="clear" w:color="auto" w:fill="auto"/>
            <w:noWrap/>
            <w:vAlign w:val="center"/>
            <w:hideMark/>
          </w:tcPr>
          <w:p w14:paraId="26129D03" w14:textId="702FB948" w:rsidR="004D13EA" w:rsidRPr="00033E65" w:rsidRDefault="00031513" w:rsidP="004D13EA">
            <w:pPr>
              <w:spacing w:before="0" w:after="0"/>
              <w:jc w:val="center"/>
              <w:rPr>
                <w:color w:val="000000"/>
                <w:szCs w:val="22"/>
                <w:lang w:eastAsia="es-CR"/>
              </w:rPr>
            </w:pPr>
            <w:r w:rsidRPr="00033E65">
              <w:rPr>
                <w:color w:val="000000"/>
                <w:szCs w:val="22"/>
                <w:lang w:eastAsia="es-CR"/>
              </w:rPr>
              <w:t>27</w:t>
            </w:r>
          </w:p>
        </w:tc>
        <w:tc>
          <w:tcPr>
            <w:tcW w:w="1200" w:type="dxa"/>
            <w:tcBorders>
              <w:top w:val="nil"/>
              <w:left w:val="nil"/>
              <w:bottom w:val="double" w:sz="6" w:space="0" w:color="1F497D"/>
              <w:right w:val="double" w:sz="6" w:space="0" w:color="1F497D"/>
            </w:tcBorders>
            <w:shd w:val="clear" w:color="auto" w:fill="auto"/>
            <w:noWrap/>
            <w:vAlign w:val="center"/>
            <w:hideMark/>
          </w:tcPr>
          <w:p w14:paraId="331E4CCA" w14:textId="34B225BD" w:rsidR="004D13EA" w:rsidRPr="00033E65" w:rsidRDefault="00031513" w:rsidP="004D13EA">
            <w:pPr>
              <w:spacing w:before="0" w:after="0"/>
              <w:jc w:val="center"/>
              <w:rPr>
                <w:color w:val="000000"/>
                <w:szCs w:val="22"/>
                <w:lang w:eastAsia="es-CR"/>
              </w:rPr>
            </w:pPr>
            <w:r w:rsidRPr="00033E65">
              <w:rPr>
                <w:color w:val="000000"/>
                <w:szCs w:val="22"/>
                <w:lang w:eastAsia="es-CR"/>
              </w:rPr>
              <w:t>191</w:t>
            </w:r>
          </w:p>
        </w:tc>
        <w:tc>
          <w:tcPr>
            <w:tcW w:w="1200" w:type="dxa"/>
            <w:tcBorders>
              <w:top w:val="nil"/>
              <w:left w:val="nil"/>
              <w:bottom w:val="double" w:sz="6" w:space="0" w:color="1F497D"/>
              <w:right w:val="double" w:sz="6" w:space="0" w:color="1F497D"/>
            </w:tcBorders>
            <w:shd w:val="clear" w:color="auto" w:fill="auto"/>
            <w:noWrap/>
            <w:vAlign w:val="center"/>
            <w:hideMark/>
          </w:tcPr>
          <w:p w14:paraId="2C74ACE9" w14:textId="61FC8C0E" w:rsidR="004D13EA" w:rsidRPr="00033E65" w:rsidRDefault="00031513" w:rsidP="004D13EA">
            <w:pPr>
              <w:spacing w:before="0" w:after="0"/>
              <w:jc w:val="center"/>
              <w:rPr>
                <w:color w:val="000000"/>
                <w:szCs w:val="22"/>
                <w:lang w:eastAsia="es-CR"/>
              </w:rPr>
            </w:pPr>
            <w:r w:rsidRPr="00033E65">
              <w:rPr>
                <w:color w:val="000000"/>
                <w:szCs w:val="22"/>
                <w:lang w:eastAsia="es-CR"/>
              </w:rPr>
              <w:t>21</w:t>
            </w:r>
          </w:p>
        </w:tc>
      </w:tr>
      <w:tr w:rsidR="004D13EA" w:rsidRPr="00033E65" w14:paraId="25C28D13"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71B2A082" w14:textId="77777777" w:rsidR="004D13EA" w:rsidRPr="00033E65" w:rsidRDefault="004D13EA" w:rsidP="004D13EA">
            <w:pPr>
              <w:spacing w:before="0" w:after="0"/>
              <w:rPr>
                <w:color w:val="000000"/>
                <w:szCs w:val="22"/>
                <w:lang w:eastAsia="es-CR"/>
              </w:rPr>
            </w:pPr>
            <w:r w:rsidRPr="00033E65">
              <w:rPr>
                <w:color w:val="000000"/>
                <w:szCs w:val="22"/>
                <w:lang w:eastAsia="es-CR"/>
              </w:rPr>
              <w:t>Cantidad Mensual Promedio de audiencias pendientes de realización</w:t>
            </w:r>
          </w:p>
        </w:tc>
        <w:tc>
          <w:tcPr>
            <w:tcW w:w="1480" w:type="dxa"/>
            <w:tcBorders>
              <w:top w:val="nil"/>
              <w:left w:val="nil"/>
              <w:bottom w:val="double" w:sz="6" w:space="0" w:color="1F497D"/>
              <w:right w:val="double" w:sz="6" w:space="0" w:color="1F497D"/>
            </w:tcBorders>
            <w:shd w:val="clear" w:color="auto" w:fill="auto"/>
            <w:noWrap/>
            <w:vAlign w:val="center"/>
            <w:hideMark/>
          </w:tcPr>
          <w:p w14:paraId="6CC494FC" w14:textId="262DB5B3" w:rsidR="004D13EA" w:rsidRPr="00033E65" w:rsidRDefault="00EF30E0" w:rsidP="004D13EA">
            <w:pPr>
              <w:spacing w:before="0" w:after="0"/>
              <w:jc w:val="center"/>
              <w:rPr>
                <w:color w:val="000000"/>
                <w:szCs w:val="22"/>
                <w:lang w:eastAsia="es-CR"/>
              </w:rPr>
            </w:pPr>
            <w:r w:rsidRPr="00033E65">
              <w:rPr>
                <w:color w:val="000000"/>
                <w:szCs w:val="22"/>
                <w:lang w:eastAsia="es-CR"/>
              </w:rPr>
              <w:t>39</w:t>
            </w:r>
          </w:p>
        </w:tc>
        <w:tc>
          <w:tcPr>
            <w:tcW w:w="1200" w:type="dxa"/>
            <w:tcBorders>
              <w:top w:val="nil"/>
              <w:left w:val="nil"/>
              <w:bottom w:val="double" w:sz="6" w:space="0" w:color="1F497D"/>
              <w:right w:val="double" w:sz="6" w:space="0" w:color="1F497D"/>
            </w:tcBorders>
            <w:shd w:val="clear" w:color="auto" w:fill="auto"/>
            <w:noWrap/>
            <w:vAlign w:val="center"/>
            <w:hideMark/>
          </w:tcPr>
          <w:p w14:paraId="4C9467D4" w14:textId="34AF6ECB" w:rsidR="004D13EA" w:rsidRPr="00033E65" w:rsidRDefault="00EF30E0" w:rsidP="004D13EA">
            <w:pPr>
              <w:spacing w:before="0" w:after="0"/>
              <w:jc w:val="center"/>
              <w:rPr>
                <w:color w:val="000000"/>
                <w:szCs w:val="22"/>
                <w:lang w:eastAsia="es-CR"/>
              </w:rPr>
            </w:pPr>
            <w:r w:rsidRPr="00033E65">
              <w:rPr>
                <w:color w:val="000000"/>
                <w:szCs w:val="22"/>
                <w:lang w:eastAsia="es-CR"/>
              </w:rPr>
              <w:t>159</w:t>
            </w:r>
          </w:p>
        </w:tc>
        <w:tc>
          <w:tcPr>
            <w:tcW w:w="1200" w:type="dxa"/>
            <w:tcBorders>
              <w:top w:val="nil"/>
              <w:left w:val="nil"/>
              <w:bottom w:val="double" w:sz="6" w:space="0" w:color="1F497D"/>
              <w:right w:val="double" w:sz="6" w:space="0" w:color="1F497D"/>
            </w:tcBorders>
            <w:shd w:val="clear" w:color="auto" w:fill="auto"/>
            <w:noWrap/>
            <w:vAlign w:val="center"/>
            <w:hideMark/>
          </w:tcPr>
          <w:p w14:paraId="74601996" w14:textId="3D684DE4" w:rsidR="004D13EA" w:rsidRPr="00033E65" w:rsidRDefault="00E57E96" w:rsidP="004D13EA">
            <w:pPr>
              <w:spacing w:before="0" w:after="0"/>
              <w:jc w:val="center"/>
              <w:rPr>
                <w:color w:val="000000"/>
                <w:szCs w:val="22"/>
                <w:lang w:eastAsia="es-CR"/>
              </w:rPr>
            </w:pPr>
            <w:r w:rsidRPr="00033E65">
              <w:rPr>
                <w:color w:val="000000"/>
                <w:szCs w:val="22"/>
                <w:lang w:eastAsia="es-CR"/>
              </w:rPr>
              <w:t>11</w:t>
            </w:r>
          </w:p>
        </w:tc>
      </w:tr>
      <w:tr w:rsidR="004D13EA" w:rsidRPr="00033E65" w14:paraId="2B028F12"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33AAD5DD" w14:textId="77777777" w:rsidR="004D13EA" w:rsidRPr="00033E65" w:rsidRDefault="004D13EA" w:rsidP="004D13EA">
            <w:pPr>
              <w:spacing w:before="0" w:after="0"/>
              <w:rPr>
                <w:color w:val="000000"/>
                <w:szCs w:val="22"/>
                <w:lang w:eastAsia="es-CR"/>
              </w:rPr>
            </w:pPr>
            <w:r w:rsidRPr="00033E65">
              <w:rPr>
                <w:color w:val="000000"/>
                <w:szCs w:val="22"/>
                <w:lang w:eastAsia="es-CR"/>
              </w:rPr>
              <w:t>Cantidad Mensual Promedio de Expedientes Pendientes de Fallo</w:t>
            </w:r>
          </w:p>
        </w:tc>
        <w:tc>
          <w:tcPr>
            <w:tcW w:w="1480" w:type="dxa"/>
            <w:tcBorders>
              <w:top w:val="nil"/>
              <w:left w:val="nil"/>
              <w:bottom w:val="double" w:sz="6" w:space="0" w:color="1F497D"/>
              <w:right w:val="double" w:sz="6" w:space="0" w:color="1F497D"/>
            </w:tcBorders>
            <w:shd w:val="clear" w:color="auto" w:fill="auto"/>
            <w:noWrap/>
            <w:vAlign w:val="center"/>
            <w:hideMark/>
          </w:tcPr>
          <w:p w14:paraId="3BDB4F76" w14:textId="02A15149" w:rsidR="004D13EA" w:rsidRPr="00033E65" w:rsidRDefault="008E4A10" w:rsidP="004D13EA">
            <w:pPr>
              <w:spacing w:before="0" w:after="0"/>
              <w:jc w:val="center"/>
              <w:rPr>
                <w:color w:val="000000"/>
                <w:szCs w:val="22"/>
                <w:lang w:eastAsia="es-CR"/>
              </w:rPr>
            </w:pPr>
            <w:r w:rsidRPr="00033E65">
              <w:rPr>
                <w:color w:val="000000"/>
                <w:szCs w:val="22"/>
                <w:lang w:eastAsia="es-CR"/>
              </w:rPr>
              <w:t>3</w:t>
            </w:r>
          </w:p>
        </w:tc>
        <w:tc>
          <w:tcPr>
            <w:tcW w:w="1200" w:type="dxa"/>
            <w:tcBorders>
              <w:top w:val="nil"/>
              <w:left w:val="nil"/>
              <w:bottom w:val="double" w:sz="6" w:space="0" w:color="1F497D"/>
              <w:right w:val="double" w:sz="6" w:space="0" w:color="1F497D"/>
            </w:tcBorders>
            <w:shd w:val="clear" w:color="auto" w:fill="auto"/>
            <w:noWrap/>
            <w:vAlign w:val="center"/>
            <w:hideMark/>
          </w:tcPr>
          <w:p w14:paraId="678422FA" w14:textId="37C58C69" w:rsidR="004D13EA" w:rsidRPr="00033E65" w:rsidRDefault="008E4A10" w:rsidP="004D13EA">
            <w:pPr>
              <w:spacing w:before="0" w:after="0"/>
              <w:jc w:val="center"/>
              <w:rPr>
                <w:color w:val="000000"/>
                <w:szCs w:val="22"/>
                <w:lang w:eastAsia="es-CR"/>
              </w:rPr>
            </w:pPr>
            <w:r w:rsidRPr="00033E65">
              <w:rPr>
                <w:color w:val="000000"/>
                <w:szCs w:val="22"/>
                <w:lang w:eastAsia="es-CR"/>
              </w:rPr>
              <w:t>23</w:t>
            </w:r>
          </w:p>
        </w:tc>
        <w:tc>
          <w:tcPr>
            <w:tcW w:w="1200" w:type="dxa"/>
            <w:tcBorders>
              <w:top w:val="nil"/>
              <w:left w:val="nil"/>
              <w:bottom w:val="double" w:sz="6" w:space="0" w:color="1F497D"/>
              <w:right w:val="double" w:sz="6" w:space="0" w:color="1F497D"/>
            </w:tcBorders>
            <w:shd w:val="clear" w:color="auto" w:fill="auto"/>
            <w:noWrap/>
            <w:vAlign w:val="center"/>
            <w:hideMark/>
          </w:tcPr>
          <w:p w14:paraId="533ECB1A" w14:textId="2FBD9F39" w:rsidR="004D13EA" w:rsidRPr="00033E65" w:rsidRDefault="008E4A10" w:rsidP="004D13EA">
            <w:pPr>
              <w:spacing w:before="0" w:after="0"/>
              <w:jc w:val="center"/>
              <w:rPr>
                <w:color w:val="000000"/>
                <w:szCs w:val="22"/>
                <w:lang w:eastAsia="es-CR"/>
              </w:rPr>
            </w:pPr>
            <w:r w:rsidRPr="00033E65">
              <w:rPr>
                <w:color w:val="000000"/>
                <w:szCs w:val="22"/>
                <w:lang w:eastAsia="es-CR"/>
              </w:rPr>
              <w:t>4</w:t>
            </w:r>
          </w:p>
        </w:tc>
      </w:tr>
      <w:tr w:rsidR="004D13EA" w:rsidRPr="00033E65" w14:paraId="3B8105A1"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1C376B3A" w14:textId="77777777" w:rsidR="004D13EA" w:rsidRPr="00033E65" w:rsidRDefault="004D13EA" w:rsidP="004D13EA">
            <w:pPr>
              <w:spacing w:before="0" w:after="0"/>
              <w:rPr>
                <w:color w:val="000000"/>
                <w:szCs w:val="22"/>
                <w:lang w:eastAsia="es-CR"/>
              </w:rPr>
            </w:pPr>
            <w:r w:rsidRPr="00033E65">
              <w:rPr>
                <w:color w:val="000000"/>
                <w:szCs w:val="22"/>
                <w:lang w:eastAsia="es-CR"/>
              </w:rPr>
              <w:t>Cantidad Mensual Promedio de Escritos Pendientes de Resolver</w:t>
            </w:r>
          </w:p>
        </w:tc>
        <w:tc>
          <w:tcPr>
            <w:tcW w:w="1480" w:type="dxa"/>
            <w:tcBorders>
              <w:top w:val="nil"/>
              <w:left w:val="nil"/>
              <w:bottom w:val="double" w:sz="6" w:space="0" w:color="1F497D"/>
              <w:right w:val="double" w:sz="6" w:space="0" w:color="1F497D"/>
            </w:tcBorders>
            <w:shd w:val="clear" w:color="auto" w:fill="auto"/>
            <w:noWrap/>
            <w:vAlign w:val="center"/>
            <w:hideMark/>
          </w:tcPr>
          <w:p w14:paraId="151940B4" w14:textId="7C7F477B" w:rsidR="004D13EA" w:rsidRPr="00033E65" w:rsidRDefault="008E4A10" w:rsidP="00086E97">
            <w:pPr>
              <w:spacing w:before="0" w:after="0"/>
              <w:jc w:val="center"/>
              <w:rPr>
                <w:color w:val="000000"/>
                <w:szCs w:val="22"/>
                <w:lang w:eastAsia="es-CR"/>
              </w:rPr>
            </w:pPr>
            <w:r w:rsidRPr="00033E65">
              <w:rPr>
                <w:color w:val="000000"/>
                <w:szCs w:val="22"/>
                <w:lang w:eastAsia="es-CR"/>
              </w:rPr>
              <w:t>138</w:t>
            </w:r>
          </w:p>
        </w:tc>
        <w:tc>
          <w:tcPr>
            <w:tcW w:w="1200" w:type="dxa"/>
            <w:tcBorders>
              <w:top w:val="nil"/>
              <w:left w:val="nil"/>
              <w:bottom w:val="double" w:sz="6" w:space="0" w:color="1F497D"/>
              <w:right w:val="double" w:sz="6" w:space="0" w:color="1F497D"/>
            </w:tcBorders>
            <w:shd w:val="clear" w:color="auto" w:fill="auto"/>
            <w:noWrap/>
            <w:vAlign w:val="center"/>
            <w:hideMark/>
          </w:tcPr>
          <w:p w14:paraId="04D3E873" w14:textId="16B5A52A" w:rsidR="004D13EA" w:rsidRPr="00033E65" w:rsidRDefault="008E4A10" w:rsidP="00086E97">
            <w:pPr>
              <w:spacing w:before="0" w:after="0"/>
              <w:jc w:val="center"/>
              <w:rPr>
                <w:color w:val="000000"/>
                <w:szCs w:val="22"/>
                <w:lang w:eastAsia="es-CR"/>
              </w:rPr>
            </w:pPr>
            <w:r w:rsidRPr="00033E65">
              <w:rPr>
                <w:color w:val="000000"/>
                <w:szCs w:val="22"/>
                <w:lang w:eastAsia="es-CR"/>
              </w:rPr>
              <w:t>185</w:t>
            </w:r>
          </w:p>
        </w:tc>
        <w:tc>
          <w:tcPr>
            <w:tcW w:w="1200" w:type="dxa"/>
            <w:tcBorders>
              <w:top w:val="nil"/>
              <w:left w:val="nil"/>
              <w:bottom w:val="double" w:sz="6" w:space="0" w:color="1F497D"/>
              <w:right w:val="double" w:sz="6" w:space="0" w:color="1F497D"/>
            </w:tcBorders>
            <w:shd w:val="clear" w:color="auto" w:fill="auto"/>
            <w:noWrap/>
            <w:vAlign w:val="center"/>
            <w:hideMark/>
          </w:tcPr>
          <w:p w14:paraId="508939F3" w14:textId="34A60B49" w:rsidR="004D13EA" w:rsidRPr="00033E65" w:rsidRDefault="00FB0749" w:rsidP="00086E97">
            <w:pPr>
              <w:spacing w:before="0" w:after="0"/>
              <w:jc w:val="center"/>
              <w:rPr>
                <w:color w:val="000000"/>
                <w:szCs w:val="22"/>
                <w:lang w:eastAsia="es-CR"/>
              </w:rPr>
            </w:pPr>
            <w:r w:rsidRPr="00033E65">
              <w:rPr>
                <w:color w:val="000000"/>
                <w:szCs w:val="22"/>
                <w:lang w:eastAsia="es-CR"/>
              </w:rPr>
              <w:t>6</w:t>
            </w:r>
          </w:p>
        </w:tc>
      </w:tr>
      <w:tr w:rsidR="004D13EA" w:rsidRPr="00033E65" w14:paraId="55CE4327" w14:textId="77777777" w:rsidTr="004D13EA">
        <w:trPr>
          <w:trHeight w:val="60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5FC1CFF9" w14:textId="77777777" w:rsidR="004D13EA" w:rsidRPr="00033E65" w:rsidRDefault="004D13EA" w:rsidP="004D13EA">
            <w:pPr>
              <w:spacing w:before="0" w:after="0"/>
              <w:rPr>
                <w:color w:val="000000"/>
                <w:szCs w:val="22"/>
                <w:lang w:eastAsia="es-CR"/>
              </w:rPr>
            </w:pPr>
            <w:r w:rsidRPr="00033E65">
              <w:rPr>
                <w:color w:val="000000"/>
                <w:szCs w:val="22"/>
                <w:lang w:eastAsia="es-CR"/>
              </w:rPr>
              <w:t>Cantidad Mensual Promedio de Sentencias Dictadas por Persona Juzgadora</w:t>
            </w:r>
          </w:p>
        </w:tc>
        <w:tc>
          <w:tcPr>
            <w:tcW w:w="1480" w:type="dxa"/>
            <w:tcBorders>
              <w:top w:val="nil"/>
              <w:left w:val="nil"/>
              <w:bottom w:val="double" w:sz="6" w:space="0" w:color="1F497D"/>
              <w:right w:val="double" w:sz="6" w:space="0" w:color="1F497D"/>
            </w:tcBorders>
            <w:shd w:val="clear" w:color="auto" w:fill="auto"/>
            <w:noWrap/>
            <w:vAlign w:val="center"/>
            <w:hideMark/>
          </w:tcPr>
          <w:p w14:paraId="29545F2C" w14:textId="12D16E5C" w:rsidR="004D13EA" w:rsidRPr="00033E65" w:rsidRDefault="00FB0749" w:rsidP="004D13EA">
            <w:pPr>
              <w:spacing w:before="0" w:after="0"/>
              <w:jc w:val="center"/>
              <w:rPr>
                <w:color w:val="000000"/>
                <w:szCs w:val="22"/>
                <w:lang w:eastAsia="es-CR"/>
              </w:rPr>
            </w:pPr>
            <w:r w:rsidRPr="00033E65">
              <w:rPr>
                <w:color w:val="000000"/>
                <w:szCs w:val="22"/>
                <w:lang w:eastAsia="es-CR"/>
              </w:rPr>
              <w:t>6</w:t>
            </w:r>
          </w:p>
        </w:tc>
        <w:tc>
          <w:tcPr>
            <w:tcW w:w="1200" w:type="dxa"/>
            <w:tcBorders>
              <w:top w:val="nil"/>
              <w:left w:val="nil"/>
              <w:bottom w:val="double" w:sz="6" w:space="0" w:color="1F497D"/>
              <w:right w:val="double" w:sz="6" w:space="0" w:color="1F497D"/>
            </w:tcBorders>
            <w:shd w:val="clear" w:color="auto" w:fill="auto"/>
            <w:noWrap/>
            <w:vAlign w:val="center"/>
            <w:hideMark/>
          </w:tcPr>
          <w:p w14:paraId="24D3DB0D" w14:textId="1A724599" w:rsidR="004D13EA" w:rsidRPr="00033E65" w:rsidRDefault="00FB0749" w:rsidP="004D13EA">
            <w:pPr>
              <w:spacing w:before="0" w:after="0"/>
              <w:jc w:val="center"/>
              <w:rPr>
                <w:color w:val="000000"/>
                <w:szCs w:val="22"/>
                <w:lang w:eastAsia="es-CR"/>
              </w:rPr>
            </w:pPr>
            <w:r w:rsidRPr="00033E65">
              <w:rPr>
                <w:color w:val="000000"/>
                <w:szCs w:val="22"/>
                <w:lang w:eastAsia="es-CR"/>
              </w:rPr>
              <w:t>21</w:t>
            </w:r>
          </w:p>
        </w:tc>
        <w:tc>
          <w:tcPr>
            <w:tcW w:w="1200" w:type="dxa"/>
            <w:tcBorders>
              <w:top w:val="nil"/>
              <w:left w:val="nil"/>
              <w:bottom w:val="double" w:sz="6" w:space="0" w:color="1F497D"/>
              <w:right w:val="double" w:sz="6" w:space="0" w:color="1F497D"/>
            </w:tcBorders>
            <w:shd w:val="clear" w:color="auto" w:fill="auto"/>
            <w:noWrap/>
            <w:vAlign w:val="center"/>
            <w:hideMark/>
          </w:tcPr>
          <w:p w14:paraId="6E8740CF" w14:textId="44A05155" w:rsidR="004D13EA" w:rsidRPr="00033E65" w:rsidRDefault="00FB0749" w:rsidP="004D13EA">
            <w:pPr>
              <w:spacing w:before="0" w:after="0"/>
              <w:jc w:val="center"/>
              <w:rPr>
                <w:color w:val="000000"/>
                <w:szCs w:val="22"/>
                <w:lang w:eastAsia="es-CR"/>
              </w:rPr>
            </w:pPr>
            <w:r w:rsidRPr="00033E65">
              <w:rPr>
                <w:color w:val="000000"/>
                <w:szCs w:val="22"/>
                <w:lang w:eastAsia="es-CR"/>
              </w:rPr>
              <w:t>10</w:t>
            </w:r>
          </w:p>
        </w:tc>
      </w:tr>
    </w:tbl>
    <w:p w14:paraId="58CDA007" w14:textId="06CEFEB9" w:rsidR="003347EF" w:rsidRPr="00033E65" w:rsidRDefault="003347EF" w:rsidP="00086E97">
      <w:pPr>
        <w:ind w:left="-1134"/>
        <w:rPr>
          <w:b/>
          <w:i/>
          <w:sz w:val="18"/>
          <w:lang w:eastAsia="en-US"/>
        </w:rPr>
      </w:pPr>
      <w:r w:rsidRPr="00033E65">
        <w:rPr>
          <w:b/>
          <w:i/>
          <w:sz w:val="18"/>
          <w:lang w:eastAsia="en-US"/>
        </w:rPr>
        <w:t>Fuente: Subproceso de Modernización Institucional</w:t>
      </w:r>
      <w:r w:rsidR="005446EA" w:rsidRPr="00033E65">
        <w:rPr>
          <w:b/>
          <w:i/>
          <w:sz w:val="18"/>
          <w:lang w:eastAsia="en-US"/>
        </w:rPr>
        <w:t xml:space="preserve">, área No Penal, con base en el Balance General Interactivo de la página web de la Dirección de Planificación y </w:t>
      </w:r>
      <w:r w:rsidR="001427CA" w:rsidRPr="00033E65">
        <w:rPr>
          <w:b/>
          <w:i/>
          <w:sz w:val="18"/>
          <w:lang w:eastAsia="en-US"/>
        </w:rPr>
        <w:t xml:space="preserve">la Matriz de Indicadores de Gestión. </w:t>
      </w:r>
    </w:p>
    <w:p w14:paraId="185D2764" w14:textId="77777777" w:rsidR="003347EF" w:rsidRPr="00033E65" w:rsidRDefault="003347EF" w:rsidP="00D55D7A">
      <w:pPr>
        <w:rPr>
          <w:lang w:val="es-ES"/>
        </w:rPr>
      </w:pPr>
    </w:p>
    <w:p w14:paraId="13D4F95F" w14:textId="3E07D360" w:rsidR="00D55D7A" w:rsidRPr="00033E65" w:rsidRDefault="00D55D7A" w:rsidP="00D55D7A">
      <w:pPr>
        <w:rPr>
          <w:lang w:val="es-ES"/>
        </w:rPr>
      </w:pPr>
      <w:r w:rsidRPr="00033E65">
        <w:rPr>
          <w:lang w:val="es-ES"/>
        </w:rPr>
        <w:t xml:space="preserve">El Juzgado Mixto de Upala, básicamente posee mayores números en sus variables en comparación con los otros dos (2) Despachos, el cual </w:t>
      </w:r>
      <w:r w:rsidR="004D13EA" w:rsidRPr="00033E65">
        <w:rPr>
          <w:lang w:val="es-ES"/>
        </w:rPr>
        <w:t>posee una entrada promedio de 2</w:t>
      </w:r>
      <w:r w:rsidR="00AC6CEB" w:rsidRPr="00033E65">
        <w:rPr>
          <w:lang w:val="es-ES"/>
        </w:rPr>
        <w:t>1</w:t>
      </w:r>
      <w:r w:rsidRPr="00033E65">
        <w:rPr>
          <w:lang w:val="es-ES"/>
        </w:rPr>
        <w:t xml:space="preserve"> casos al mes, seguido del Juzgado de Turrialba con una carga promedio de trabajo de </w:t>
      </w:r>
      <w:r w:rsidR="00AC6CEB" w:rsidRPr="00033E65">
        <w:rPr>
          <w:lang w:val="es-ES"/>
        </w:rPr>
        <w:t>8</w:t>
      </w:r>
      <w:r w:rsidRPr="00033E65">
        <w:rPr>
          <w:lang w:val="es-ES"/>
        </w:rPr>
        <w:t xml:space="preserve"> casos entrados y e</w:t>
      </w:r>
      <w:r w:rsidR="004D13EA" w:rsidRPr="00033E65">
        <w:rPr>
          <w:lang w:val="es-ES"/>
        </w:rPr>
        <w:t xml:space="preserve">l Mixto de Buenos Aires con </w:t>
      </w:r>
      <w:r w:rsidR="00AC6CEB" w:rsidRPr="00033E65">
        <w:rPr>
          <w:lang w:val="es-ES"/>
        </w:rPr>
        <w:t>7</w:t>
      </w:r>
      <w:r w:rsidRPr="00033E65">
        <w:rPr>
          <w:lang w:val="es-ES"/>
        </w:rPr>
        <w:t xml:space="preserve"> asuntos. El Despacho de </w:t>
      </w:r>
      <w:r w:rsidR="004D13EA" w:rsidRPr="00033E65">
        <w:rPr>
          <w:lang w:val="es-ES"/>
        </w:rPr>
        <w:t>Upala</w:t>
      </w:r>
      <w:r w:rsidRPr="00033E65">
        <w:rPr>
          <w:lang w:val="es-ES"/>
        </w:rPr>
        <w:t xml:space="preserve"> es el que más casos promedio al mes</w:t>
      </w:r>
      <w:r w:rsidR="004D13EA" w:rsidRPr="00033E65">
        <w:rPr>
          <w:lang w:val="es-ES"/>
        </w:rPr>
        <w:t xml:space="preserve"> termina, con </w:t>
      </w:r>
      <w:r w:rsidR="00AC6CEB" w:rsidRPr="00033E65">
        <w:rPr>
          <w:lang w:val="es-ES"/>
        </w:rPr>
        <w:t>28</w:t>
      </w:r>
      <w:r w:rsidRPr="00033E65">
        <w:rPr>
          <w:lang w:val="es-ES"/>
        </w:rPr>
        <w:t xml:space="preserve"> casos terminados, siguiendo del ubicado en </w:t>
      </w:r>
      <w:r w:rsidR="004D13EA" w:rsidRPr="00033E65">
        <w:rPr>
          <w:lang w:val="es-ES"/>
        </w:rPr>
        <w:t>Turrialba con 1</w:t>
      </w:r>
      <w:r w:rsidR="00AC6CEB" w:rsidRPr="00033E65">
        <w:rPr>
          <w:lang w:val="es-ES"/>
        </w:rPr>
        <w:t>1</w:t>
      </w:r>
      <w:r w:rsidRPr="00033E65">
        <w:rPr>
          <w:lang w:val="es-ES"/>
        </w:rPr>
        <w:t xml:space="preserve"> y 6 casos terminados en Buenos Aires; estos con una relación salida entrada entre los </w:t>
      </w:r>
      <w:r w:rsidR="00EE47A3" w:rsidRPr="00033E65">
        <w:rPr>
          <w:lang w:val="es-ES"/>
        </w:rPr>
        <w:t>133</w:t>
      </w:r>
      <w:r w:rsidR="00185870" w:rsidRPr="00033E65">
        <w:rPr>
          <w:lang w:val="es-ES"/>
        </w:rPr>
        <w:t xml:space="preserve">%, </w:t>
      </w:r>
      <w:r w:rsidR="00EE47A3" w:rsidRPr="00033E65">
        <w:rPr>
          <w:lang w:val="es-ES"/>
        </w:rPr>
        <w:t>138</w:t>
      </w:r>
      <w:r w:rsidR="00185870" w:rsidRPr="00033E65">
        <w:rPr>
          <w:lang w:val="es-ES"/>
        </w:rPr>
        <w:t>% y 86% respectivamente</w:t>
      </w:r>
      <w:r w:rsidR="00D40ECC" w:rsidRPr="00033E65">
        <w:rPr>
          <w:lang w:val="es-ES"/>
        </w:rPr>
        <w:t>,</w:t>
      </w:r>
      <w:r w:rsidRPr="00033E65">
        <w:rPr>
          <w:lang w:val="es-ES"/>
        </w:rPr>
        <w:t xml:space="preserve"> </w:t>
      </w:r>
      <w:r w:rsidR="00D40ECC" w:rsidRPr="00033E65">
        <w:rPr>
          <w:lang w:val="es-ES"/>
        </w:rPr>
        <w:t>se destaca que durante el período analizado tanto Upala como Turrialba lograron atender no solo su entrada sino también terminar asuntos de su circulante, al obtener porcentajes mayores al 100% en esa variable.</w:t>
      </w:r>
    </w:p>
    <w:p w14:paraId="6C6F66A2" w14:textId="358A353D" w:rsidR="005B02F1" w:rsidRPr="00033E65" w:rsidRDefault="005B02F1" w:rsidP="00D55D7A">
      <w:pPr>
        <w:rPr>
          <w:lang w:val="es-ES"/>
        </w:rPr>
      </w:pPr>
      <w:r w:rsidRPr="00033E65">
        <w:rPr>
          <w:lang w:val="es-ES"/>
        </w:rPr>
        <w:t>En cuanto al</w:t>
      </w:r>
      <w:r w:rsidR="00AD35DF" w:rsidRPr="00033E65">
        <w:rPr>
          <w:lang w:val="es-ES"/>
        </w:rPr>
        <w:t xml:space="preserve"> Circulante al finalizar el 202</w:t>
      </w:r>
      <w:r w:rsidR="00F636EE" w:rsidRPr="00033E65">
        <w:rPr>
          <w:lang w:val="es-ES"/>
        </w:rPr>
        <w:t>2</w:t>
      </w:r>
      <w:r w:rsidRPr="00033E65">
        <w:rPr>
          <w:lang w:val="es-ES"/>
        </w:rPr>
        <w:t xml:space="preserve">, notablemente se aprecia que el Juzgado de Upala posee la mayor cantidad de </w:t>
      </w:r>
      <w:r w:rsidR="00BE33A1" w:rsidRPr="00033E65">
        <w:rPr>
          <w:lang w:val="es-ES"/>
        </w:rPr>
        <w:t xml:space="preserve">expedientes, con un total de </w:t>
      </w:r>
      <w:r w:rsidR="00086E97" w:rsidRPr="00033E65">
        <w:rPr>
          <w:lang w:val="es-ES"/>
        </w:rPr>
        <w:t>662</w:t>
      </w:r>
      <w:r w:rsidRPr="00033E65">
        <w:rPr>
          <w:lang w:val="es-ES"/>
        </w:rPr>
        <w:t xml:space="preserve"> casos, seguido del</w:t>
      </w:r>
      <w:r w:rsidR="00BE33A1" w:rsidRPr="00033E65">
        <w:rPr>
          <w:lang w:val="es-ES"/>
        </w:rPr>
        <w:t xml:space="preserve"> Juzgado de Buenos Aires con 3</w:t>
      </w:r>
      <w:r w:rsidR="00086E97" w:rsidRPr="00033E65">
        <w:rPr>
          <w:lang w:val="es-ES"/>
        </w:rPr>
        <w:t>60</w:t>
      </w:r>
      <w:r w:rsidR="00BE33A1" w:rsidRPr="00033E65">
        <w:rPr>
          <w:lang w:val="es-ES"/>
        </w:rPr>
        <w:t xml:space="preserve"> expedientes y con 1</w:t>
      </w:r>
      <w:r w:rsidR="00086E97" w:rsidRPr="00033E65">
        <w:rPr>
          <w:lang w:val="es-ES"/>
        </w:rPr>
        <w:t>81</w:t>
      </w:r>
      <w:r w:rsidRPr="00033E65">
        <w:rPr>
          <w:lang w:val="es-ES"/>
        </w:rPr>
        <w:t xml:space="preserve"> casos el Juzgado de Turrialba. </w:t>
      </w:r>
    </w:p>
    <w:p w14:paraId="08C14CBE" w14:textId="27B19896" w:rsidR="005B02F1" w:rsidRPr="00033E65" w:rsidRDefault="005B02F1" w:rsidP="00D55D7A">
      <w:pPr>
        <w:rPr>
          <w:lang w:val="es-ES"/>
        </w:rPr>
      </w:pPr>
      <w:r w:rsidRPr="00033E65">
        <w:rPr>
          <w:lang w:val="es-ES"/>
        </w:rPr>
        <w:t>El plazo de espera para el dictado se sentencia se ve más marcado entre los tres (3), ya que el Juzgado d</w:t>
      </w:r>
      <w:r w:rsidR="00C05FD0" w:rsidRPr="00033E65">
        <w:rPr>
          <w:lang w:val="es-ES"/>
        </w:rPr>
        <w:t>e Upala tiene un promedio de 1</w:t>
      </w:r>
      <w:r w:rsidR="00896293" w:rsidRPr="00033E65">
        <w:rPr>
          <w:lang w:val="es-ES"/>
        </w:rPr>
        <w:t>91</w:t>
      </w:r>
      <w:r w:rsidR="00C05FD0" w:rsidRPr="00033E65">
        <w:rPr>
          <w:lang w:val="es-ES"/>
        </w:rPr>
        <w:t xml:space="preserve"> días plazo, </w:t>
      </w:r>
      <w:r w:rsidR="00896293" w:rsidRPr="00033E65">
        <w:rPr>
          <w:lang w:val="es-ES"/>
        </w:rPr>
        <w:t>21</w:t>
      </w:r>
      <w:r w:rsidR="00C05FD0" w:rsidRPr="00033E65">
        <w:rPr>
          <w:lang w:val="es-ES"/>
        </w:rPr>
        <w:t xml:space="preserve"> días en Turrialba y 2</w:t>
      </w:r>
      <w:r w:rsidR="00896293" w:rsidRPr="00033E65">
        <w:rPr>
          <w:lang w:val="es-ES"/>
        </w:rPr>
        <w:t>7</w:t>
      </w:r>
      <w:r w:rsidRPr="00033E65">
        <w:rPr>
          <w:lang w:val="es-ES"/>
        </w:rPr>
        <w:t xml:space="preserve"> días en el ubicado en Buenos Aires. La cantidad de audiencias, el Juzgado Mixto de </w:t>
      </w:r>
      <w:r w:rsidR="00C05FD0" w:rsidRPr="00033E65">
        <w:rPr>
          <w:lang w:val="es-ES"/>
        </w:rPr>
        <w:t xml:space="preserve">Upala registra un promedio de </w:t>
      </w:r>
      <w:r w:rsidR="00042A02" w:rsidRPr="00033E65">
        <w:rPr>
          <w:lang w:val="es-ES"/>
        </w:rPr>
        <w:t>159</w:t>
      </w:r>
      <w:r w:rsidRPr="00033E65">
        <w:rPr>
          <w:lang w:val="es-ES"/>
        </w:rPr>
        <w:t xml:space="preserve"> señalamientos </w:t>
      </w:r>
      <w:r w:rsidR="00042A02" w:rsidRPr="00033E65">
        <w:rPr>
          <w:lang w:val="es-ES"/>
        </w:rPr>
        <w:t>de</w:t>
      </w:r>
      <w:r w:rsidRPr="00033E65">
        <w:rPr>
          <w:lang w:val="es-ES"/>
        </w:rPr>
        <w:t xml:space="preserve"> audiencia</w:t>
      </w:r>
      <w:r w:rsidR="00042A02" w:rsidRPr="00033E65">
        <w:rPr>
          <w:lang w:val="es-ES"/>
        </w:rPr>
        <w:t>s</w:t>
      </w:r>
      <w:r w:rsidRPr="00033E65">
        <w:rPr>
          <w:lang w:val="es-ES"/>
        </w:rPr>
        <w:t xml:space="preserve"> pendientes de realización, mientras que</w:t>
      </w:r>
      <w:r w:rsidR="00C05FD0" w:rsidRPr="00033E65">
        <w:rPr>
          <w:lang w:val="es-ES"/>
        </w:rPr>
        <w:t xml:space="preserve"> Buenos Aires y Turrialba con </w:t>
      </w:r>
      <w:r w:rsidR="00042A02" w:rsidRPr="00033E65">
        <w:rPr>
          <w:lang w:val="es-ES"/>
        </w:rPr>
        <w:t>39</w:t>
      </w:r>
      <w:r w:rsidR="00C05FD0" w:rsidRPr="00033E65">
        <w:rPr>
          <w:lang w:val="es-ES"/>
        </w:rPr>
        <w:t xml:space="preserve"> y 1</w:t>
      </w:r>
      <w:r w:rsidR="00042A02" w:rsidRPr="00033E65">
        <w:rPr>
          <w:lang w:val="es-ES"/>
        </w:rPr>
        <w:t>1</w:t>
      </w:r>
      <w:r w:rsidRPr="00033E65">
        <w:rPr>
          <w:lang w:val="es-ES"/>
        </w:rPr>
        <w:t xml:space="preserve"> casos respectivamente. </w:t>
      </w:r>
    </w:p>
    <w:p w14:paraId="7AA9BA1C" w14:textId="72956AF0" w:rsidR="005B02F1" w:rsidRPr="00033E65" w:rsidRDefault="005B02F1" w:rsidP="00D55D7A">
      <w:pPr>
        <w:rPr>
          <w:lang w:val="es-ES"/>
        </w:rPr>
      </w:pPr>
      <w:r w:rsidRPr="00033E65">
        <w:rPr>
          <w:lang w:val="es-ES"/>
        </w:rPr>
        <w:t xml:space="preserve">De los expedientes pendientes del dictado de sentencia, también encabeza en números el </w:t>
      </w:r>
      <w:r w:rsidR="00E120E7" w:rsidRPr="00033E65">
        <w:rPr>
          <w:lang w:val="es-ES"/>
        </w:rPr>
        <w:t xml:space="preserve">Despacho ubicado en Upala con </w:t>
      </w:r>
      <w:r w:rsidR="00F4668D" w:rsidRPr="00033E65">
        <w:rPr>
          <w:lang w:val="es-ES"/>
        </w:rPr>
        <w:t>23</w:t>
      </w:r>
      <w:r w:rsidRPr="00033E65">
        <w:rPr>
          <w:lang w:val="es-ES"/>
        </w:rPr>
        <w:t xml:space="preserve"> casos en promedio por </w:t>
      </w:r>
      <w:r w:rsidR="00E120E7" w:rsidRPr="00033E65">
        <w:rPr>
          <w:lang w:val="es-ES"/>
        </w:rPr>
        <w:t xml:space="preserve">mes, seguido de Turrialba con </w:t>
      </w:r>
      <w:r w:rsidR="00F4668D" w:rsidRPr="00033E65">
        <w:rPr>
          <w:lang w:val="es-ES"/>
        </w:rPr>
        <w:t>cuatro</w:t>
      </w:r>
      <w:r w:rsidRPr="00033E65">
        <w:rPr>
          <w:lang w:val="es-ES"/>
        </w:rPr>
        <w:t xml:space="preserve"> y Buenos Aires con </w:t>
      </w:r>
      <w:r w:rsidR="00F4668D" w:rsidRPr="00033E65">
        <w:rPr>
          <w:lang w:val="es-ES"/>
        </w:rPr>
        <w:t>tres</w:t>
      </w:r>
      <w:r w:rsidRPr="00033E65">
        <w:rPr>
          <w:lang w:val="es-ES"/>
        </w:rPr>
        <w:t xml:space="preserve"> casos en promedio. </w:t>
      </w:r>
      <w:r w:rsidR="00366A47" w:rsidRPr="00033E65">
        <w:rPr>
          <w:lang w:val="es-ES"/>
        </w:rPr>
        <w:t>La cantidad de escritos pendientes de resolver por parte del personal técnico ju</w:t>
      </w:r>
      <w:r w:rsidR="00E120E7" w:rsidRPr="00033E65">
        <w:rPr>
          <w:lang w:val="es-ES"/>
        </w:rPr>
        <w:t>dicial promedia mensualmente 18</w:t>
      </w:r>
      <w:r w:rsidR="001478BE" w:rsidRPr="00033E65">
        <w:rPr>
          <w:lang w:val="es-ES"/>
        </w:rPr>
        <w:t>5</w:t>
      </w:r>
      <w:r w:rsidR="00366A47" w:rsidRPr="00033E65">
        <w:rPr>
          <w:lang w:val="es-ES"/>
        </w:rPr>
        <w:t xml:space="preserve"> casos en el Juzgado Mixto de </w:t>
      </w:r>
      <w:r w:rsidR="00E120E7" w:rsidRPr="00033E65">
        <w:rPr>
          <w:lang w:val="es-ES"/>
        </w:rPr>
        <w:t>Upala</w:t>
      </w:r>
      <w:r w:rsidR="00366A47" w:rsidRPr="00033E65">
        <w:rPr>
          <w:lang w:val="es-ES"/>
        </w:rPr>
        <w:t xml:space="preserve">, mientras que en su homologo </w:t>
      </w:r>
      <w:r w:rsidR="00E120E7" w:rsidRPr="00033E65">
        <w:rPr>
          <w:lang w:val="es-ES"/>
        </w:rPr>
        <w:t>Buenos Aires 1</w:t>
      </w:r>
      <w:r w:rsidR="001478BE" w:rsidRPr="00033E65">
        <w:rPr>
          <w:lang w:val="es-ES"/>
        </w:rPr>
        <w:t>38</w:t>
      </w:r>
      <w:r w:rsidR="00366A47" w:rsidRPr="00033E65">
        <w:rPr>
          <w:lang w:val="es-ES"/>
        </w:rPr>
        <w:t xml:space="preserve"> escritos pendientes. En el caso de Turrialba, este indicador es menor en comparación, </w:t>
      </w:r>
      <w:r w:rsidR="00E120E7" w:rsidRPr="00033E65">
        <w:rPr>
          <w:lang w:val="es-ES"/>
        </w:rPr>
        <w:t xml:space="preserve">ya que presenta un promedio de </w:t>
      </w:r>
      <w:r w:rsidR="00AB3B75" w:rsidRPr="00033E65">
        <w:rPr>
          <w:lang w:val="es-ES"/>
        </w:rPr>
        <w:t>6</w:t>
      </w:r>
      <w:r w:rsidR="00366A47" w:rsidRPr="00033E65">
        <w:rPr>
          <w:lang w:val="es-ES"/>
        </w:rPr>
        <w:t xml:space="preserve"> escritos en el mes. </w:t>
      </w:r>
    </w:p>
    <w:p w14:paraId="5C55C100" w14:textId="70F07A96" w:rsidR="00366A47" w:rsidRPr="00033E65" w:rsidRDefault="00366A47" w:rsidP="00D55D7A">
      <w:pPr>
        <w:rPr>
          <w:lang w:val="es-ES"/>
        </w:rPr>
      </w:pPr>
      <w:r w:rsidRPr="00033E65">
        <w:rPr>
          <w:lang w:val="es-ES"/>
        </w:rPr>
        <w:t>En cuanto a la función del personal juzgador en cuanto al dictado de sentencias, se observa que el Juzgado Mixto de Upala, l</w:t>
      </w:r>
      <w:r w:rsidR="00E120E7" w:rsidRPr="00033E65">
        <w:rPr>
          <w:lang w:val="es-ES"/>
        </w:rPr>
        <w:t xml:space="preserve">a persona Juzgadora promedia </w:t>
      </w:r>
      <w:r w:rsidR="004C5614" w:rsidRPr="00033E65">
        <w:rPr>
          <w:lang w:val="es-ES"/>
        </w:rPr>
        <w:t>21</w:t>
      </w:r>
      <w:r w:rsidRPr="00033E65">
        <w:rPr>
          <w:lang w:val="es-ES"/>
        </w:rPr>
        <w:t xml:space="preserve"> al mes, mientras </w:t>
      </w:r>
      <w:r w:rsidR="001D1871" w:rsidRPr="00033E65">
        <w:rPr>
          <w:lang w:val="es-ES"/>
        </w:rPr>
        <w:t>que,</w:t>
      </w:r>
      <w:r w:rsidRPr="00033E65">
        <w:rPr>
          <w:lang w:val="es-ES"/>
        </w:rPr>
        <w:t xml:space="preserve"> en Turri</w:t>
      </w:r>
      <w:r w:rsidR="00E120E7" w:rsidRPr="00033E65">
        <w:rPr>
          <w:lang w:val="es-ES"/>
        </w:rPr>
        <w:t xml:space="preserve">alba y Buenos Aires, promedian </w:t>
      </w:r>
      <w:r w:rsidR="004C5614" w:rsidRPr="00033E65">
        <w:rPr>
          <w:lang w:val="es-ES"/>
        </w:rPr>
        <w:t>10</w:t>
      </w:r>
      <w:r w:rsidR="00E120E7" w:rsidRPr="00033E65">
        <w:rPr>
          <w:lang w:val="es-ES"/>
        </w:rPr>
        <w:t xml:space="preserve"> y </w:t>
      </w:r>
      <w:r w:rsidR="004C5614" w:rsidRPr="00033E65">
        <w:rPr>
          <w:lang w:val="es-ES"/>
        </w:rPr>
        <w:t>6</w:t>
      </w:r>
      <w:r w:rsidRPr="00033E65">
        <w:rPr>
          <w:lang w:val="es-ES"/>
        </w:rPr>
        <w:t xml:space="preserve"> casos respectivamente. </w:t>
      </w:r>
    </w:p>
    <w:p w14:paraId="4F2419E5" w14:textId="5523F140" w:rsidR="004667AD" w:rsidRPr="00033E65" w:rsidRDefault="004667AD" w:rsidP="00D55D7A">
      <w:pPr>
        <w:rPr>
          <w:lang w:val="es-ES"/>
        </w:rPr>
      </w:pPr>
    </w:p>
    <w:p w14:paraId="286BBEE9" w14:textId="7BDBF0CF" w:rsidR="00262E09" w:rsidRPr="00033E65" w:rsidRDefault="00554C4E" w:rsidP="00554C4E">
      <w:pPr>
        <w:pStyle w:val="Ttulo2"/>
        <w:numPr>
          <w:ilvl w:val="0"/>
          <w:numId w:val="0"/>
        </w:numPr>
      </w:pPr>
      <w:bookmarkStart w:id="203" w:name="_Toc132639553"/>
      <w:r>
        <w:t xml:space="preserve">9. </w:t>
      </w:r>
      <w:r w:rsidR="009E5BE6" w:rsidRPr="00033E65">
        <w:t xml:space="preserve">Análisis de los Indicadores de Gestión del </w:t>
      </w:r>
      <w:r w:rsidR="00262E09" w:rsidRPr="00033E65">
        <w:t>Tribunal Agrario</w:t>
      </w:r>
      <w:bookmarkEnd w:id="203"/>
    </w:p>
    <w:p w14:paraId="4887CC22" w14:textId="77777777" w:rsidR="009A4D5C" w:rsidRPr="00033E65" w:rsidRDefault="00262E09" w:rsidP="00B75E8A">
      <w:pPr>
        <w:rPr>
          <w:lang w:val="es-MX"/>
        </w:rPr>
      </w:pPr>
      <w:r w:rsidRPr="00033E65">
        <w:rPr>
          <w:lang w:val="es-MX"/>
        </w:rPr>
        <w:t xml:space="preserve">El Tribunal Agrario del II Circuito Judicial de San José, </w:t>
      </w:r>
      <w:r w:rsidR="00361BC8" w:rsidRPr="00033E65">
        <w:rPr>
          <w:lang w:val="es-MX"/>
        </w:rPr>
        <w:t>experimentó mejorías en su gestión de acuerdo con la evidencia que arroja la implementación de los Indicadores de Gestión. A continuación, se realiza un balance de cada indicador:</w:t>
      </w:r>
    </w:p>
    <w:p w14:paraId="1CAF05E0" w14:textId="1DA5A88B" w:rsidR="00361BC8" w:rsidRPr="00033E65" w:rsidRDefault="00554C4E" w:rsidP="00951D3E">
      <w:pPr>
        <w:pStyle w:val="Ttulo3"/>
      </w:pPr>
      <w:bookmarkStart w:id="204" w:name="_Toc132639554"/>
      <w:r>
        <w:t>9</w:t>
      </w:r>
      <w:r w:rsidR="00D10873" w:rsidRPr="00033E65">
        <w:t xml:space="preserve">.1 </w:t>
      </w:r>
      <w:r w:rsidR="00361BC8" w:rsidRPr="00033E65">
        <w:t>Cantidad de Casos Entrados, Terminados y Circulante Final</w:t>
      </w:r>
      <w:bookmarkEnd w:id="204"/>
    </w:p>
    <w:p w14:paraId="2E17CD76" w14:textId="10FE110D" w:rsidR="00E260C9" w:rsidRPr="00033E65" w:rsidRDefault="0086080A" w:rsidP="00361BC8">
      <w:pPr>
        <w:rPr>
          <w:lang w:val="es-MX"/>
        </w:rPr>
      </w:pPr>
      <w:r w:rsidRPr="00033E65">
        <w:rPr>
          <w:lang w:val="es-MX"/>
        </w:rPr>
        <w:t>El comportamiento de estas variables</w:t>
      </w:r>
      <w:r w:rsidR="0083233B" w:rsidRPr="00033E65">
        <w:rPr>
          <w:lang w:val="es-MX"/>
        </w:rPr>
        <w:t xml:space="preserve"> ha sido irregular desde la implementación de los Indicadores de Gestión, con entradas de carga de </w:t>
      </w:r>
      <w:r w:rsidR="00190F8F" w:rsidRPr="00033E65">
        <w:rPr>
          <w:lang w:val="es-MX"/>
        </w:rPr>
        <w:t xml:space="preserve">trabajo que oscilan entre los </w:t>
      </w:r>
      <w:r w:rsidR="002571B8" w:rsidRPr="00033E65">
        <w:rPr>
          <w:lang w:val="es-MX"/>
        </w:rPr>
        <w:t xml:space="preserve">70 </w:t>
      </w:r>
      <w:r w:rsidR="00190F8F" w:rsidRPr="00033E65">
        <w:rPr>
          <w:lang w:val="es-MX"/>
        </w:rPr>
        <w:t xml:space="preserve">y </w:t>
      </w:r>
      <w:r w:rsidR="002571B8" w:rsidRPr="00033E65">
        <w:rPr>
          <w:lang w:val="es-MX"/>
        </w:rPr>
        <w:t xml:space="preserve">128 </w:t>
      </w:r>
      <w:r w:rsidR="0083233B" w:rsidRPr="00033E65">
        <w:rPr>
          <w:lang w:val="es-MX"/>
        </w:rPr>
        <w:t xml:space="preserve">casos al mes. En cuanto a los casos </w:t>
      </w:r>
      <w:r w:rsidR="002D2C2C" w:rsidRPr="00033E65">
        <w:rPr>
          <w:lang w:val="es-MX"/>
        </w:rPr>
        <w:t>t</w:t>
      </w:r>
      <w:r w:rsidR="0083233B" w:rsidRPr="00033E65">
        <w:rPr>
          <w:lang w:val="es-MX"/>
        </w:rPr>
        <w:t>erminados, logr</w:t>
      </w:r>
      <w:r w:rsidR="00190F8F" w:rsidRPr="00033E65">
        <w:rPr>
          <w:lang w:val="es-MX"/>
        </w:rPr>
        <w:t xml:space="preserve">aron terminar un promedio de </w:t>
      </w:r>
      <w:r w:rsidR="00D10932" w:rsidRPr="00033E65">
        <w:rPr>
          <w:lang w:val="es-MX"/>
        </w:rPr>
        <w:t>109</w:t>
      </w:r>
      <w:r w:rsidR="00474E84" w:rsidRPr="00033E65">
        <w:rPr>
          <w:lang w:val="es-MX"/>
        </w:rPr>
        <w:t xml:space="preserve"> </w:t>
      </w:r>
      <w:r w:rsidR="0083233B" w:rsidRPr="00033E65">
        <w:rPr>
          <w:lang w:val="es-MX"/>
        </w:rPr>
        <w:t>sentencias al mes,</w:t>
      </w:r>
      <w:r w:rsidR="00E260C9" w:rsidRPr="00033E65">
        <w:rPr>
          <w:lang w:val="es-MX"/>
        </w:rPr>
        <w:t xml:space="preserve"> y finalizando el 202</w:t>
      </w:r>
      <w:r w:rsidR="00474E84" w:rsidRPr="00033E65">
        <w:rPr>
          <w:lang w:val="es-MX"/>
        </w:rPr>
        <w:t>2</w:t>
      </w:r>
      <w:r w:rsidR="00E260C9" w:rsidRPr="00033E65">
        <w:rPr>
          <w:lang w:val="es-MX"/>
        </w:rPr>
        <w:t xml:space="preserve"> con un circulante de </w:t>
      </w:r>
      <w:r w:rsidR="00474E84" w:rsidRPr="00033E65">
        <w:rPr>
          <w:lang w:val="es-MX"/>
        </w:rPr>
        <w:t xml:space="preserve">171 </w:t>
      </w:r>
      <w:r w:rsidR="00E260C9" w:rsidRPr="00033E65">
        <w:rPr>
          <w:lang w:val="es-MX"/>
        </w:rPr>
        <w:t>expedientes.</w:t>
      </w:r>
    </w:p>
    <w:p w14:paraId="01812DD5" w14:textId="076774EB" w:rsidR="00361BC8" w:rsidRPr="00033E65" w:rsidRDefault="00E260C9" w:rsidP="00361BC8">
      <w:pPr>
        <w:rPr>
          <w:lang w:val="es-MX"/>
        </w:rPr>
      </w:pPr>
      <w:r w:rsidRPr="00033E65">
        <w:rPr>
          <w:lang w:val="es-MX"/>
        </w:rPr>
        <w:t xml:space="preserve">Es importante indicar </w:t>
      </w:r>
      <w:r w:rsidR="00FD1826" w:rsidRPr="00033E65">
        <w:rPr>
          <w:lang w:val="es-MX"/>
        </w:rPr>
        <w:t>que,</w:t>
      </w:r>
      <w:r w:rsidR="00A43ED5" w:rsidRPr="00033E65">
        <w:rPr>
          <w:lang w:val="es-MX"/>
        </w:rPr>
        <w:t xml:space="preserve"> </w:t>
      </w:r>
      <w:r w:rsidR="00C30667" w:rsidRPr="00033E65">
        <w:rPr>
          <w:lang w:val="es-MX"/>
        </w:rPr>
        <w:t xml:space="preserve">durante todo </w:t>
      </w:r>
      <w:r w:rsidR="00B777C5" w:rsidRPr="00033E65">
        <w:rPr>
          <w:lang w:val="es-MX"/>
        </w:rPr>
        <w:t>el 2022</w:t>
      </w:r>
      <w:r w:rsidR="00A43ED5" w:rsidRPr="00033E65">
        <w:rPr>
          <w:lang w:val="es-MX"/>
        </w:rPr>
        <w:t xml:space="preserve"> este Tribunal c</w:t>
      </w:r>
      <w:r w:rsidR="000837E7" w:rsidRPr="00033E65">
        <w:rPr>
          <w:lang w:val="es-MX"/>
        </w:rPr>
        <w:t>o</w:t>
      </w:r>
      <w:r w:rsidR="00A43ED5" w:rsidRPr="00033E65">
        <w:rPr>
          <w:lang w:val="es-MX"/>
        </w:rPr>
        <w:t>nt</w:t>
      </w:r>
      <w:r w:rsidR="00B777C5" w:rsidRPr="00033E65">
        <w:rPr>
          <w:lang w:val="es-MX"/>
        </w:rPr>
        <w:t>ó</w:t>
      </w:r>
      <w:r w:rsidR="003413CF" w:rsidRPr="00033E65">
        <w:rPr>
          <w:lang w:val="es-MX"/>
        </w:rPr>
        <w:t xml:space="preserve"> con colaboraci</w:t>
      </w:r>
      <w:r w:rsidR="00A43ED5" w:rsidRPr="00033E65">
        <w:rPr>
          <w:lang w:val="es-MX"/>
        </w:rPr>
        <w:t>ón</w:t>
      </w:r>
      <w:r w:rsidR="003413CF" w:rsidRPr="00033E65">
        <w:rPr>
          <w:lang w:val="es-MX"/>
        </w:rPr>
        <w:t xml:space="preserve"> </w:t>
      </w:r>
      <w:r w:rsidR="00B777C5" w:rsidRPr="00033E65">
        <w:rPr>
          <w:lang w:val="es-MX"/>
        </w:rPr>
        <w:t>d</w:t>
      </w:r>
      <w:r w:rsidR="00A43ED5" w:rsidRPr="00033E65">
        <w:rPr>
          <w:lang w:val="es-MX"/>
        </w:rPr>
        <w:t xml:space="preserve">el Centro de Apoyo, Coordinación y Mejoramiento de la Función Jurisdiccional, </w:t>
      </w:r>
      <w:r w:rsidR="003413CF" w:rsidRPr="00033E65">
        <w:rPr>
          <w:lang w:val="es-MX"/>
        </w:rPr>
        <w:t xml:space="preserve">en el trámite de asuntos no complejos por parte de un recurso adicional asignado. </w:t>
      </w:r>
    </w:p>
    <w:p w14:paraId="44E07E7A" w14:textId="77777777" w:rsidR="006437A6" w:rsidRPr="00033E65" w:rsidRDefault="006437A6" w:rsidP="00361BC8">
      <w:pPr>
        <w:rPr>
          <w:lang w:val="es-MX"/>
        </w:rPr>
      </w:pPr>
    </w:p>
    <w:p w14:paraId="53C7F47B" w14:textId="4A45A675" w:rsidR="002D2C2C" w:rsidRPr="00033E65" w:rsidRDefault="002D2C2C"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19</w:t>
      </w:r>
      <w:r w:rsidRPr="00033E65">
        <w:rPr>
          <w:rFonts w:eastAsia="Times New Roman" w:cs="Arial"/>
          <w:iCs/>
          <w:spacing w:val="0"/>
          <w:szCs w:val="28"/>
          <w:lang w:val="es-CR" w:eastAsia="es-ES"/>
        </w:rPr>
        <w:fldChar w:fldCharType="end"/>
      </w:r>
    </w:p>
    <w:p w14:paraId="5AE10084" w14:textId="26949339" w:rsidR="486C13A8" w:rsidRPr="00033E65" w:rsidRDefault="002D2C2C" w:rsidP="00CE1721">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Comportamiento de la Entrada, Salida y Circulante del Tribunal Agrario del II Circuito Judicial de San Jos</w:t>
      </w:r>
      <w:r w:rsidR="00294A0A" w:rsidRPr="00033E65">
        <w:rPr>
          <w:rFonts w:eastAsia="Times New Roman" w:cs="Arial"/>
          <w:iCs/>
          <w:spacing w:val="0"/>
          <w:szCs w:val="28"/>
          <w:lang w:val="es-CR" w:eastAsia="es-ES"/>
        </w:rPr>
        <w:t xml:space="preserve">é </w:t>
      </w:r>
      <w:r w:rsidR="00CA6038" w:rsidRPr="00033E65">
        <w:rPr>
          <w:rFonts w:eastAsia="Times New Roman" w:cs="Arial"/>
          <w:iCs/>
          <w:spacing w:val="0"/>
          <w:szCs w:val="28"/>
          <w:lang w:val="es-CR" w:eastAsia="es-ES"/>
        </w:rPr>
        <w:t>del</w:t>
      </w:r>
      <w:r w:rsidR="00AD35DF" w:rsidRPr="00033E65">
        <w:rPr>
          <w:rFonts w:eastAsia="Times New Roman" w:cs="Arial"/>
          <w:iCs/>
          <w:spacing w:val="0"/>
          <w:szCs w:val="28"/>
          <w:lang w:val="es-CR" w:eastAsia="es-ES"/>
        </w:rPr>
        <w:t xml:space="preserve"> </w:t>
      </w:r>
      <w:r w:rsidR="4D691001" w:rsidRPr="00033E65">
        <w:rPr>
          <w:rFonts w:eastAsia="Times New Roman" w:cs="Arial"/>
          <w:spacing w:val="0"/>
          <w:lang w:val="es-CR" w:eastAsia="es-ES"/>
        </w:rPr>
        <w:t>202</w:t>
      </w:r>
      <w:r w:rsidR="16B2BBC5" w:rsidRPr="00033E65">
        <w:rPr>
          <w:rFonts w:eastAsia="Times New Roman" w:cs="Arial"/>
          <w:spacing w:val="0"/>
          <w:lang w:val="es-CR" w:eastAsia="es-ES"/>
        </w:rPr>
        <w:t>2</w:t>
      </w:r>
    </w:p>
    <w:p w14:paraId="307C41D4" w14:textId="41C14433" w:rsidR="6E5B1F4D" w:rsidRPr="00033E65" w:rsidRDefault="00687073" w:rsidP="6E5B1F4D">
      <w:pPr>
        <w:pStyle w:val="Ttulo"/>
        <w:spacing w:before="0" w:after="0"/>
        <w:rPr>
          <w:i/>
          <w:iCs/>
          <w:color w:val="auto"/>
          <w:sz w:val="18"/>
          <w:szCs w:val="18"/>
          <w:lang w:eastAsia="en-US"/>
        </w:rPr>
      </w:pPr>
      <w:r w:rsidRPr="00033E65">
        <w:rPr>
          <w:noProof/>
        </w:rPr>
        <w:drawing>
          <wp:inline distT="0" distB="0" distL="0" distR="0" wp14:anchorId="2E623EBB" wp14:editId="4D0C9552">
            <wp:extent cx="5991225" cy="2562225"/>
            <wp:effectExtent l="0" t="0" r="0" b="0"/>
            <wp:docPr id="36" name="Gráfico 36">
              <a:extLst xmlns:a="http://schemas.openxmlformats.org/drawingml/2006/main">
                <a:ext uri="{FF2B5EF4-FFF2-40B4-BE49-F238E27FC236}">
                  <a16:creationId xmlns:a16="http://schemas.microsoft.com/office/drawing/2014/main" id="{97BFD24C-E0D0-2376-2DAB-2A18E2D1CE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D86DDF8" w14:textId="36080DD5" w:rsidR="0083233B" w:rsidRPr="00033E65" w:rsidRDefault="0083233B" w:rsidP="00A51835">
      <w:pPr>
        <w:pStyle w:val="Ttulo"/>
        <w:spacing w:before="0" w:after="0"/>
        <w:rPr>
          <w:rFonts w:eastAsia="Times New Roman" w:cs="Arial"/>
          <w:spacing w:val="0"/>
          <w:lang w:val="es-CR" w:eastAsia="es-ES"/>
        </w:rPr>
      </w:pPr>
      <w:r w:rsidRPr="00033E65">
        <w:rPr>
          <w:i/>
          <w:color w:val="auto"/>
          <w:sz w:val="18"/>
          <w:szCs w:val="18"/>
          <w:lang w:eastAsia="en-US"/>
        </w:rPr>
        <w:t xml:space="preserve">Fuente: </w:t>
      </w:r>
      <w:r w:rsidRPr="00033E65">
        <w:rPr>
          <w:i/>
          <w:color w:val="auto"/>
          <w:sz w:val="18"/>
          <w:szCs w:val="18"/>
        </w:rPr>
        <w:t>Subproceso de Modernización Institucional</w:t>
      </w:r>
      <w:r w:rsidR="00685D90" w:rsidRPr="00033E65">
        <w:rPr>
          <w:i/>
          <w:color w:val="auto"/>
          <w:sz w:val="18"/>
          <w:szCs w:val="18"/>
        </w:rPr>
        <w:t>, área No Penal, con base en el Balance General Interactivo de la página web de la Dirección de Planificación.</w:t>
      </w:r>
    </w:p>
    <w:p w14:paraId="29FE3329" w14:textId="134DB1BC" w:rsidR="00361BC8" w:rsidRPr="00033E65" w:rsidRDefault="00554C4E" w:rsidP="00951D3E">
      <w:pPr>
        <w:pStyle w:val="Ttulo3"/>
      </w:pPr>
      <w:bookmarkStart w:id="205" w:name="_Toc132639555"/>
      <w:r>
        <w:t>9</w:t>
      </w:r>
      <w:r w:rsidR="00D10873" w:rsidRPr="00033E65">
        <w:t xml:space="preserve">.2 </w:t>
      </w:r>
      <w:r w:rsidR="002D2C2C" w:rsidRPr="00033E65">
        <w:t>Plazos de Espera</w:t>
      </w:r>
      <w:bookmarkEnd w:id="205"/>
    </w:p>
    <w:p w14:paraId="71D60AE2" w14:textId="65DC0FAE" w:rsidR="00D1306F" w:rsidRPr="00033E65" w:rsidRDefault="002D2C2C" w:rsidP="002D2C2C">
      <w:pPr>
        <w:rPr>
          <w:lang w:val="es-MX"/>
        </w:rPr>
      </w:pPr>
      <w:r w:rsidRPr="00033E65">
        <w:rPr>
          <w:lang w:val="es-MX"/>
        </w:rPr>
        <w:t>Dentro de estos plazos de espera se encuentran los indicadores de Plazo de Espera para el Dictado de Sentencia</w:t>
      </w:r>
      <w:r w:rsidR="00D37088" w:rsidRPr="00033E65">
        <w:rPr>
          <w:lang w:val="es-MX"/>
        </w:rPr>
        <w:t xml:space="preserve">, </w:t>
      </w:r>
      <w:r w:rsidR="00D37088" w:rsidRPr="00033E65">
        <w:t xml:space="preserve">el </w:t>
      </w:r>
      <w:r w:rsidR="00D37088" w:rsidRPr="00033E65">
        <w:rPr>
          <w:lang w:val="es-MX"/>
        </w:rPr>
        <w:t>cual experimentó</w:t>
      </w:r>
      <w:r w:rsidR="00353696" w:rsidRPr="00033E65">
        <w:rPr>
          <w:lang w:val="es-MX"/>
        </w:rPr>
        <w:t xml:space="preserve"> un aumento </w:t>
      </w:r>
      <w:r w:rsidR="00E9161D" w:rsidRPr="00033E65">
        <w:rPr>
          <w:lang w:val="es-MX"/>
        </w:rPr>
        <w:t>durante el transcurso</w:t>
      </w:r>
      <w:r w:rsidR="00353696" w:rsidRPr="00033E65">
        <w:rPr>
          <w:lang w:val="es-MX"/>
        </w:rPr>
        <w:t xml:space="preserve"> del </w:t>
      </w:r>
      <w:r w:rsidR="00E9161D" w:rsidRPr="00033E65">
        <w:rPr>
          <w:lang w:val="es-MX"/>
        </w:rPr>
        <w:t>periodo, pero finalizando con una</w:t>
      </w:r>
      <w:r w:rsidR="00D37088" w:rsidRPr="00033E65">
        <w:rPr>
          <w:lang w:val="es-MX"/>
        </w:rPr>
        <w:t xml:space="preserve"> reducci</w:t>
      </w:r>
      <w:r w:rsidR="00E9161D" w:rsidRPr="00033E65">
        <w:rPr>
          <w:lang w:val="es-MX"/>
        </w:rPr>
        <w:t>ón</w:t>
      </w:r>
      <w:r w:rsidR="00D37088" w:rsidRPr="00033E65">
        <w:rPr>
          <w:lang w:val="es-MX"/>
        </w:rPr>
        <w:t xml:space="preserve"> positiva, al pasar de </w:t>
      </w:r>
      <w:r w:rsidR="00A51FCE" w:rsidRPr="00033E65">
        <w:rPr>
          <w:lang w:val="es-MX"/>
        </w:rPr>
        <w:t xml:space="preserve">463 </w:t>
      </w:r>
      <w:r w:rsidR="00D37088" w:rsidRPr="00033E65">
        <w:rPr>
          <w:lang w:val="es-MX"/>
        </w:rPr>
        <w:t>días</w:t>
      </w:r>
      <w:r w:rsidR="00A51FCE" w:rsidRPr="00033E65">
        <w:rPr>
          <w:lang w:val="es-MX"/>
        </w:rPr>
        <w:t xml:space="preserve"> </w:t>
      </w:r>
      <w:r w:rsidR="00D37088" w:rsidRPr="00033E65">
        <w:rPr>
          <w:lang w:val="es-MX"/>
        </w:rPr>
        <w:t xml:space="preserve">en la espera del dictado de sentencia </w:t>
      </w:r>
      <w:r w:rsidR="00A51FCE" w:rsidRPr="00033E65">
        <w:rPr>
          <w:lang w:val="es-MX"/>
        </w:rPr>
        <w:t xml:space="preserve">para el mes de noviembre 2022 </w:t>
      </w:r>
      <w:r w:rsidR="00D37088" w:rsidRPr="00033E65">
        <w:rPr>
          <w:lang w:val="es-MX"/>
        </w:rPr>
        <w:t xml:space="preserve">a tener un plazo de </w:t>
      </w:r>
      <w:r w:rsidR="00A51FCE" w:rsidRPr="00033E65">
        <w:rPr>
          <w:lang w:val="es-MX"/>
        </w:rPr>
        <w:t xml:space="preserve">364 </w:t>
      </w:r>
      <w:r w:rsidR="00D37088" w:rsidRPr="00033E65">
        <w:rPr>
          <w:lang w:val="es-MX"/>
        </w:rPr>
        <w:t>días al finalizar el 20</w:t>
      </w:r>
      <w:r w:rsidR="00A51FCE" w:rsidRPr="00033E65">
        <w:rPr>
          <w:lang w:val="es-MX"/>
        </w:rPr>
        <w:t>22</w:t>
      </w:r>
      <w:r w:rsidR="00D1306F" w:rsidRPr="00033E65">
        <w:rPr>
          <w:lang w:val="es-MX"/>
        </w:rPr>
        <w:t xml:space="preserve">. </w:t>
      </w:r>
    </w:p>
    <w:p w14:paraId="70663151" w14:textId="568B81FB" w:rsidR="00D1306F" w:rsidRPr="00033E65" w:rsidRDefault="00D1306F" w:rsidP="002D2C2C">
      <w:pPr>
        <w:rPr>
          <w:lang w:val="es-MX"/>
        </w:rPr>
      </w:pPr>
      <w:r w:rsidRPr="00033E65">
        <w:rPr>
          <w:lang w:val="es-MX"/>
        </w:rPr>
        <w:t>El Plazo para resolver Escritos, ha mantenido</w:t>
      </w:r>
      <w:r w:rsidR="000574FD" w:rsidRPr="00033E65">
        <w:rPr>
          <w:lang w:val="es-MX"/>
        </w:rPr>
        <w:t xml:space="preserve"> </w:t>
      </w:r>
      <w:r w:rsidRPr="00033E65">
        <w:rPr>
          <w:lang w:val="es-MX"/>
        </w:rPr>
        <w:t xml:space="preserve">un </w:t>
      </w:r>
      <w:r w:rsidR="000574FD" w:rsidRPr="00033E65">
        <w:rPr>
          <w:lang w:val="es-MX"/>
        </w:rPr>
        <w:t xml:space="preserve">comportamiento </w:t>
      </w:r>
      <w:r w:rsidRPr="00033E65">
        <w:rPr>
          <w:lang w:val="es-MX"/>
        </w:rPr>
        <w:t>estable en el trascurso del 202</w:t>
      </w:r>
      <w:r w:rsidR="007F0FD2" w:rsidRPr="00033E65">
        <w:rPr>
          <w:lang w:val="es-MX"/>
        </w:rPr>
        <w:t>2</w:t>
      </w:r>
      <w:r w:rsidRPr="00033E65">
        <w:rPr>
          <w:lang w:val="es-MX"/>
        </w:rPr>
        <w:t>, el cual se enc</w:t>
      </w:r>
      <w:r w:rsidR="007F0FD2" w:rsidRPr="00033E65">
        <w:rPr>
          <w:lang w:val="es-MX"/>
        </w:rPr>
        <w:t>u</w:t>
      </w:r>
      <w:r w:rsidRPr="00033E65">
        <w:rPr>
          <w:lang w:val="es-MX"/>
        </w:rPr>
        <w:t xml:space="preserve">entra por debajo del parámetro mínimo que es 60 días. </w:t>
      </w:r>
    </w:p>
    <w:p w14:paraId="16CE4B21" w14:textId="13415B71" w:rsidR="00DF338A" w:rsidRPr="00033E65" w:rsidRDefault="007278DF" w:rsidP="002D2C2C">
      <w:pPr>
        <w:rPr>
          <w:lang w:val="es-MX"/>
        </w:rPr>
      </w:pPr>
      <w:r w:rsidRPr="00033E65">
        <w:rPr>
          <w:lang w:val="es-MX"/>
        </w:rPr>
        <w:t>Y por último está e</w:t>
      </w:r>
      <w:r w:rsidR="000574FD" w:rsidRPr="00033E65">
        <w:rPr>
          <w:lang w:val="es-MX"/>
        </w:rPr>
        <w:t xml:space="preserve">l Plazo de espera de expediente votado más antiguo pendiente de firmar la sentencia, esta oficina posee excelentes números, al mantener en cero (0) días plazo, producto de la buena práctica que cuanto se vota el expediente se firma de inmediato. </w:t>
      </w:r>
      <w:r w:rsidR="000709A7" w:rsidRPr="00033E65">
        <w:rPr>
          <w:lang w:val="es-MX"/>
        </w:rPr>
        <w:t xml:space="preserve">Lo analizado anteriormente se ve visualizado en el siguiente gráfico: </w:t>
      </w:r>
    </w:p>
    <w:p w14:paraId="2C5BB7C7" w14:textId="77777777" w:rsidR="00D1306F" w:rsidRPr="00033E65" w:rsidRDefault="00D1306F" w:rsidP="002D2C2C">
      <w:pPr>
        <w:rPr>
          <w:lang w:val="es-MX"/>
        </w:rPr>
      </w:pPr>
    </w:p>
    <w:p w14:paraId="6FFE1D23" w14:textId="616078A3" w:rsidR="000709A7" w:rsidRPr="00033E65" w:rsidRDefault="000709A7"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20</w:t>
      </w:r>
      <w:r w:rsidRPr="00033E65">
        <w:rPr>
          <w:rFonts w:eastAsia="Times New Roman" w:cs="Arial"/>
          <w:iCs/>
          <w:spacing w:val="0"/>
          <w:szCs w:val="28"/>
          <w:lang w:val="es-CR" w:eastAsia="es-ES"/>
        </w:rPr>
        <w:fldChar w:fldCharType="end"/>
      </w:r>
    </w:p>
    <w:p w14:paraId="73BFE916" w14:textId="51226BF6" w:rsidR="00332526" w:rsidRPr="00033E65" w:rsidRDefault="000709A7" w:rsidP="006437A6">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Comportamiento de Plazos de Atención del Tribunal Agrario del II Circuito Judicial de San José </w:t>
      </w:r>
      <w:r w:rsidR="00CA6038" w:rsidRPr="00033E65">
        <w:rPr>
          <w:rFonts w:eastAsia="Times New Roman" w:cs="Arial"/>
          <w:iCs/>
          <w:spacing w:val="0"/>
          <w:szCs w:val="28"/>
          <w:lang w:val="es-CR" w:eastAsia="es-ES"/>
        </w:rPr>
        <w:t>del</w:t>
      </w:r>
      <w:r w:rsidR="006F225E" w:rsidRPr="00033E65">
        <w:rPr>
          <w:rFonts w:eastAsia="Times New Roman" w:cs="Arial"/>
          <w:iCs/>
          <w:spacing w:val="0"/>
          <w:szCs w:val="28"/>
          <w:lang w:val="es-CR" w:eastAsia="es-ES"/>
        </w:rPr>
        <w:t xml:space="preserve"> 202</w:t>
      </w:r>
      <w:r w:rsidR="007E3F9E" w:rsidRPr="00033E65">
        <w:rPr>
          <w:rFonts w:eastAsia="Times New Roman" w:cs="Arial"/>
          <w:iCs/>
          <w:spacing w:val="0"/>
          <w:szCs w:val="28"/>
          <w:lang w:val="es-CR" w:eastAsia="es-ES"/>
        </w:rPr>
        <w:t>2</w:t>
      </w:r>
    </w:p>
    <w:p w14:paraId="42F51D2B" w14:textId="34810279" w:rsidR="00332526" w:rsidRPr="00033E65" w:rsidRDefault="004C76CB" w:rsidP="00CE1721">
      <w:pPr>
        <w:jc w:val="center"/>
        <w:rPr>
          <w:b/>
          <w:i/>
          <w:sz w:val="18"/>
          <w:lang w:eastAsia="en-US"/>
        </w:rPr>
      </w:pPr>
      <w:r w:rsidRPr="00033E65">
        <w:rPr>
          <w:noProof/>
        </w:rPr>
        <w:drawing>
          <wp:inline distT="0" distB="0" distL="0" distR="0" wp14:anchorId="54489FD7" wp14:editId="33AE11C8">
            <wp:extent cx="5781013" cy="2751151"/>
            <wp:effectExtent l="0" t="0" r="0" b="0"/>
            <wp:docPr id="38" name="Gráfico 38">
              <a:extLst xmlns:a="http://schemas.openxmlformats.org/drawingml/2006/main">
                <a:ext uri="{FF2B5EF4-FFF2-40B4-BE49-F238E27FC236}">
                  <a16:creationId xmlns:a16="http://schemas.microsoft.com/office/drawing/2014/main" id="{7525474A-50CD-4ED3-A084-6319B0548E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E50CA74" w14:textId="78E5AFA1" w:rsidR="000574FD" w:rsidRPr="00033E65" w:rsidRDefault="000709A7" w:rsidP="006437A6">
      <w:pPr>
        <w:ind w:left="-142"/>
        <w:rPr>
          <w:b/>
          <w:i/>
          <w:sz w:val="18"/>
          <w:lang w:eastAsia="en-US"/>
        </w:rPr>
      </w:pPr>
      <w:r w:rsidRPr="00033E65">
        <w:rPr>
          <w:b/>
          <w:i/>
          <w:sz w:val="18"/>
          <w:lang w:eastAsia="en-US"/>
        </w:rPr>
        <w:t xml:space="preserve">Fuente: </w:t>
      </w:r>
      <w:r w:rsidRPr="00033E65">
        <w:rPr>
          <w:b/>
          <w:i/>
          <w:sz w:val="18"/>
        </w:rPr>
        <w:t>Subproceso de Modernización Institucional</w:t>
      </w:r>
      <w:r w:rsidR="00D21C19" w:rsidRPr="00033E65">
        <w:rPr>
          <w:b/>
          <w:i/>
          <w:sz w:val="18"/>
        </w:rPr>
        <w:t>, área No Penal, con base en la Matriz de Indicadores de Gestión.</w:t>
      </w:r>
    </w:p>
    <w:p w14:paraId="597937B6" w14:textId="19BDC602" w:rsidR="00624BB5" w:rsidRPr="00033E65" w:rsidRDefault="00624BB5" w:rsidP="006A2530">
      <w:pPr>
        <w:rPr>
          <w:b/>
          <w:i/>
          <w:sz w:val="18"/>
          <w:lang w:eastAsia="en-US"/>
        </w:rPr>
      </w:pPr>
    </w:p>
    <w:p w14:paraId="6C739D74" w14:textId="36D40C47" w:rsidR="000574FD" w:rsidRPr="00033E65" w:rsidRDefault="00554C4E" w:rsidP="00951D3E">
      <w:pPr>
        <w:pStyle w:val="Ttulo3"/>
      </w:pPr>
      <w:bookmarkStart w:id="206" w:name="_Toc132639556"/>
      <w:r>
        <w:t>9</w:t>
      </w:r>
      <w:r w:rsidR="00D10873" w:rsidRPr="00033E65">
        <w:t xml:space="preserve">.3 </w:t>
      </w:r>
      <w:r w:rsidR="000709A7" w:rsidRPr="00033E65">
        <w:t>Cantidad de Expedientes Pendientes de Fallo</w:t>
      </w:r>
      <w:bookmarkEnd w:id="206"/>
    </w:p>
    <w:p w14:paraId="2A6C58C3" w14:textId="3E1D6F06" w:rsidR="000709A7" w:rsidRPr="00033E65" w:rsidRDefault="00C82FC3" w:rsidP="000709A7">
      <w:pPr>
        <w:rPr>
          <w:lang w:val="es-MX"/>
        </w:rPr>
      </w:pPr>
      <w:r w:rsidRPr="00033E65">
        <w:rPr>
          <w:lang w:val="es-MX"/>
        </w:rPr>
        <w:t>El indicador Cantidad de Expedientes Pendientes de Fallo, para el 202</w:t>
      </w:r>
      <w:r w:rsidR="00DF338A" w:rsidRPr="00033E65">
        <w:rPr>
          <w:lang w:val="es-MX"/>
        </w:rPr>
        <w:t>2</w:t>
      </w:r>
      <w:r w:rsidRPr="00033E65">
        <w:rPr>
          <w:lang w:val="es-MX"/>
        </w:rPr>
        <w:t xml:space="preserve"> se presentó un comportamiento </w:t>
      </w:r>
      <w:r w:rsidR="00651DF4" w:rsidRPr="00033E65">
        <w:rPr>
          <w:lang w:val="es-MX"/>
        </w:rPr>
        <w:t>variable</w:t>
      </w:r>
      <w:r w:rsidR="00E25F34" w:rsidRPr="00033E65">
        <w:rPr>
          <w:lang w:val="es-MX"/>
        </w:rPr>
        <w:t xml:space="preserve"> en el transcurso del año</w:t>
      </w:r>
      <w:r w:rsidRPr="00033E65">
        <w:rPr>
          <w:lang w:val="es-MX"/>
        </w:rPr>
        <w:t xml:space="preserve">, la cantidad ronda entre </w:t>
      </w:r>
      <w:r w:rsidR="0022612C" w:rsidRPr="00033E65">
        <w:rPr>
          <w:lang w:val="es-MX"/>
        </w:rPr>
        <w:t xml:space="preserve">106 </w:t>
      </w:r>
      <w:r w:rsidRPr="00033E65">
        <w:rPr>
          <w:lang w:val="es-MX"/>
        </w:rPr>
        <w:t xml:space="preserve">y </w:t>
      </w:r>
      <w:r w:rsidR="0022612C" w:rsidRPr="00033E65">
        <w:rPr>
          <w:lang w:val="es-MX"/>
        </w:rPr>
        <w:t xml:space="preserve">188 </w:t>
      </w:r>
      <w:r w:rsidRPr="00033E65">
        <w:rPr>
          <w:lang w:val="es-MX"/>
        </w:rPr>
        <w:t>expedientes pendientes de fallo, cerrando el año con 16</w:t>
      </w:r>
      <w:r w:rsidR="0022612C" w:rsidRPr="00033E65">
        <w:rPr>
          <w:lang w:val="es-MX"/>
        </w:rPr>
        <w:t>5</w:t>
      </w:r>
      <w:r w:rsidRPr="00033E65">
        <w:rPr>
          <w:lang w:val="es-MX"/>
        </w:rPr>
        <w:t xml:space="preserve"> expedientes, </w:t>
      </w:r>
      <w:r w:rsidR="000709A7" w:rsidRPr="00033E65">
        <w:rPr>
          <w:lang w:val="es-MX"/>
        </w:rPr>
        <w:t xml:space="preserve">tal como se registra a continuación: </w:t>
      </w:r>
    </w:p>
    <w:p w14:paraId="199600CA" w14:textId="7F65E677" w:rsidR="000709A7" w:rsidRPr="00033E65" w:rsidRDefault="000709A7"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21</w:t>
      </w:r>
      <w:r w:rsidRPr="00033E65">
        <w:rPr>
          <w:rFonts w:eastAsia="Times New Roman" w:cs="Arial"/>
          <w:iCs/>
          <w:spacing w:val="0"/>
          <w:szCs w:val="28"/>
          <w:lang w:val="es-CR" w:eastAsia="es-ES"/>
        </w:rPr>
        <w:fldChar w:fldCharType="end"/>
      </w:r>
    </w:p>
    <w:p w14:paraId="0D8253B5" w14:textId="152A859C" w:rsidR="00470DA1" w:rsidRPr="00033E65" w:rsidRDefault="000709A7" w:rsidP="00CE1721">
      <w:pPr>
        <w:pStyle w:val="Ttulo"/>
        <w:spacing w:before="0" w:after="0"/>
        <w:jc w:val="center"/>
        <w:rPr>
          <w:rFonts w:eastAsia="Times New Roman" w:cs="Arial"/>
          <w:spacing w:val="0"/>
          <w:lang w:val="es-CR" w:eastAsia="es-ES"/>
        </w:rPr>
      </w:pPr>
      <w:r w:rsidRPr="00033E65">
        <w:rPr>
          <w:rFonts w:eastAsia="Times New Roman" w:cs="Arial"/>
          <w:iCs/>
          <w:spacing w:val="0"/>
          <w:szCs w:val="28"/>
          <w:lang w:val="es-CR" w:eastAsia="es-ES"/>
        </w:rPr>
        <w:t xml:space="preserve">Comportamiento de la Cantidad de Expedientes Pendientes de Fallo del Tribunal Agrario del II Circuito Judicial de San José </w:t>
      </w:r>
      <w:r w:rsidR="00CA6038" w:rsidRPr="00033E65">
        <w:rPr>
          <w:rFonts w:eastAsia="Times New Roman" w:cs="Arial"/>
          <w:iCs/>
          <w:spacing w:val="0"/>
          <w:szCs w:val="28"/>
          <w:lang w:val="es-CR" w:eastAsia="es-ES"/>
        </w:rPr>
        <w:t>del</w:t>
      </w:r>
      <w:r w:rsidR="00275A75" w:rsidRPr="00033E65">
        <w:rPr>
          <w:rFonts w:eastAsia="Times New Roman" w:cs="Arial"/>
          <w:iCs/>
          <w:spacing w:val="0"/>
          <w:szCs w:val="28"/>
          <w:lang w:val="es-CR" w:eastAsia="es-ES"/>
        </w:rPr>
        <w:t xml:space="preserve"> </w:t>
      </w:r>
      <w:r w:rsidR="00275A75" w:rsidRPr="00033E65">
        <w:rPr>
          <w:rFonts w:eastAsia="Times New Roman" w:cs="Arial"/>
          <w:spacing w:val="0"/>
          <w:lang w:val="es-CR" w:eastAsia="es-ES"/>
        </w:rPr>
        <w:t>202</w:t>
      </w:r>
      <w:r w:rsidR="387BE30D" w:rsidRPr="00033E65">
        <w:rPr>
          <w:rFonts w:eastAsia="Times New Roman" w:cs="Arial"/>
          <w:spacing w:val="0"/>
          <w:lang w:val="es-CR" w:eastAsia="es-ES"/>
        </w:rPr>
        <w:t>2</w:t>
      </w:r>
      <w:r w:rsidR="0050521B" w:rsidRPr="00033E65">
        <w:rPr>
          <w:rFonts w:eastAsia="Times New Roman" w:cs="Arial"/>
          <w:iCs/>
          <w:spacing w:val="0"/>
          <w:szCs w:val="28"/>
          <w:lang w:val="es-CR" w:eastAsia="es-ES"/>
        </w:rPr>
        <w:t xml:space="preserve"> </w:t>
      </w:r>
    </w:p>
    <w:p w14:paraId="44EE0822" w14:textId="10EC5FCD" w:rsidR="1F2855FC" w:rsidRPr="00033E65" w:rsidRDefault="00D95014" w:rsidP="31BB902A">
      <w:r w:rsidRPr="00033E65">
        <w:rPr>
          <w:noProof/>
        </w:rPr>
        <w:drawing>
          <wp:inline distT="0" distB="0" distL="0" distR="0" wp14:anchorId="7E420EEF" wp14:editId="4743D438">
            <wp:extent cx="5048250" cy="2743200"/>
            <wp:effectExtent l="0" t="0" r="0" b="0"/>
            <wp:docPr id="27" name="Gráfico 27">
              <a:extLst xmlns:a="http://schemas.openxmlformats.org/drawingml/2006/main">
                <a:ext uri="{FF2B5EF4-FFF2-40B4-BE49-F238E27FC236}">
                  <a16:creationId xmlns:a16="http://schemas.microsoft.com/office/drawing/2014/main" id="{C66A0C4A-611D-6ADC-2E14-D671CB1BC4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6DF5F8A" w14:textId="1E53B143" w:rsidR="00624BB5" w:rsidRPr="00033E65" w:rsidRDefault="000709A7" w:rsidP="006A2530">
      <w:pPr>
        <w:rPr>
          <w:lang w:val="es-MX"/>
        </w:rPr>
      </w:pPr>
      <w:r w:rsidRPr="00033E65">
        <w:rPr>
          <w:b/>
          <w:i/>
          <w:sz w:val="18"/>
          <w:szCs w:val="18"/>
          <w:lang w:eastAsia="en-US"/>
        </w:rPr>
        <w:t xml:space="preserve">Fuente: </w:t>
      </w:r>
      <w:r w:rsidRPr="00033E65">
        <w:rPr>
          <w:b/>
          <w:i/>
          <w:sz w:val="18"/>
          <w:szCs w:val="18"/>
        </w:rPr>
        <w:t>Subproceso de Modernización Institucional</w:t>
      </w:r>
      <w:r w:rsidR="00672B74" w:rsidRPr="00033E65">
        <w:rPr>
          <w:b/>
          <w:i/>
          <w:sz w:val="18"/>
          <w:szCs w:val="18"/>
        </w:rPr>
        <w:t>, área No Penal, con base en la Matriz de Indicadores de Gestión</w:t>
      </w:r>
      <w:r w:rsidR="008E5C9D" w:rsidRPr="00033E65">
        <w:rPr>
          <w:b/>
          <w:i/>
          <w:sz w:val="18"/>
          <w:szCs w:val="18"/>
        </w:rPr>
        <w:t xml:space="preserve">. </w:t>
      </w:r>
    </w:p>
    <w:p w14:paraId="58A52070" w14:textId="30D16728" w:rsidR="000709A7" w:rsidRPr="00033E65" w:rsidRDefault="00554C4E" w:rsidP="00951D3E">
      <w:pPr>
        <w:pStyle w:val="Ttulo3"/>
      </w:pPr>
      <w:bookmarkStart w:id="207" w:name="_Toc132639557"/>
      <w:r>
        <w:t>9</w:t>
      </w:r>
      <w:r w:rsidR="00D10873" w:rsidRPr="00033E65">
        <w:t xml:space="preserve">.4 </w:t>
      </w:r>
      <w:r w:rsidR="000709A7" w:rsidRPr="00033E65">
        <w:t>Cantidad de Escritos y Casos Nuevos Pendientes de Trámite</w:t>
      </w:r>
      <w:bookmarkEnd w:id="207"/>
    </w:p>
    <w:p w14:paraId="51DA5F00" w14:textId="7F934AD8" w:rsidR="000709A7" w:rsidRPr="00033E65" w:rsidRDefault="000709A7" w:rsidP="002D2C2C">
      <w:pPr>
        <w:rPr>
          <w:lang w:val="es-MX"/>
        </w:rPr>
      </w:pPr>
      <w:r w:rsidRPr="00033E65">
        <w:rPr>
          <w:lang w:val="es-MX"/>
        </w:rPr>
        <w:t xml:space="preserve">La cantidad de escritos pendientes de </w:t>
      </w:r>
      <w:r w:rsidR="00E77049" w:rsidRPr="00033E65">
        <w:rPr>
          <w:lang w:val="es-MX"/>
        </w:rPr>
        <w:t>resolver</w:t>
      </w:r>
      <w:r w:rsidR="00CE42E7" w:rsidRPr="00033E65">
        <w:rPr>
          <w:lang w:val="es-MX"/>
        </w:rPr>
        <w:t xml:space="preserve"> es otro indicador que se ha mantenido constante durante el 20</w:t>
      </w:r>
      <w:r w:rsidR="00E77049" w:rsidRPr="00033E65">
        <w:rPr>
          <w:lang w:val="es-MX"/>
        </w:rPr>
        <w:t>2</w:t>
      </w:r>
      <w:r w:rsidR="00CE42E7" w:rsidRPr="00033E65">
        <w:rPr>
          <w:lang w:val="es-MX"/>
        </w:rPr>
        <w:t xml:space="preserve">2, con un promedio mensual de </w:t>
      </w:r>
      <w:r w:rsidR="00690046" w:rsidRPr="00033E65">
        <w:rPr>
          <w:lang w:val="es-MX"/>
        </w:rPr>
        <w:t>5</w:t>
      </w:r>
      <w:r w:rsidR="00CE42E7" w:rsidRPr="00033E65">
        <w:rPr>
          <w:lang w:val="es-MX"/>
        </w:rPr>
        <w:t xml:space="preserve"> escritos</w:t>
      </w:r>
      <w:r w:rsidR="00AD733D" w:rsidRPr="00033E65">
        <w:rPr>
          <w:lang w:val="es-MX"/>
        </w:rPr>
        <w:t xml:space="preserve">. En el caso de la cantidad de los casos nuevos pendientes, obtuvo un promedio mensual de </w:t>
      </w:r>
      <w:r w:rsidR="0086575A" w:rsidRPr="00033E65">
        <w:rPr>
          <w:lang w:val="es-MX"/>
        </w:rPr>
        <w:t xml:space="preserve">23 </w:t>
      </w:r>
      <w:r w:rsidR="00AD733D" w:rsidRPr="00033E65">
        <w:rPr>
          <w:lang w:val="es-MX"/>
        </w:rPr>
        <w:t xml:space="preserve">casos al mes. Lo anterior se refleja en el siguiente gráfico. </w:t>
      </w:r>
    </w:p>
    <w:p w14:paraId="0DFC4B09" w14:textId="77777777" w:rsidR="00624BB5" w:rsidRPr="00033E65" w:rsidRDefault="00624BB5" w:rsidP="002D2C2C">
      <w:pPr>
        <w:rPr>
          <w:lang w:val="es-MX"/>
        </w:rPr>
      </w:pPr>
    </w:p>
    <w:p w14:paraId="417B5592" w14:textId="0CFEF29B" w:rsidR="00AD733D" w:rsidRPr="00033E65" w:rsidRDefault="00AD733D"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Gráfico </w:t>
      </w:r>
      <w:r w:rsidRPr="00033E65">
        <w:rPr>
          <w:rFonts w:eastAsia="Times New Roman" w:cs="Arial"/>
          <w:iCs/>
          <w:spacing w:val="0"/>
          <w:szCs w:val="28"/>
          <w:lang w:val="es-CR" w:eastAsia="es-ES"/>
        </w:rPr>
        <w:fldChar w:fldCharType="begin"/>
      </w:r>
      <w:r w:rsidRPr="00033E65">
        <w:rPr>
          <w:rFonts w:eastAsia="Times New Roman" w:cs="Arial"/>
          <w:iCs/>
          <w:spacing w:val="0"/>
          <w:szCs w:val="28"/>
          <w:lang w:val="es-CR" w:eastAsia="es-ES"/>
        </w:rPr>
        <w:instrText xml:space="preserve"> SEQ Gráfico \* ARABIC </w:instrText>
      </w:r>
      <w:r w:rsidRPr="00033E65">
        <w:rPr>
          <w:rFonts w:eastAsia="Times New Roman" w:cs="Arial"/>
          <w:iCs/>
          <w:spacing w:val="0"/>
          <w:szCs w:val="28"/>
          <w:lang w:val="es-CR" w:eastAsia="es-ES"/>
        </w:rPr>
        <w:fldChar w:fldCharType="separate"/>
      </w:r>
      <w:r w:rsidR="000B4B78" w:rsidRPr="00033E65">
        <w:rPr>
          <w:rFonts w:eastAsia="Times New Roman" w:cs="Arial"/>
          <w:iCs/>
          <w:noProof/>
          <w:spacing w:val="0"/>
          <w:szCs w:val="28"/>
          <w:lang w:val="es-CR" w:eastAsia="es-ES"/>
        </w:rPr>
        <w:t>22</w:t>
      </w:r>
      <w:r w:rsidRPr="00033E65">
        <w:rPr>
          <w:rFonts w:eastAsia="Times New Roman" w:cs="Arial"/>
          <w:iCs/>
          <w:spacing w:val="0"/>
          <w:szCs w:val="28"/>
          <w:lang w:val="es-CR" w:eastAsia="es-ES"/>
        </w:rPr>
        <w:fldChar w:fldCharType="end"/>
      </w:r>
    </w:p>
    <w:p w14:paraId="0D063600" w14:textId="0A098038" w:rsidR="00A82421" w:rsidRPr="00033E65" w:rsidRDefault="00AD733D" w:rsidP="009D6100">
      <w:pPr>
        <w:pStyle w:val="Ttulo"/>
        <w:spacing w:before="0" w:after="0"/>
        <w:jc w:val="center"/>
        <w:rPr>
          <w:i/>
          <w:color w:val="auto"/>
          <w:sz w:val="16"/>
          <w:szCs w:val="16"/>
          <w:lang w:eastAsia="en-US"/>
        </w:rPr>
      </w:pPr>
      <w:r w:rsidRPr="00033E65">
        <w:rPr>
          <w:rFonts w:cs="Arial"/>
          <w:szCs w:val="28"/>
        </w:rPr>
        <w:t>Comportamiento de la Cantidad de Escritos Pendientes y Casos Nuevos Pendientes de Trámite del Tribunal Agrario del II Circuito J</w:t>
      </w:r>
      <w:r w:rsidR="006A2530" w:rsidRPr="00033E65">
        <w:rPr>
          <w:rFonts w:cs="Arial"/>
          <w:szCs w:val="28"/>
        </w:rPr>
        <w:t xml:space="preserve">udicial de San José </w:t>
      </w:r>
      <w:r w:rsidR="00CE42E7" w:rsidRPr="00033E65">
        <w:rPr>
          <w:rFonts w:cs="Arial"/>
          <w:szCs w:val="28"/>
        </w:rPr>
        <w:t>del</w:t>
      </w:r>
      <w:r w:rsidR="006A2530" w:rsidRPr="00033E65">
        <w:rPr>
          <w:rFonts w:cs="Arial"/>
          <w:szCs w:val="28"/>
        </w:rPr>
        <w:t xml:space="preserve"> 202</w:t>
      </w:r>
      <w:r w:rsidR="00AB30EE" w:rsidRPr="00033E65">
        <w:rPr>
          <w:rFonts w:eastAsia="Times New Roman" w:cs="Arial"/>
          <w:iCs/>
          <w:spacing w:val="0"/>
          <w:szCs w:val="28"/>
          <w:lang w:val="es-CR" w:eastAsia="es-ES"/>
        </w:rPr>
        <w:t>2</w:t>
      </w:r>
      <w:r w:rsidR="00CB1484" w:rsidRPr="00033E65">
        <w:rPr>
          <w:rFonts w:eastAsia="Times New Roman" w:cs="Arial"/>
          <w:iCs/>
          <w:spacing w:val="0"/>
          <w:szCs w:val="28"/>
          <w:lang w:val="es-CR" w:eastAsia="es-ES"/>
        </w:rPr>
        <w:t xml:space="preserve"> </w:t>
      </w:r>
    </w:p>
    <w:p w14:paraId="2D8EDA05" w14:textId="0B487B78" w:rsidR="00A82421" w:rsidRPr="00033E65" w:rsidRDefault="00A901EF" w:rsidP="009D6100">
      <w:pPr>
        <w:pStyle w:val="Ttulo"/>
        <w:spacing w:before="0" w:after="0"/>
        <w:jc w:val="center"/>
        <w:rPr>
          <w:i/>
          <w:color w:val="auto"/>
          <w:sz w:val="16"/>
          <w:szCs w:val="16"/>
          <w:lang w:eastAsia="en-US"/>
        </w:rPr>
      </w:pPr>
      <w:r w:rsidRPr="00033E65">
        <w:rPr>
          <w:noProof/>
        </w:rPr>
        <w:drawing>
          <wp:inline distT="0" distB="0" distL="0" distR="0" wp14:anchorId="76B55467" wp14:editId="383E083C">
            <wp:extent cx="5254321" cy="2751151"/>
            <wp:effectExtent l="0" t="0" r="3810" b="0"/>
            <wp:docPr id="49" name="Gráfico 49">
              <a:extLst xmlns:a="http://schemas.openxmlformats.org/drawingml/2006/main">
                <a:ext uri="{FF2B5EF4-FFF2-40B4-BE49-F238E27FC236}">
                  <a16:creationId xmlns:a16="http://schemas.microsoft.com/office/drawing/2014/main" id="{205DA83F-B744-49A9-A134-4C592C8379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5B8EBDA" w14:textId="537D1502" w:rsidR="00624BB5" w:rsidRPr="00033E65" w:rsidRDefault="00AD733D" w:rsidP="00D1158A">
      <w:pPr>
        <w:pStyle w:val="Ttulo"/>
        <w:spacing w:before="0" w:after="0"/>
        <w:rPr>
          <w:i/>
          <w:color w:val="auto"/>
          <w:sz w:val="16"/>
          <w:szCs w:val="16"/>
          <w:lang w:eastAsia="en-US"/>
        </w:rPr>
      </w:pPr>
      <w:r w:rsidRPr="00033E65">
        <w:rPr>
          <w:i/>
          <w:color w:val="auto"/>
          <w:sz w:val="16"/>
          <w:szCs w:val="16"/>
          <w:lang w:eastAsia="en-US"/>
        </w:rPr>
        <w:t xml:space="preserve">Fuente: </w:t>
      </w:r>
      <w:r w:rsidRPr="00033E65">
        <w:rPr>
          <w:i/>
          <w:color w:val="auto"/>
          <w:sz w:val="16"/>
          <w:szCs w:val="16"/>
        </w:rPr>
        <w:t>Subproceso de Modernización Institucional</w:t>
      </w:r>
      <w:r w:rsidR="009D546D" w:rsidRPr="00033E65">
        <w:rPr>
          <w:i/>
          <w:color w:val="auto"/>
          <w:sz w:val="16"/>
          <w:szCs w:val="16"/>
        </w:rPr>
        <w:t>, área No Penal, con base en la Matriz de Indicadores de Gestión</w:t>
      </w:r>
      <w:r w:rsidR="008833A5" w:rsidRPr="00033E65">
        <w:rPr>
          <w:i/>
          <w:color w:val="auto"/>
          <w:sz w:val="16"/>
          <w:szCs w:val="16"/>
        </w:rPr>
        <w:t xml:space="preserve">. </w:t>
      </w:r>
    </w:p>
    <w:p w14:paraId="6A5839EA" w14:textId="77777777" w:rsidR="00D1158A" w:rsidRPr="00033E65" w:rsidRDefault="00D1158A" w:rsidP="00D1158A">
      <w:pPr>
        <w:pStyle w:val="Ttulo"/>
        <w:spacing w:before="0" w:after="0"/>
        <w:rPr>
          <w:rFonts w:eastAsia="Times New Roman" w:cs="Arial"/>
          <w:iCs/>
          <w:color w:val="auto"/>
          <w:spacing w:val="0"/>
          <w:sz w:val="16"/>
          <w:szCs w:val="16"/>
          <w:lang w:val="es-CR" w:eastAsia="es-ES"/>
        </w:rPr>
      </w:pPr>
    </w:p>
    <w:p w14:paraId="63D4006F" w14:textId="1246D3A4" w:rsidR="00AD733D" w:rsidRPr="00033E65" w:rsidRDefault="00554C4E" w:rsidP="00951D3E">
      <w:pPr>
        <w:pStyle w:val="Ttulo3"/>
      </w:pPr>
      <w:bookmarkStart w:id="208" w:name="_Toc132639558"/>
      <w:r>
        <w:t>9</w:t>
      </w:r>
      <w:r w:rsidR="00D10873" w:rsidRPr="00033E65">
        <w:t xml:space="preserve">.5 </w:t>
      </w:r>
      <w:r w:rsidR="009D692F" w:rsidRPr="00033E65">
        <w:t>Cantidad de Proveído y Sentencias Dictadas</w:t>
      </w:r>
      <w:bookmarkEnd w:id="208"/>
    </w:p>
    <w:p w14:paraId="57218920" w14:textId="6619333A" w:rsidR="009D692F" w:rsidRPr="00033E65" w:rsidRDefault="009D692F" w:rsidP="009D692F">
      <w:pPr>
        <w:rPr>
          <w:lang w:val="es-MX"/>
        </w:rPr>
      </w:pPr>
      <w:r w:rsidRPr="00033E65">
        <w:rPr>
          <w:lang w:val="es-MX"/>
        </w:rPr>
        <w:t>La cantidad de expedientes enviados a estudio por Técnica o Técnico Judicial al personal</w:t>
      </w:r>
      <w:r w:rsidR="00DA0518" w:rsidRPr="00033E65">
        <w:rPr>
          <w:lang w:val="es-MX"/>
        </w:rPr>
        <w:t xml:space="preserve"> juzgador tiene un promedio de </w:t>
      </w:r>
      <w:r w:rsidR="0041604A" w:rsidRPr="00033E65">
        <w:rPr>
          <w:lang w:val="es-MX"/>
        </w:rPr>
        <w:t xml:space="preserve">99 </w:t>
      </w:r>
      <w:r w:rsidRPr="00033E65">
        <w:rPr>
          <w:lang w:val="es-MX"/>
        </w:rPr>
        <w:t>casos mensuales, l</w:t>
      </w:r>
      <w:r w:rsidR="00DA0518" w:rsidRPr="00033E65">
        <w:rPr>
          <w:lang w:val="es-MX"/>
        </w:rPr>
        <w:t>o cual refleja un promedio de 37</w:t>
      </w:r>
      <w:r w:rsidRPr="00033E65">
        <w:rPr>
          <w:lang w:val="es-MX"/>
        </w:rPr>
        <w:t xml:space="preserve"> casos por persona técnica judicial al mes. En relación con la cantidad de s</w:t>
      </w:r>
      <w:r w:rsidR="00DA0518" w:rsidRPr="00033E65">
        <w:rPr>
          <w:lang w:val="es-MX"/>
        </w:rPr>
        <w:t xml:space="preserve">entencias dictadas, promedian </w:t>
      </w:r>
      <w:r w:rsidR="0041604A" w:rsidRPr="00033E65">
        <w:rPr>
          <w:lang w:val="es-MX"/>
        </w:rPr>
        <w:t xml:space="preserve">97 </w:t>
      </w:r>
      <w:r w:rsidRPr="00033E65">
        <w:rPr>
          <w:lang w:val="es-MX"/>
        </w:rPr>
        <w:t xml:space="preserve">casos al mes. </w:t>
      </w:r>
    </w:p>
    <w:p w14:paraId="3C96728F" w14:textId="09C8BE96" w:rsidR="009D692F" w:rsidRPr="00033E65" w:rsidRDefault="009D692F" w:rsidP="003F0A3A">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 xml:space="preserve">Gráfico </w:t>
      </w:r>
      <w:r w:rsidRPr="00033E65">
        <w:rPr>
          <w:rFonts w:eastAsia="Times New Roman" w:cs="Arial"/>
          <w:spacing w:val="0"/>
          <w:szCs w:val="28"/>
          <w:lang w:val="es-CR" w:eastAsia="es-ES"/>
        </w:rPr>
        <w:fldChar w:fldCharType="begin"/>
      </w:r>
      <w:r w:rsidRPr="00033E65">
        <w:rPr>
          <w:rFonts w:eastAsia="Times New Roman" w:cs="Arial"/>
          <w:spacing w:val="0"/>
          <w:szCs w:val="28"/>
          <w:lang w:val="es-CR" w:eastAsia="es-ES"/>
        </w:rPr>
        <w:instrText xml:space="preserve"> SEQ Gráfico \* ARABIC </w:instrText>
      </w:r>
      <w:r w:rsidRPr="00033E65">
        <w:rPr>
          <w:rFonts w:eastAsia="Times New Roman" w:cs="Arial"/>
          <w:spacing w:val="0"/>
          <w:szCs w:val="28"/>
          <w:lang w:val="es-CR" w:eastAsia="es-ES"/>
        </w:rPr>
        <w:fldChar w:fldCharType="separate"/>
      </w:r>
      <w:r w:rsidR="000B4B78" w:rsidRPr="00033E65">
        <w:rPr>
          <w:rFonts w:eastAsia="Times New Roman" w:cs="Arial"/>
          <w:spacing w:val="0"/>
          <w:szCs w:val="28"/>
          <w:lang w:val="es-CR" w:eastAsia="es-ES"/>
        </w:rPr>
        <w:t>23</w:t>
      </w:r>
      <w:r w:rsidRPr="00033E65">
        <w:rPr>
          <w:rFonts w:eastAsia="Times New Roman" w:cs="Arial"/>
          <w:spacing w:val="0"/>
          <w:szCs w:val="28"/>
          <w:lang w:val="es-CR" w:eastAsia="es-ES"/>
        </w:rPr>
        <w:fldChar w:fldCharType="end"/>
      </w:r>
    </w:p>
    <w:p w14:paraId="56C46159" w14:textId="122041D7" w:rsidR="000232D4" w:rsidRPr="00033E65" w:rsidRDefault="009D692F" w:rsidP="00DA0518">
      <w:pPr>
        <w:pStyle w:val="Ttulo"/>
        <w:spacing w:before="0" w:after="0"/>
        <w:jc w:val="center"/>
        <w:rPr>
          <w:i/>
          <w:color w:val="auto"/>
          <w:sz w:val="18"/>
          <w:szCs w:val="18"/>
          <w:lang w:eastAsia="en-US"/>
        </w:rPr>
      </w:pPr>
      <w:r w:rsidRPr="00033E65">
        <w:rPr>
          <w:rFonts w:eastAsia="Times New Roman" w:cs="Arial"/>
          <w:spacing w:val="0"/>
          <w:szCs w:val="28"/>
          <w:lang w:val="es-CR" w:eastAsia="es-ES"/>
        </w:rPr>
        <w:t xml:space="preserve">Comportamiento de la Cantidad de Proveído y Sentencias dictadas Generadas en el Tribunal Agrario del II Circuito Judicial de San José </w:t>
      </w:r>
      <w:r w:rsidR="00413E1C" w:rsidRPr="00033E65">
        <w:rPr>
          <w:rFonts w:eastAsia="Times New Roman" w:cs="Arial"/>
          <w:spacing w:val="0"/>
          <w:szCs w:val="28"/>
          <w:lang w:val="es-CR" w:eastAsia="es-ES"/>
        </w:rPr>
        <w:t xml:space="preserve">del </w:t>
      </w:r>
      <w:r w:rsidR="00413E1C" w:rsidRPr="00033E65">
        <w:rPr>
          <w:rFonts w:eastAsia="Times New Roman" w:cs="Arial"/>
          <w:iCs/>
          <w:spacing w:val="0"/>
          <w:szCs w:val="28"/>
          <w:lang w:val="es-CR" w:eastAsia="es-ES"/>
        </w:rPr>
        <w:t>202</w:t>
      </w:r>
      <w:r w:rsidR="008222C6" w:rsidRPr="00033E65">
        <w:rPr>
          <w:rFonts w:cs="Arial"/>
          <w:iCs/>
          <w:szCs w:val="28"/>
        </w:rPr>
        <w:t>2</w:t>
      </w:r>
    </w:p>
    <w:p w14:paraId="4D4D057E" w14:textId="1651CE3B" w:rsidR="000232D4" w:rsidRPr="00033E65" w:rsidRDefault="009457EA" w:rsidP="00DA0518">
      <w:pPr>
        <w:pStyle w:val="Ttulo"/>
        <w:spacing w:before="0" w:after="0"/>
        <w:jc w:val="center"/>
        <w:rPr>
          <w:i/>
          <w:color w:val="auto"/>
          <w:sz w:val="18"/>
          <w:szCs w:val="18"/>
          <w:lang w:eastAsia="en-US"/>
        </w:rPr>
      </w:pPr>
      <w:r w:rsidRPr="00033E65">
        <w:rPr>
          <w:noProof/>
        </w:rPr>
        <w:drawing>
          <wp:inline distT="0" distB="0" distL="0" distR="0" wp14:anchorId="5B6171C4" wp14:editId="19A3142E">
            <wp:extent cx="6086475" cy="2440940"/>
            <wp:effectExtent l="0" t="0" r="0" b="0"/>
            <wp:docPr id="61" name="Gráfico 61">
              <a:extLst xmlns:a="http://schemas.openxmlformats.org/drawingml/2006/main">
                <a:ext uri="{FF2B5EF4-FFF2-40B4-BE49-F238E27FC236}">
                  <a16:creationId xmlns:a16="http://schemas.microsoft.com/office/drawing/2014/main" id="{C3E048BF-1208-D140-AC59-5520A1B9D6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C9333AA" w14:textId="77777777" w:rsidR="000232D4" w:rsidRPr="00033E65" w:rsidRDefault="000232D4" w:rsidP="00DA0518">
      <w:pPr>
        <w:pStyle w:val="Ttulo"/>
        <w:spacing w:before="0" w:after="0"/>
        <w:jc w:val="center"/>
        <w:rPr>
          <w:i/>
          <w:color w:val="auto"/>
          <w:sz w:val="18"/>
          <w:szCs w:val="18"/>
          <w:lang w:eastAsia="en-US"/>
        </w:rPr>
      </w:pPr>
    </w:p>
    <w:p w14:paraId="4C0A2ADD" w14:textId="77777777" w:rsidR="000232D4" w:rsidRPr="00033E65" w:rsidRDefault="000232D4" w:rsidP="00DA0518">
      <w:pPr>
        <w:pStyle w:val="Ttulo"/>
        <w:spacing w:before="0" w:after="0"/>
        <w:jc w:val="center"/>
        <w:rPr>
          <w:i/>
          <w:color w:val="auto"/>
          <w:sz w:val="18"/>
          <w:szCs w:val="18"/>
          <w:lang w:eastAsia="en-US"/>
        </w:rPr>
      </w:pPr>
    </w:p>
    <w:p w14:paraId="5891AF4C" w14:textId="77777777" w:rsidR="000232D4" w:rsidRPr="00033E65" w:rsidRDefault="000232D4" w:rsidP="00DA0518">
      <w:pPr>
        <w:pStyle w:val="Ttulo"/>
        <w:spacing w:before="0" w:after="0"/>
        <w:jc w:val="center"/>
        <w:rPr>
          <w:i/>
          <w:color w:val="auto"/>
          <w:sz w:val="18"/>
          <w:szCs w:val="18"/>
          <w:lang w:eastAsia="en-US"/>
        </w:rPr>
      </w:pPr>
    </w:p>
    <w:p w14:paraId="542CCAE6" w14:textId="77777777" w:rsidR="000232D4" w:rsidRPr="00033E65" w:rsidRDefault="000232D4" w:rsidP="00DA0518">
      <w:pPr>
        <w:pStyle w:val="Ttulo"/>
        <w:spacing w:before="0" w:after="0"/>
        <w:jc w:val="center"/>
        <w:rPr>
          <w:i/>
          <w:color w:val="auto"/>
          <w:sz w:val="18"/>
          <w:szCs w:val="18"/>
          <w:lang w:eastAsia="en-US"/>
        </w:rPr>
      </w:pPr>
    </w:p>
    <w:p w14:paraId="58996281" w14:textId="66341A4C" w:rsidR="00D1158A" w:rsidRPr="00033E65" w:rsidRDefault="00D1158A" w:rsidP="009D6100">
      <w:pPr>
        <w:pStyle w:val="Ttulo"/>
        <w:spacing w:before="0" w:after="0"/>
        <w:rPr>
          <w:rFonts w:eastAsia="Times New Roman" w:cs="Arial"/>
          <w:iCs/>
          <w:color w:val="auto"/>
          <w:spacing w:val="0"/>
          <w:sz w:val="18"/>
          <w:szCs w:val="18"/>
          <w:lang w:val="es-CR" w:eastAsia="es-ES"/>
        </w:rPr>
      </w:pPr>
      <w:r w:rsidRPr="00033E65">
        <w:rPr>
          <w:i/>
          <w:color w:val="auto"/>
          <w:sz w:val="18"/>
          <w:szCs w:val="18"/>
          <w:lang w:eastAsia="en-US"/>
        </w:rPr>
        <w:t>Fuente: Subproceso de Modernización Institucional</w:t>
      </w:r>
      <w:r w:rsidR="00C213EC" w:rsidRPr="00033E65">
        <w:rPr>
          <w:i/>
          <w:color w:val="auto"/>
          <w:sz w:val="18"/>
          <w:szCs w:val="18"/>
          <w:lang w:eastAsia="en-US"/>
        </w:rPr>
        <w:t xml:space="preserve">, área No Penal, con base en la Matriz de Indicadores de Gestión. </w:t>
      </w:r>
    </w:p>
    <w:p w14:paraId="4FC7E110" w14:textId="62912B20" w:rsidR="00D1158A" w:rsidRPr="00033E65" w:rsidRDefault="00D1158A" w:rsidP="00DA0518">
      <w:pPr>
        <w:rPr>
          <w:b/>
          <w:i/>
          <w:sz w:val="18"/>
          <w:lang w:eastAsia="en-US"/>
        </w:rPr>
      </w:pPr>
    </w:p>
    <w:p w14:paraId="1A34D693" w14:textId="1B95F00B" w:rsidR="000709A7" w:rsidRPr="00033E65" w:rsidRDefault="00554C4E" w:rsidP="00554C4E">
      <w:pPr>
        <w:pStyle w:val="Ttulo2"/>
        <w:numPr>
          <w:ilvl w:val="0"/>
          <w:numId w:val="0"/>
        </w:numPr>
      </w:pPr>
      <w:bookmarkStart w:id="209" w:name="_Toc132639559"/>
      <w:r>
        <w:t xml:space="preserve">10. </w:t>
      </w:r>
      <w:r w:rsidR="007A4C2E" w:rsidRPr="00033E65">
        <w:t>Juzgado Agrario de</w:t>
      </w:r>
      <w:r w:rsidR="00DA3EC0" w:rsidRPr="00033E65">
        <w:t xml:space="preserve"> Puntarenas, sede</w:t>
      </w:r>
      <w:r w:rsidR="007A4C2E" w:rsidRPr="00033E65">
        <w:t xml:space="preserve"> Jicaral</w:t>
      </w:r>
      <w:bookmarkEnd w:id="209"/>
    </w:p>
    <w:p w14:paraId="38DF6D62" w14:textId="2BCDDCE1" w:rsidR="007A4C2E" w:rsidRPr="00033E65" w:rsidRDefault="00454D0F" w:rsidP="00453397">
      <w:pPr>
        <w:rPr>
          <w:lang w:val="es-MX"/>
        </w:rPr>
      </w:pPr>
      <w:r w:rsidRPr="00033E65">
        <w:rPr>
          <w:lang w:val="es-MX"/>
        </w:rPr>
        <w:t>La creación del Juzgado Agrario de Puntarenas, Sede Jicaral,</w:t>
      </w:r>
      <w:r w:rsidR="001416BD" w:rsidRPr="00033E65">
        <w:rPr>
          <w:lang w:val="es-MX"/>
        </w:rPr>
        <w:t xml:space="preserve"> fue recomendada en el informe 555-PLA-RH-MI-2020 denominado </w:t>
      </w:r>
      <w:r w:rsidR="001416BD" w:rsidRPr="00033E65">
        <w:rPr>
          <w:i/>
          <w:lang w:val="es-MX"/>
        </w:rPr>
        <w:t>“Impacto organizacional y presupuestario en el Poder Judicial a partir de la promulgación del Nuevo Código Procesal Agrario para el 2021. Ley 9609”</w:t>
      </w:r>
      <w:r w:rsidR="001416BD" w:rsidRPr="00033E65">
        <w:rPr>
          <w:lang w:val="es-MX"/>
        </w:rPr>
        <w:t xml:space="preserve">de la Dirección de Planificación, el cual aprobado </w:t>
      </w:r>
      <w:r w:rsidRPr="00033E65">
        <w:rPr>
          <w:lang w:val="es-MX"/>
        </w:rPr>
        <w:t>por Consejo Superior e</w:t>
      </w:r>
      <w:r w:rsidR="00453397" w:rsidRPr="00033E65">
        <w:rPr>
          <w:lang w:val="es-MX"/>
        </w:rPr>
        <w:t xml:space="preserve">n sesión 45-2020 (Presupuesto 2021) artículo XVIII, celebrada el 8 de mayo del 2020, </w:t>
      </w:r>
      <w:r w:rsidR="001416BD" w:rsidRPr="00033E65">
        <w:rPr>
          <w:lang w:val="es-MX"/>
        </w:rPr>
        <w:t>y</w:t>
      </w:r>
      <w:r w:rsidRPr="00033E65">
        <w:rPr>
          <w:lang w:val="es-MX"/>
        </w:rPr>
        <w:t xml:space="preserve"> </w:t>
      </w:r>
      <w:r w:rsidR="007A4C2E" w:rsidRPr="00033E65">
        <w:rPr>
          <w:lang w:val="es-MX"/>
        </w:rPr>
        <w:t xml:space="preserve">fue aprobada por Corte Plena en sesión 53-2020, celebrada el 21 de </w:t>
      </w:r>
      <w:r w:rsidR="00AD78C4" w:rsidRPr="00033E65">
        <w:rPr>
          <w:lang w:val="es-MX"/>
        </w:rPr>
        <w:t>setiembre de 2020, artículo XV.</w:t>
      </w:r>
    </w:p>
    <w:p w14:paraId="6E741613" w14:textId="72960BBA" w:rsidR="007A4C2E" w:rsidRPr="00033E65" w:rsidRDefault="007A4C2E" w:rsidP="007A4C2E">
      <w:pPr>
        <w:rPr>
          <w:lang w:val="es-MX"/>
        </w:rPr>
      </w:pPr>
      <w:r w:rsidRPr="00033E65">
        <w:rPr>
          <w:lang w:val="es-MX"/>
        </w:rPr>
        <w:t>Lo anterior, fue comunicado el 15 de enero 2021 por parte de la Secretaría General de la Corte, circular 238-2020: “Creación del Juzgado Agrario de Jicaral, así como el cambio de competencias territoriales del Juzgado Agrario de Puntarenas y del Juzgado Agrario del Segundo Circuito Judicial de Guanacaste, sede Santa Cruz”</w:t>
      </w:r>
      <w:r w:rsidR="007659BE" w:rsidRPr="00033E65">
        <w:rPr>
          <w:lang w:val="es-MX"/>
        </w:rPr>
        <w:t>.</w:t>
      </w:r>
    </w:p>
    <w:p w14:paraId="767FD00F" w14:textId="26544C7E" w:rsidR="007A4C2E" w:rsidRPr="00033E65" w:rsidRDefault="007A4C2E" w:rsidP="007A4C2E">
      <w:pPr>
        <w:ind w:left="851" w:right="616"/>
        <w:rPr>
          <w:i/>
          <w:iCs/>
          <w:lang w:val="es-MX"/>
        </w:rPr>
      </w:pPr>
      <w:r w:rsidRPr="00033E65">
        <w:rPr>
          <w:i/>
          <w:iCs/>
          <w:lang w:val="es-MX"/>
        </w:rPr>
        <w:t>“</w:t>
      </w:r>
      <w:r w:rsidR="00453397" w:rsidRPr="00033E65">
        <w:rPr>
          <w:i/>
          <w:iCs/>
          <w:lang w:val="es-MX"/>
        </w:rPr>
        <w:t>…</w:t>
      </w:r>
      <w:r w:rsidRPr="00033E65">
        <w:rPr>
          <w:i/>
          <w:iCs/>
          <w:lang w:val="es-MX"/>
        </w:rPr>
        <w:t>Sin objeción alguna, se acordó: 1) Tener por hechas las exposiciones de la Dirección de Planificación y de la Dirección Ejecutiva así como las manifestaciones del magistrado Rivas y de la magistrada Vargas. 2) Acoger la propuesta de la Dirección de Planificación contenida en el estudio N° 555-PLA-RH-MI-2020 denominado “Impacto organizacional y presupuestario en el Poder Judicial a partir de la promulgación del Nuevo Código Procesal Agrario para el 2021. Ley 9609”, en consecuencia: Aprobar la creación del Juzgado Agrario de Jicaral, así como el cambio de competencias territoriales del Juzgado Agrario de Puntarenas y del Juzgado Agrario del Segundo Circuito Judicial de Guanacaste, sede Santa Cruz</w:t>
      </w:r>
      <w:r w:rsidR="00453397" w:rsidRPr="00033E65">
        <w:rPr>
          <w:i/>
          <w:iCs/>
          <w:lang w:val="es-MX"/>
        </w:rPr>
        <w:t>…</w:t>
      </w:r>
      <w:r w:rsidRPr="00033E65">
        <w:rPr>
          <w:i/>
          <w:iCs/>
          <w:lang w:val="es-MX"/>
        </w:rPr>
        <w:t>”</w:t>
      </w:r>
      <w:r w:rsidR="00624BB5" w:rsidRPr="00033E65">
        <w:rPr>
          <w:i/>
          <w:iCs/>
          <w:lang w:val="es-MX"/>
        </w:rPr>
        <w:t>.</w:t>
      </w:r>
    </w:p>
    <w:p w14:paraId="1A35565F" w14:textId="0A0BFAC3" w:rsidR="00AD78C4" w:rsidRPr="00033E65" w:rsidRDefault="00AD78C4" w:rsidP="00AD78C4">
      <w:pPr>
        <w:ind w:right="616"/>
        <w:rPr>
          <w:i/>
          <w:iCs/>
          <w:lang w:val="es-MX"/>
        </w:rPr>
      </w:pPr>
      <w:r w:rsidRPr="00033E65">
        <w:rPr>
          <w:i/>
          <w:iCs/>
          <w:lang w:val="es-MX"/>
        </w:rPr>
        <w:t xml:space="preserve"> </w:t>
      </w:r>
    </w:p>
    <w:p w14:paraId="1768BBB3" w14:textId="6230F426" w:rsidR="003754AD" w:rsidRPr="00033E65" w:rsidRDefault="00AD78C4" w:rsidP="005C2ABB">
      <w:pPr>
        <w:ind w:right="616"/>
        <w:rPr>
          <w:iCs/>
          <w:lang w:val="es-MX"/>
        </w:rPr>
      </w:pPr>
      <w:r w:rsidRPr="00033E65">
        <w:rPr>
          <w:iCs/>
          <w:lang w:val="es-MX"/>
        </w:rPr>
        <w:t>A partir de la aprobación de Corte Plena, se realizaron a lo interno de la institución las acciones tendientes a la apertura efectiva de esta oficina, y para ello el Consejo Superior en sesión N° 15-2021 celebrada el 23 de febrero de 2021</w:t>
      </w:r>
      <w:r w:rsidR="00104C5C" w:rsidRPr="00033E65">
        <w:rPr>
          <w:iCs/>
          <w:lang w:val="es-MX"/>
        </w:rPr>
        <w:t>, acordó que el despa</w:t>
      </w:r>
      <w:r w:rsidRPr="00033E65">
        <w:rPr>
          <w:iCs/>
          <w:lang w:val="es-MX"/>
        </w:rPr>
        <w:t>cho</w:t>
      </w:r>
      <w:r w:rsidR="00104C5C" w:rsidRPr="00033E65">
        <w:rPr>
          <w:iCs/>
          <w:lang w:val="es-MX"/>
        </w:rPr>
        <w:t xml:space="preserve"> iniciaba su apertura el 03 de mayo, la competencia territorial de este nuevo Juzgado, que corresponde a una sede en Puntarenas, y la cual inicio </w:t>
      </w:r>
      <w:r w:rsidR="00FE54AB" w:rsidRPr="00033E65">
        <w:rPr>
          <w:iCs/>
          <w:lang w:val="es-MX"/>
        </w:rPr>
        <w:t>funciones</w:t>
      </w:r>
      <w:r w:rsidR="00104C5C" w:rsidRPr="00033E65">
        <w:rPr>
          <w:iCs/>
          <w:lang w:val="es-MX"/>
        </w:rPr>
        <w:t xml:space="preserve"> previo a la entrada</w:t>
      </w:r>
      <w:r w:rsidR="00FE54AB" w:rsidRPr="00033E65">
        <w:rPr>
          <w:iCs/>
          <w:lang w:val="es-MX"/>
        </w:rPr>
        <w:t xml:space="preserve"> en vigencia</w:t>
      </w:r>
      <w:r w:rsidR="00104C5C" w:rsidRPr="00033E65">
        <w:rPr>
          <w:iCs/>
          <w:lang w:val="es-MX"/>
        </w:rPr>
        <w:t xml:space="preserve"> de la promulgación del Nuevo Código Procesal Agrario Ley 9609</w:t>
      </w:r>
      <w:r w:rsidR="00FE54AB" w:rsidRPr="00033E65">
        <w:rPr>
          <w:iCs/>
          <w:lang w:val="es-MX"/>
        </w:rPr>
        <w:t xml:space="preserve">, se definió en la circular N°238-2020 </w:t>
      </w:r>
      <w:r w:rsidR="00FE54AB" w:rsidRPr="00033E65">
        <w:rPr>
          <w:i/>
          <w:iCs/>
          <w:lang w:val="es-MX"/>
        </w:rPr>
        <w:t>(ver anexo</w:t>
      </w:r>
      <w:r w:rsidR="00C11615" w:rsidRPr="00033E65">
        <w:rPr>
          <w:i/>
          <w:iCs/>
          <w:lang w:val="es-MX"/>
        </w:rPr>
        <w:t xml:space="preserve"> 2</w:t>
      </w:r>
      <w:r w:rsidR="009367DB" w:rsidRPr="00033E65">
        <w:rPr>
          <w:i/>
          <w:iCs/>
          <w:lang w:val="es-MX"/>
        </w:rPr>
        <w:t>4</w:t>
      </w:r>
      <w:r w:rsidR="00762F59" w:rsidRPr="00033E65">
        <w:rPr>
          <w:i/>
          <w:iCs/>
          <w:lang w:val="es-MX"/>
        </w:rPr>
        <w:t xml:space="preserve"> Oficio 1996-2021</w:t>
      </w:r>
      <w:r w:rsidR="00FE54AB" w:rsidRPr="00033E65">
        <w:rPr>
          <w:i/>
          <w:iCs/>
          <w:lang w:val="es-MX"/>
        </w:rPr>
        <w:t>)</w:t>
      </w:r>
      <w:r w:rsidR="00FE54AB" w:rsidRPr="00033E65">
        <w:rPr>
          <w:iCs/>
          <w:lang w:val="es-MX"/>
        </w:rPr>
        <w:t xml:space="preserve"> la competencia territorial.</w:t>
      </w:r>
    </w:p>
    <w:p w14:paraId="79011C62" w14:textId="4E1B7F8B" w:rsidR="00FE54AB" w:rsidRPr="00033E65" w:rsidRDefault="00FE54AB" w:rsidP="005C2ABB">
      <w:pPr>
        <w:ind w:right="616"/>
        <w:rPr>
          <w:iCs/>
          <w:lang w:val="es-MX"/>
        </w:rPr>
      </w:pPr>
      <w:r w:rsidRPr="00033E65">
        <w:rPr>
          <w:iCs/>
          <w:lang w:val="es-MX"/>
        </w:rPr>
        <w:t>Es importante indicar, conforme al Modelo de Sostenibilidad Institucional</w:t>
      </w:r>
      <w:r w:rsidR="00496A7C" w:rsidRPr="00033E65">
        <w:rPr>
          <w:iCs/>
          <w:lang w:val="es-MX"/>
        </w:rPr>
        <w:t xml:space="preserve">, fue capacitada, tienen conformado el equipo de mejora y realizan la debido llenado de información y la remisión de la matriz de indicadores de gestión, ante la instancia correspondiente. Además, </w:t>
      </w:r>
      <w:r w:rsidRPr="00033E65">
        <w:rPr>
          <w:iCs/>
          <w:lang w:val="es-MX"/>
        </w:rPr>
        <w:t>actualmente está bajo el seguimiento de la Administración Regional de N</w:t>
      </w:r>
      <w:r w:rsidR="00496A7C" w:rsidRPr="00033E65">
        <w:rPr>
          <w:iCs/>
          <w:lang w:val="es-MX"/>
        </w:rPr>
        <w:t xml:space="preserve">icoya y el Centro de Apoyo, Coordinación y Mejoramiento de la Función Jurisdiccional. </w:t>
      </w:r>
    </w:p>
    <w:p w14:paraId="11453707" w14:textId="6EFE4AEA" w:rsidR="00B959DA" w:rsidRPr="00033E65" w:rsidRDefault="00B959DA" w:rsidP="005C2ABB">
      <w:pPr>
        <w:ind w:right="616"/>
        <w:rPr>
          <w:iCs/>
          <w:lang w:val="es-MX"/>
        </w:rPr>
      </w:pPr>
      <w:r w:rsidRPr="00033E65">
        <w:rPr>
          <w:iCs/>
          <w:lang w:val="es-MX"/>
        </w:rPr>
        <w:t xml:space="preserve">Sin embargo, se mantiene pendiente la creación de la oficina como tal, por lo que se </w:t>
      </w:r>
      <w:r w:rsidR="000A7DEF" w:rsidRPr="00033E65">
        <w:rPr>
          <w:iCs/>
          <w:lang w:val="es-MX"/>
        </w:rPr>
        <w:t>recomendará</w:t>
      </w:r>
      <w:r w:rsidRPr="00033E65">
        <w:rPr>
          <w:iCs/>
          <w:lang w:val="es-MX"/>
        </w:rPr>
        <w:t xml:space="preserve"> a partir de la entrará en vigencia el 28 de febrero del 202</w:t>
      </w:r>
      <w:r w:rsidR="002E6482" w:rsidRPr="00033E65">
        <w:rPr>
          <w:iCs/>
          <w:lang w:val="es-MX"/>
        </w:rPr>
        <w:t>5</w:t>
      </w:r>
      <w:r w:rsidRPr="00033E65">
        <w:rPr>
          <w:iCs/>
          <w:lang w:val="es-MX"/>
        </w:rPr>
        <w:t>.</w:t>
      </w:r>
      <w:r w:rsidR="004B00EA" w:rsidRPr="00033E65">
        <w:rPr>
          <w:iCs/>
          <w:lang w:val="es-MX"/>
        </w:rPr>
        <w:t xml:space="preserve"> Esta oficina se constituye legalmente como Juzgado Agrario de Jicaral.</w:t>
      </w:r>
    </w:p>
    <w:p w14:paraId="5F8727AE" w14:textId="3B12AD4C" w:rsidR="003754AD" w:rsidRPr="00033E65" w:rsidRDefault="003754AD" w:rsidP="003754AD">
      <w:pPr>
        <w:ind w:right="616"/>
        <w:rPr>
          <w:iCs/>
          <w:lang w:val="es-MX"/>
        </w:rPr>
      </w:pPr>
      <w:r w:rsidRPr="00033E65">
        <w:rPr>
          <w:iCs/>
          <w:lang w:val="es-MX"/>
        </w:rPr>
        <w:t>De lo anterior, es importante conocer la gestión y el avance que han tenido este Juzgado de la Jurisdicción Agraria, a partir de la implementación de los Indicadores de Gestión. A continuación, el siguiente análisis de acuerdo con los datos generados en el periodo mayo a diciembre del 202</w:t>
      </w:r>
      <w:r w:rsidR="00E0239B" w:rsidRPr="00033E65">
        <w:rPr>
          <w:iCs/>
          <w:lang w:val="es-MX"/>
        </w:rPr>
        <w:t>2</w:t>
      </w:r>
      <w:r w:rsidRPr="00033E65">
        <w:rPr>
          <w:iCs/>
          <w:lang w:val="es-MX"/>
        </w:rPr>
        <w:t>.</w:t>
      </w:r>
    </w:p>
    <w:p w14:paraId="2CB3EC6F" w14:textId="2EA98087" w:rsidR="003754AD" w:rsidRPr="00033E65" w:rsidRDefault="003754AD" w:rsidP="003754AD">
      <w:pPr>
        <w:ind w:right="616"/>
        <w:rPr>
          <w:iCs/>
          <w:lang w:val="es-MX"/>
        </w:rPr>
      </w:pPr>
    </w:p>
    <w:p w14:paraId="2538C926" w14:textId="5443B71C" w:rsidR="003754AD" w:rsidRPr="00033E65" w:rsidRDefault="003754AD" w:rsidP="003754AD">
      <w:pPr>
        <w:spacing w:before="0" w:after="0" w:line="264" w:lineRule="auto"/>
        <w:jc w:val="center"/>
        <w:rPr>
          <w:rFonts w:cs="Arial"/>
          <w:b/>
          <w:iCs/>
          <w:color w:val="244061" w:themeColor="accent1" w:themeShade="80"/>
          <w:sz w:val="24"/>
          <w:szCs w:val="28"/>
        </w:rPr>
      </w:pPr>
      <w:r w:rsidRPr="00033E65">
        <w:rPr>
          <w:rFonts w:cs="Arial"/>
          <w:b/>
          <w:iCs/>
          <w:color w:val="244061" w:themeColor="accent1" w:themeShade="80"/>
          <w:sz w:val="24"/>
          <w:szCs w:val="28"/>
        </w:rPr>
        <w:t xml:space="preserve">Cuadro </w:t>
      </w:r>
      <w:r w:rsidR="00475C11" w:rsidRPr="00033E65">
        <w:rPr>
          <w:rFonts w:cs="Arial"/>
          <w:b/>
          <w:iCs/>
          <w:color w:val="244061" w:themeColor="accent1" w:themeShade="80"/>
          <w:sz w:val="24"/>
          <w:szCs w:val="28"/>
        </w:rPr>
        <w:t>1</w:t>
      </w:r>
      <w:r w:rsidR="00AB5B18" w:rsidRPr="00033E65">
        <w:rPr>
          <w:rFonts w:cs="Arial"/>
          <w:b/>
          <w:iCs/>
          <w:color w:val="244061" w:themeColor="accent1" w:themeShade="80"/>
          <w:sz w:val="24"/>
          <w:szCs w:val="28"/>
        </w:rPr>
        <w:t>7</w:t>
      </w:r>
    </w:p>
    <w:p w14:paraId="3F14A8A7" w14:textId="44D47F38" w:rsidR="00A76D9A" w:rsidRPr="00033E65" w:rsidRDefault="008E1852" w:rsidP="009D6100">
      <w:pPr>
        <w:spacing w:before="0" w:line="252" w:lineRule="auto"/>
        <w:jc w:val="center"/>
        <w:rPr>
          <w:rFonts w:cs="Arial"/>
          <w:b/>
          <w:iCs/>
          <w:color w:val="244061" w:themeColor="accent1" w:themeShade="80"/>
          <w:sz w:val="24"/>
          <w:szCs w:val="28"/>
        </w:rPr>
      </w:pPr>
      <w:r w:rsidRPr="00033E65">
        <w:rPr>
          <w:rFonts w:cs="Arial"/>
          <w:b/>
          <w:iCs/>
          <w:color w:val="244061" w:themeColor="accent1" w:themeShade="80"/>
          <w:sz w:val="24"/>
          <w:szCs w:val="28"/>
        </w:rPr>
        <w:t xml:space="preserve">Análisis de los Indicadores de Gestión del Juzgado Agrario de Puntarenas, Sede </w:t>
      </w:r>
      <w:r w:rsidRPr="00033E65">
        <w:rPr>
          <w:rFonts w:cs="Arial"/>
          <w:b/>
          <w:bCs/>
          <w:color w:val="244061" w:themeColor="accent1" w:themeShade="80"/>
          <w:sz w:val="24"/>
          <w:szCs w:val="24"/>
        </w:rPr>
        <w:t>202</w:t>
      </w:r>
      <w:r w:rsidR="5BCE908C" w:rsidRPr="00033E65">
        <w:rPr>
          <w:rFonts w:cs="Arial"/>
          <w:b/>
          <w:bCs/>
          <w:color w:val="244061" w:themeColor="accent1" w:themeShade="80"/>
          <w:sz w:val="24"/>
          <w:szCs w:val="24"/>
        </w:rPr>
        <w:t>2</w:t>
      </w:r>
    </w:p>
    <w:tbl>
      <w:tblPr>
        <w:tblStyle w:val="Tablaconcuadrcula"/>
        <w:tblW w:w="11416" w:type="dxa"/>
        <w:tblInd w:w="-1436" w:type="dxa"/>
        <w:tblLayout w:type="fixed"/>
        <w:tblLook w:val="06A0" w:firstRow="1" w:lastRow="0" w:firstColumn="1" w:lastColumn="0" w:noHBand="1" w:noVBand="1"/>
      </w:tblPr>
      <w:tblGrid>
        <w:gridCol w:w="1560"/>
        <w:gridCol w:w="709"/>
        <w:gridCol w:w="567"/>
        <w:gridCol w:w="858"/>
        <w:gridCol w:w="858"/>
        <w:gridCol w:w="858"/>
        <w:gridCol w:w="858"/>
        <w:gridCol w:w="858"/>
        <w:gridCol w:w="858"/>
        <w:gridCol w:w="858"/>
        <w:gridCol w:w="858"/>
        <w:gridCol w:w="858"/>
        <w:gridCol w:w="858"/>
      </w:tblGrid>
      <w:tr w:rsidR="00B53CB8" w:rsidRPr="00033E65" w14:paraId="6B1B8BEE" w14:textId="77777777" w:rsidTr="00BA2CF6">
        <w:trPr>
          <w:trHeight w:val="330"/>
          <w:tblHeader/>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shd w:val="clear" w:color="auto" w:fill="31869B"/>
            <w:vAlign w:val="center"/>
          </w:tcPr>
          <w:p w14:paraId="27B4EFD7" w14:textId="7251EC8A" w:rsidR="3B3A077A" w:rsidRPr="00033E65" w:rsidRDefault="3B3A077A" w:rsidP="009D6100">
            <w:pPr>
              <w:jc w:val="center"/>
              <w:rPr>
                <w:rFonts w:eastAsia="Book Antiqua" w:cs="Book Antiqua"/>
                <w:b/>
                <w:bCs/>
                <w:color w:val="EEECE1" w:themeColor="background2"/>
                <w:szCs w:val="22"/>
              </w:rPr>
            </w:pPr>
            <w:r w:rsidRPr="00033E65">
              <w:rPr>
                <w:rFonts w:eastAsia="Book Antiqua" w:cs="Book Antiqua"/>
                <w:b/>
                <w:bCs/>
                <w:color w:val="EEECE1" w:themeColor="background2"/>
                <w:szCs w:val="22"/>
              </w:rPr>
              <w:t>Indicador</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shd w:val="clear" w:color="auto" w:fill="31869B"/>
          </w:tcPr>
          <w:p w14:paraId="2A39F88A" w14:textId="0D9BAAB1" w:rsidR="0016512C" w:rsidRPr="00033E65" w:rsidRDefault="00C74B88">
            <w:pPr>
              <w:jc w:val="center"/>
              <w:rPr>
                <w:rFonts w:eastAsia="Book Antiqua" w:cs="Book Antiqua"/>
                <w:b/>
                <w:bCs/>
                <w:color w:val="EEECE1" w:themeColor="background2"/>
                <w:szCs w:val="22"/>
              </w:rPr>
            </w:pPr>
            <w:r w:rsidRPr="00033E65">
              <w:rPr>
                <w:rFonts w:eastAsia="Book Antiqua" w:cs="Book Antiqua"/>
                <w:b/>
                <w:color w:val="EEECE1" w:themeColor="background2"/>
                <w:szCs w:val="22"/>
              </w:rPr>
              <w:t>ene-22</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shd w:val="clear" w:color="auto" w:fill="31869B"/>
          </w:tcPr>
          <w:p w14:paraId="13FB0BCC" w14:textId="27F00837" w:rsidR="0016512C" w:rsidRPr="00033E65" w:rsidRDefault="00C74B88">
            <w:pPr>
              <w:jc w:val="center"/>
              <w:rPr>
                <w:rFonts w:eastAsia="Book Antiqua" w:cs="Book Antiqua"/>
                <w:b/>
                <w:bCs/>
                <w:color w:val="EEECE1" w:themeColor="background2"/>
                <w:szCs w:val="22"/>
              </w:rPr>
            </w:pPr>
            <w:r w:rsidRPr="00033E65">
              <w:rPr>
                <w:rFonts w:eastAsia="Book Antiqua" w:cs="Book Antiqua"/>
                <w:b/>
                <w:color w:val="EEECE1" w:themeColor="background2"/>
                <w:szCs w:val="22"/>
              </w:rPr>
              <w:t>feb-22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shd w:val="clear" w:color="auto" w:fill="31869B"/>
          </w:tcPr>
          <w:p w14:paraId="45D1AECD" w14:textId="3E77FD7F" w:rsidR="0016512C" w:rsidRPr="00033E65" w:rsidRDefault="00C74B88">
            <w:pPr>
              <w:jc w:val="center"/>
              <w:rPr>
                <w:rFonts w:eastAsia="Book Antiqua" w:cs="Book Antiqua"/>
                <w:b/>
                <w:bCs/>
                <w:color w:val="EEECE1" w:themeColor="background2"/>
                <w:szCs w:val="22"/>
              </w:rPr>
            </w:pPr>
            <w:r w:rsidRPr="00033E65">
              <w:rPr>
                <w:rFonts w:eastAsia="Book Antiqua" w:cs="Book Antiqua"/>
                <w:b/>
                <w:color w:val="EEECE1" w:themeColor="background2"/>
                <w:szCs w:val="22"/>
              </w:rPr>
              <w:t>mar-22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shd w:val="clear" w:color="auto" w:fill="31869B"/>
          </w:tcPr>
          <w:p w14:paraId="4BFECEFA" w14:textId="1C44D0F9" w:rsidR="0016512C" w:rsidRPr="00033E65" w:rsidRDefault="00C74B88">
            <w:pPr>
              <w:jc w:val="center"/>
              <w:rPr>
                <w:rFonts w:eastAsia="Book Antiqua" w:cs="Book Antiqua"/>
                <w:b/>
                <w:bCs/>
                <w:color w:val="EEECE1" w:themeColor="background2"/>
                <w:szCs w:val="22"/>
              </w:rPr>
            </w:pPr>
            <w:r w:rsidRPr="00033E65">
              <w:rPr>
                <w:rFonts w:eastAsia="Book Antiqua" w:cs="Book Antiqua"/>
                <w:b/>
                <w:color w:val="EEECE1" w:themeColor="background2"/>
                <w:szCs w:val="22"/>
              </w:rPr>
              <w:t>abr-22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shd w:val="clear" w:color="auto" w:fill="31869B"/>
            <w:vAlign w:val="center"/>
          </w:tcPr>
          <w:p w14:paraId="301CA8F0" w14:textId="65C18456" w:rsidR="3B3A077A" w:rsidRPr="00033E65" w:rsidRDefault="3B3A077A" w:rsidP="009D6100">
            <w:pPr>
              <w:jc w:val="center"/>
              <w:rPr>
                <w:rFonts w:eastAsia="Book Antiqua" w:cs="Book Antiqua"/>
                <w:b/>
                <w:bCs/>
                <w:color w:val="EEECE1" w:themeColor="background2"/>
                <w:szCs w:val="22"/>
              </w:rPr>
            </w:pPr>
            <w:r w:rsidRPr="00033E65">
              <w:rPr>
                <w:rFonts w:eastAsia="Book Antiqua" w:cs="Book Antiqua"/>
                <w:b/>
                <w:bCs/>
                <w:color w:val="EEECE1" w:themeColor="background2"/>
                <w:szCs w:val="22"/>
              </w:rPr>
              <w:t>may-22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shd w:val="clear" w:color="auto" w:fill="31869B"/>
            <w:vAlign w:val="center"/>
          </w:tcPr>
          <w:p w14:paraId="264F1AAD" w14:textId="180C32E3" w:rsidR="3B3A077A" w:rsidRPr="00033E65" w:rsidRDefault="3B3A077A" w:rsidP="009D6100">
            <w:pPr>
              <w:jc w:val="center"/>
              <w:rPr>
                <w:rFonts w:eastAsia="Book Antiqua" w:cs="Book Antiqua"/>
                <w:b/>
                <w:bCs/>
                <w:color w:val="EEECE1" w:themeColor="background2"/>
                <w:szCs w:val="22"/>
              </w:rPr>
            </w:pPr>
            <w:r w:rsidRPr="00033E65">
              <w:rPr>
                <w:rFonts w:eastAsia="Book Antiqua" w:cs="Book Antiqua"/>
                <w:b/>
                <w:bCs/>
                <w:color w:val="EEECE1" w:themeColor="background2"/>
                <w:szCs w:val="22"/>
              </w:rPr>
              <w:t>jun-22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shd w:val="clear" w:color="auto" w:fill="31869B"/>
            <w:vAlign w:val="center"/>
          </w:tcPr>
          <w:p w14:paraId="4732008D" w14:textId="58AED545" w:rsidR="3B3A077A" w:rsidRPr="00033E65" w:rsidRDefault="3B3A077A" w:rsidP="009D6100">
            <w:pPr>
              <w:jc w:val="center"/>
              <w:rPr>
                <w:rFonts w:eastAsia="Book Antiqua" w:cs="Book Antiqua"/>
                <w:b/>
                <w:bCs/>
                <w:color w:val="EEECE1" w:themeColor="background2"/>
                <w:szCs w:val="22"/>
              </w:rPr>
            </w:pPr>
            <w:r w:rsidRPr="00033E65">
              <w:rPr>
                <w:rFonts w:eastAsia="Book Antiqua" w:cs="Book Antiqua"/>
                <w:b/>
                <w:bCs/>
                <w:color w:val="EEECE1" w:themeColor="background2"/>
                <w:szCs w:val="22"/>
              </w:rPr>
              <w:t>jul-22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shd w:val="clear" w:color="auto" w:fill="31869B"/>
            <w:vAlign w:val="center"/>
          </w:tcPr>
          <w:p w14:paraId="199D3CA9" w14:textId="475057E7" w:rsidR="3B3A077A" w:rsidRPr="00033E65" w:rsidRDefault="3B3A077A" w:rsidP="009D6100">
            <w:pPr>
              <w:jc w:val="center"/>
              <w:rPr>
                <w:rFonts w:eastAsia="Book Antiqua" w:cs="Book Antiqua"/>
                <w:b/>
                <w:bCs/>
                <w:color w:val="EEECE1" w:themeColor="background2"/>
                <w:szCs w:val="22"/>
              </w:rPr>
            </w:pPr>
            <w:r w:rsidRPr="00033E65">
              <w:rPr>
                <w:rFonts w:eastAsia="Book Antiqua" w:cs="Book Antiqua"/>
                <w:b/>
                <w:bCs/>
                <w:color w:val="EEECE1" w:themeColor="background2"/>
                <w:szCs w:val="22"/>
              </w:rPr>
              <w:t>ago-22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shd w:val="clear" w:color="auto" w:fill="31869B"/>
            <w:vAlign w:val="center"/>
          </w:tcPr>
          <w:p w14:paraId="0731652F" w14:textId="7A5ABE5E" w:rsidR="3B3A077A" w:rsidRPr="00033E65" w:rsidRDefault="3B3A077A" w:rsidP="009D6100">
            <w:pPr>
              <w:jc w:val="center"/>
              <w:rPr>
                <w:rFonts w:eastAsia="Book Antiqua" w:cs="Book Antiqua"/>
                <w:b/>
                <w:bCs/>
                <w:color w:val="EEECE1" w:themeColor="background2"/>
                <w:szCs w:val="22"/>
              </w:rPr>
            </w:pPr>
            <w:r w:rsidRPr="00033E65">
              <w:rPr>
                <w:rFonts w:eastAsia="Book Antiqua" w:cs="Book Antiqua"/>
                <w:b/>
                <w:bCs/>
                <w:color w:val="EEECE1" w:themeColor="background2"/>
                <w:szCs w:val="22"/>
              </w:rPr>
              <w:t>sep-22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shd w:val="clear" w:color="auto" w:fill="31869B"/>
            <w:vAlign w:val="center"/>
          </w:tcPr>
          <w:p w14:paraId="4A22C819" w14:textId="764C21EA" w:rsidR="3B3A077A" w:rsidRPr="00033E65" w:rsidRDefault="3B3A077A" w:rsidP="009D6100">
            <w:pPr>
              <w:jc w:val="center"/>
              <w:rPr>
                <w:rFonts w:eastAsia="Book Antiqua" w:cs="Book Antiqua"/>
                <w:b/>
                <w:bCs/>
                <w:color w:val="EEECE1" w:themeColor="background2"/>
                <w:szCs w:val="22"/>
              </w:rPr>
            </w:pPr>
            <w:r w:rsidRPr="00033E65">
              <w:rPr>
                <w:rFonts w:eastAsia="Book Antiqua" w:cs="Book Antiqua"/>
                <w:b/>
                <w:bCs/>
                <w:color w:val="EEECE1" w:themeColor="background2"/>
                <w:szCs w:val="22"/>
              </w:rPr>
              <w:t>oct-22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shd w:val="clear" w:color="auto" w:fill="31869B"/>
            <w:vAlign w:val="center"/>
          </w:tcPr>
          <w:p w14:paraId="0BD5EF40" w14:textId="2B7B90BA" w:rsidR="3B3A077A" w:rsidRPr="00033E65" w:rsidRDefault="3B3A077A" w:rsidP="009D6100">
            <w:pPr>
              <w:jc w:val="center"/>
              <w:rPr>
                <w:rFonts w:eastAsia="Book Antiqua" w:cs="Book Antiqua"/>
                <w:b/>
                <w:bCs/>
                <w:color w:val="EEECE1" w:themeColor="background2"/>
                <w:szCs w:val="22"/>
              </w:rPr>
            </w:pPr>
            <w:r w:rsidRPr="00033E65">
              <w:rPr>
                <w:rFonts w:eastAsia="Book Antiqua" w:cs="Book Antiqua"/>
                <w:b/>
                <w:bCs/>
                <w:color w:val="EEECE1" w:themeColor="background2"/>
                <w:szCs w:val="22"/>
              </w:rPr>
              <w:t>nov-22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shd w:val="clear" w:color="auto" w:fill="31869B"/>
            <w:vAlign w:val="center"/>
          </w:tcPr>
          <w:p w14:paraId="2162322B" w14:textId="6AEA6325" w:rsidR="3B3A077A" w:rsidRPr="00033E65" w:rsidRDefault="3B3A077A" w:rsidP="009D6100">
            <w:pPr>
              <w:jc w:val="center"/>
              <w:rPr>
                <w:rFonts w:eastAsia="Book Antiqua" w:cs="Book Antiqua"/>
                <w:b/>
                <w:bCs/>
                <w:color w:val="EEECE1" w:themeColor="background2"/>
                <w:szCs w:val="22"/>
              </w:rPr>
            </w:pPr>
            <w:r w:rsidRPr="00033E65">
              <w:rPr>
                <w:rFonts w:eastAsia="Book Antiqua" w:cs="Book Antiqua"/>
                <w:b/>
                <w:bCs/>
                <w:color w:val="EEECE1" w:themeColor="background2"/>
                <w:szCs w:val="22"/>
              </w:rPr>
              <w:t>dic-22</w:t>
            </w:r>
          </w:p>
        </w:tc>
      </w:tr>
      <w:tr w:rsidR="3B3A077A" w:rsidRPr="00033E65" w14:paraId="61B02E40"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AC3CCF5" w14:textId="309046BD" w:rsidR="3B3A077A" w:rsidRPr="00033E65" w:rsidRDefault="3B3A077A" w:rsidP="3B3A077A">
            <w:pPr>
              <w:jc w:val="left"/>
            </w:pPr>
            <w:r w:rsidRPr="00033E65">
              <w:rPr>
                <w:rFonts w:eastAsia="Book Antiqua" w:cs="Book Antiqua"/>
                <w:color w:val="000000" w:themeColor="text1"/>
                <w:szCs w:val="22"/>
              </w:rPr>
              <w:t>Entrada</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35843D1" w14:textId="1711A026" w:rsidR="0016512C" w:rsidRPr="00033E65" w:rsidRDefault="00C74B88">
            <w:pPr>
              <w:jc w:val="center"/>
              <w:rPr>
                <w:rFonts w:eastAsia="Book Antiqua" w:cs="Book Antiqua"/>
                <w:color w:val="000000" w:themeColor="text1"/>
                <w:szCs w:val="22"/>
              </w:rPr>
            </w:pPr>
            <w:r w:rsidRPr="00033E65">
              <w:t>9</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27EAD7A" w14:textId="1A39946B" w:rsidR="0016512C" w:rsidRPr="00033E65" w:rsidRDefault="00C74B88">
            <w:pPr>
              <w:jc w:val="center"/>
              <w:rPr>
                <w:rFonts w:eastAsia="Book Antiqua" w:cs="Book Antiqua"/>
                <w:color w:val="000000" w:themeColor="text1"/>
                <w:szCs w:val="22"/>
              </w:rPr>
            </w:pPr>
            <w:r w:rsidRPr="00033E65">
              <w:t>13</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881F077" w14:textId="2DFF92B5" w:rsidR="0016512C" w:rsidRPr="00033E65" w:rsidRDefault="00C74B88">
            <w:pPr>
              <w:jc w:val="center"/>
              <w:rPr>
                <w:rFonts w:eastAsia="Book Antiqua" w:cs="Book Antiqua"/>
                <w:color w:val="000000" w:themeColor="text1"/>
                <w:szCs w:val="22"/>
              </w:rPr>
            </w:pPr>
            <w:r w:rsidRPr="00033E65">
              <w:t>11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E520026" w14:textId="40ABE852" w:rsidR="0016512C" w:rsidRPr="00033E65" w:rsidRDefault="00C74B88">
            <w:pPr>
              <w:jc w:val="center"/>
              <w:rPr>
                <w:rFonts w:eastAsia="Book Antiqua" w:cs="Book Antiqua"/>
                <w:color w:val="000000" w:themeColor="text1"/>
                <w:szCs w:val="22"/>
              </w:rPr>
            </w:pPr>
            <w:r w:rsidRPr="00033E65">
              <w:t>17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71AC1D8" w14:textId="60BF19EA"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25</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960FFD8" w14:textId="318671F4"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18</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85690B6" w14:textId="2FFCD676"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CCEACE1" w14:textId="4A7ADD51"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2F8E018" w14:textId="77AF8A5B"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4A9EF90" w14:textId="52FC46F7"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25</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346E1DE" w14:textId="39A47B99"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C359F5A" w14:textId="50250FFA"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10</w:t>
            </w:r>
          </w:p>
        </w:tc>
      </w:tr>
      <w:tr w:rsidR="3B3A077A" w:rsidRPr="00033E65" w14:paraId="690C2AD1"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4EE2C51" w14:textId="122EF5AA" w:rsidR="3B3A077A" w:rsidRPr="00033E65" w:rsidRDefault="3B3A077A" w:rsidP="3B3A077A">
            <w:pPr>
              <w:jc w:val="left"/>
            </w:pPr>
            <w:r w:rsidRPr="00033E65">
              <w:rPr>
                <w:rFonts w:eastAsia="Book Antiqua" w:cs="Book Antiqua"/>
                <w:color w:val="000000" w:themeColor="text1"/>
                <w:szCs w:val="22"/>
              </w:rPr>
              <w:t>Terminados</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5C3B71C" w14:textId="1DFC5EF8" w:rsidR="0016512C" w:rsidRPr="00033E65" w:rsidRDefault="00C74B88">
            <w:pPr>
              <w:jc w:val="center"/>
              <w:rPr>
                <w:rFonts w:eastAsia="Book Antiqua" w:cs="Book Antiqua"/>
                <w:color w:val="000000" w:themeColor="text1"/>
                <w:szCs w:val="22"/>
              </w:rPr>
            </w:pPr>
            <w:r w:rsidRPr="00033E65">
              <w:t>15</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8B506F3" w14:textId="75D40703" w:rsidR="0016512C" w:rsidRPr="00033E65" w:rsidRDefault="00C74B88">
            <w:pPr>
              <w:jc w:val="center"/>
              <w:rPr>
                <w:rFonts w:eastAsia="Book Antiqua" w:cs="Book Antiqua"/>
                <w:color w:val="000000" w:themeColor="text1"/>
                <w:szCs w:val="22"/>
              </w:rPr>
            </w:pPr>
            <w:r w:rsidRPr="00033E65">
              <w:t>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E45E8C2" w14:textId="621E03C3" w:rsidR="0016512C" w:rsidRPr="00033E65" w:rsidRDefault="00C74B88">
            <w:pPr>
              <w:jc w:val="center"/>
              <w:rPr>
                <w:rFonts w:eastAsia="Book Antiqua" w:cs="Book Antiqua"/>
                <w:color w:val="000000" w:themeColor="text1"/>
                <w:szCs w:val="22"/>
              </w:rPr>
            </w:pPr>
            <w:r w:rsidRPr="00033E65">
              <w:t>17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959DB56" w14:textId="34832B7A" w:rsidR="0016512C" w:rsidRPr="00033E65" w:rsidRDefault="00C74B88">
            <w:pPr>
              <w:jc w:val="center"/>
              <w:rPr>
                <w:rFonts w:eastAsia="Book Antiqua" w:cs="Book Antiqua"/>
                <w:color w:val="000000" w:themeColor="text1"/>
                <w:szCs w:val="22"/>
              </w:rPr>
            </w:pPr>
            <w:r w:rsidRPr="00033E65">
              <w:t>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452635B" w14:textId="16B503A7"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13</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D857A9C" w14:textId="7F7F3B6D"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B509EB2" w14:textId="6255B8CB"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C33FEF0" w14:textId="164842D9"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F5E484A" w14:textId="3AA5E083"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16</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7DDE686" w14:textId="71B3866E"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7BAD538" w14:textId="02F91D51"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15</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D9F8C99" w14:textId="414A4BD1"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13</w:t>
            </w:r>
          </w:p>
        </w:tc>
      </w:tr>
      <w:tr w:rsidR="3B3A077A" w:rsidRPr="00033E65" w14:paraId="344E8B7A"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6CCCCE6" w14:textId="09C29D3E" w:rsidR="3B3A077A" w:rsidRPr="00033E65" w:rsidRDefault="3B3A077A" w:rsidP="3B3A077A">
            <w:pPr>
              <w:jc w:val="left"/>
            </w:pPr>
            <w:r w:rsidRPr="00033E65">
              <w:rPr>
                <w:rFonts w:eastAsia="Book Antiqua" w:cs="Book Antiqua"/>
                <w:color w:val="000000" w:themeColor="text1"/>
                <w:szCs w:val="22"/>
              </w:rPr>
              <w:t>Circulante</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5D7C51C" w14:textId="2727C6C8" w:rsidR="0016512C" w:rsidRPr="00033E65" w:rsidRDefault="00C74B88">
            <w:pPr>
              <w:jc w:val="center"/>
              <w:rPr>
                <w:rFonts w:eastAsia="Book Antiqua" w:cs="Book Antiqua"/>
                <w:color w:val="000000" w:themeColor="text1"/>
                <w:szCs w:val="22"/>
              </w:rPr>
            </w:pPr>
            <w:r w:rsidRPr="00033E65">
              <w:t>249</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6873190" w14:textId="3C01A9DE" w:rsidR="0016512C" w:rsidRPr="00033E65" w:rsidRDefault="00C74B88">
            <w:pPr>
              <w:jc w:val="center"/>
              <w:rPr>
                <w:rFonts w:eastAsia="Book Antiqua" w:cs="Book Antiqua"/>
                <w:color w:val="000000" w:themeColor="text1"/>
                <w:szCs w:val="22"/>
              </w:rPr>
            </w:pPr>
            <w:r w:rsidRPr="00033E65">
              <w:t>251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8863B65" w14:textId="26DE80DE" w:rsidR="0016512C" w:rsidRPr="00033E65" w:rsidRDefault="00C74B88">
            <w:pPr>
              <w:jc w:val="center"/>
              <w:rPr>
                <w:rFonts w:eastAsia="Book Antiqua" w:cs="Book Antiqua"/>
                <w:color w:val="000000" w:themeColor="text1"/>
                <w:szCs w:val="22"/>
              </w:rPr>
            </w:pPr>
            <w:r w:rsidRPr="00033E65">
              <w:t>242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A605B17" w14:textId="4102889C" w:rsidR="0016512C" w:rsidRPr="00033E65" w:rsidRDefault="00C74B88">
            <w:pPr>
              <w:jc w:val="center"/>
              <w:rPr>
                <w:rFonts w:eastAsia="Book Antiqua" w:cs="Book Antiqua"/>
                <w:color w:val="000000" w:themeColor="text1"/>
                <w:szCs w:val="22"/>
              </w:rPr>
            </w:pPr>
            <w:r w:rsidRPr="00033E65">
              <w:t>257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BCC75E9" w14:textId="7E5CD4E5"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254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2507546" w14:textId="2F96595D"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267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BF64BF5" w14:textId="2EFAA016"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279</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2C2E481" w14:textId="2C6150AD"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274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0A7FA5F" w14:textId="4FE64049"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266</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983C19A" w14:textId="3ADF4076"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265</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4095237" w14:textId="3D760A19"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274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46BBC7B" w14:textId="0C90A807"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270</w:t>
            </w:r>
          </w:p>
        </w:tc>
      </w:tr>
      <w:tr w:rsidR="3B3A077A" w:rsidRPr="00033E65" w14:paraId="4313553D"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AED027C" w14:textId="52369585" w:rsidR="3B3A077A" w:rsidRPr="00033E65" w:rsidRDefault="3B3A077A" w:rsidP="3B3A077A">
            <w:pPr>
              <w:jc w:val="left"/>
            </w:pPr>
            <w:r w:rsidRPr="00033E65">
              <w:rPr>
                <w:rFonts w:eastAsia="Book Antiqua" w:cs="Book Antiqua"/>
                <w:color w:val="000000" w:themeColor="text1"/>
                <w:szCs w:val="22"/>
              </w:rPr>
              <w:t>Plazo de Dictado sentencia</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0BEE8B8" w14:textId="193F98D9" w:rsidR="0016512C" w:rsidRPr="00033E65" w:rsidRDefault="00C74B88">
            <w:pPr>
              <w:jc w:val="center"/>
              <w:rPr>
                <w:rFonts w:eastAsia="Book Antiqua" w:cs="Book Antiqua"/>
                <w:color w:val="000000" w:themeColor="text1"/>
                <w:szCs w:val="22"/>
              </w:rPr>
            </w:pPr>
            <w:r w:rsidRPr="00033E65">
              <w:t>35</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82CFC7D" w14:textId="37D77DF2" w:rsidR="0016512C" w:rsidRPr="00033E65" w:rsidRDefault="00C74B88">
            <w:pPr>
              <w:jc w:val="center"/>
              <w:rPr>
                <w:rFonts w:eastAsia="Book Antiqua" w:cs="Book Antiqua"/>
                <w:color w:val="000000" w:themeColor="text1"/>
                <w:szCs w:val="22"/>
              </w:rPr>
            </w:pPr>
            <w:r w:rsidRPr="00033E65">
              <w:t>3</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35A8849" w14:textId="610780D5" w:rsidR="0016512C" w:rsidRPr="00033E65" w:rsidRDefault="00C74B88">
            <w:pPr>
              <w:jc w:val="center"/>
              <w:rPr>
                <w:rFonts w:eastAsia="Book Antiqua" w:cs="Book Antiqua"/>
                <w:color w:val="000000" w:themeColor="text1"/>
                <w:szCs w:val="22"/>
              </w:rPr>
            </w:pPr>
            <w:r w:rsidRPr="00033E65">
              <w:t>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D87A924" w14:textId="77E65600" w:rsidR="0016512C" w:rsidRPr="00033E65" w:rsidRDefault="00C74B88">
            <w:pPr>
              <w:jc w:val="center"/>
              <w:rPr>
                <w:rFonts w:eastAsia="Book Antiqua" w:cs="Book Antiqua"/>
                <w:color w:val="000000" w:themeColor="text1"/>
                <w:szCs w:val="22"/>
              </w:rPr>
            </w:pPr>
            <w:r w:rsidRPr="00033E65">
              <w:t>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27DD7EE" w14:textId="13F30807"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8</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E359154" w14:textId="5DB51AAA"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8</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ED98AB4" w14:textId="5A1345D1"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AC789DF" w14:textId="29C82D81"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38</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FE0A846" w14:textId="34B928DD"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FDA4B59" w14:textId="615E2552"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39</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E795AE4" w14:textId="3598DA5A"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69</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FB21EFD" w14:textId="0590ED4C"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58</w:t>
            </w:r>
          </w:p>
        </w:tc>
      </w:tr>
      <w:tr w:rsidR="3B3A077A" w:rsidRPr="00033E65" w14:paraId="7D048014"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2C5D4A2" w14:textId="00A6B6A6" w:rsidR="3B3A077A" w:rsidRPr="00033E65" w:rsidRDefault="3B3A077A" w:rsidP="3B3A077A">
            <w:pPr>
              <w:jc w:val="left"/>
            </w:pPr>
            <w:r w:rsidRPr="00033E65">
              <w:rPr>
                <w:rFonts w:eastAsia="Book Antiqua" w:cs="Book Antiqua"/>
                <w:color w:val="000000" w:themeColor="text1"/>
                <w:szCs w:val="22"/>
              </w:rPr>
              <w:t>Plazo de realización de audiencia</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6AF7E1D" w14:textId="5A7E2A0C" w:rsidR="0016512C" w:rsidRPr="00033E65" w:rsidRDefault="00C74B88">
            <w:pPr>
              <w:jc w:val="center"/>
              <w:rPr>
                <w:rFonts w:eastAsia="Book Antiqua" w:cs="Book Antiqua"/>
                <w:color w:val="000000" w:themeColor="text1"/>
                <w:szCs w:val="22"/>
              </w:rPr>
            </w:pPr>
            <w:r w:rsidRPr="00033E65">
              <w:t>28</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CCD4D85" w14:textId="351FE581" w:rsidR="0016512C" w:rsidRPr="00033E65" w:rsidRDefault="00C74B88">
            <w:pPr>
              <w:jc w:val="center"/>
              <w:rPr>
                <w:rFonts w:eastAsia="Book Antiqua" w:cs="Book Antiqua"/>
                <w:color w:val="000000" w:themeColor="text1"/>
                <w:szCs w:val="22"/>
              </w:rPr>
            </w:pPr>
            <w:r w:rsidRPr="00033E65">
              <w:t>12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F71BC7B" w14:textId="23B442DB" w:rsidR="0016512C" w:rsidRPr="00033E65" w:rsidRDefault="00C74B88">
            <w:pPr>
              <w:jc w:val="center"/>
              <w:rPr>
                <w:rFonts w:eastAsia="Book Antiqua" w:cs="Book Antiqua"/>
                <w:color w:val="000000" w:themeColor="text1"/>
                <w:szCs w:val="22"/>
              </w:rPr>
            </w:pPr>
            <w:r w:rsidRPr="00033E65">
              <w:t>22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D818634" w14:textId="55759FDA" w:rsidR="0016512C" w:rsidRPr="00033E65" w:rsidRDefault="00C74B88">
            <w:pPr>
              <w:jc w:val="center"/>
              <w:rPr>
                <w:rFonts w:eastAsia="Book Antiqua" w:cs="Book Antiqua"/>
                <w:color w:val="000000" w:themeColor="text1"/>
                <w:szCs w:val="22"/>
              </w:rPr>
            </w:pPr>
            <w:r w:rsidRPr="00033E65">
              <w:t>18</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ECF4CCA" w14:textId="5EB1FE9C"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26</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0157BD1" w14:textId="6408AEA9"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30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4A0EAAC" w14:textId="78116C59"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23</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83EDBE4" w14:textId="27F88CA4"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35</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CCD9020" w14:textId="462F7E9E"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41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DFD9E79" w14:textId="123E040C"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67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51E66E5" w14:textId="6AE85944"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58</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BCF983B" w14:textId="6AE36173"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55</w:t>
            </w:r>
          </w:p>
        </w:tc>
      </w:tr>
      <w:tr w:rsidR="3B3A077A" w:rsidRPr="00033E65" w14:paraId="5C744AC5"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B170B02" w14:textId="1AEF4784" w:rsidR="3B3A077A" w:rsidRPr="00033E65" w:rsidRDefault="3B3A077A" w:rsidP="3B3A077A">
            <w:pPr>
              <w:jc w:val="left"/>
            </w:pPr>
            <w:r w:rsidRPr="00033E65">
              <w:rPr>
                <w:rFonts w:eastAsia="Book Antiqua" w:cs="Book Antiqua"/>
                <w:color w:val="000000" w:themeColor="text1"/>
                <w:szCs w:val="22"/>
              </w:rPr>
              <w:t>Plazo para resolver demanda nueva</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262E822" w14:textId="1C82554D" w:rsidR="0016512C" w:rsidRPr="00033E65" w:rsidRDefault="00C74B88">
            <w:pPr>
              <w:jc w:val="center"/>
              <w:rPr>
                <w:rFonts w:eastAsia="Book Antiqua" w:cs="Book Antiqua"/>
                <w:color w:val="000000" w:themeColor="text1"/>
                <w:szCs w:val="22"/>
              </w:rPr>
            </w:pPr>
            <w:r w:rsidRPr="00033E65">
              <w:t>0</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7DE0492" w14:textId="4F0F1C0D"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83DA1B4" w14:textId="11B3F797" w:rsidR="0016512C" w:rsidRPr="00033E65" w:rsidRDefault="00C74B88">
            <w:pPr>
              <w:jc w:val="center"/>
              <w:rPr>
                <w:rFonts w:eastAsia="Book Antiqua" w:cs="Book Antiqua"/>
                <w:color w:val="000000" w:themeColor="text1"/>
                <w:szCs w:val="22"/>
              </w:rPr>
            </w:pPr>
            <w:r w:rsidRPr="00033E65">
              <w:t>5</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FEFB27A" w14:textId="402E1FAA"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88A6D18" w14:textId="30C1A550"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F9209D7" w14:textId="04216AB5"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16</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119E640" w14:textId="5F664EA0"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8CAC3B4" w14:textId="365BC739"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DFE2C3E" w14:textId="39E477E0"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1616EFE" w14:textId="5241C01C"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3</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5AB3058" w14:textId="2C03DD1B"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1B5AA74" w14:textId="13DB7EFC"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r>
      <w:tr w:rsidR="3B3A077A" w:rsidRPr="00033E65" w14:paraId="59DAA9F1"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451DE08" w14:textId="0E063C58" w:rsidR="3B3A077A" w:rsidRPr="00033E65" w:rsidRDefault="3B3A077A" w:rsidP="3B3A077A">
            <w:pPr>
              <w:jc w:val="left"/>
            </w:pPr>
            <w:r w:rsidRPr="00033E65">
              <w:rPr>
                <w:rFonts w:eastAsia="Book Antiqua" w:cs="Book Antiqua"/>
                <w:color w:val="000000" w:themeColor="text1"/>
                <w:szCs w:val="22"/>
              </w:rPr>
              <w:t>Plazo para resolver escrito fuera del despacho</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F3B11F3" w14:textId="4481A55C" w:rsidR="0016512C" w:rsidRPr="00033E65" w:rsidRDefault="00C74B88">
            <w:pPr>
              <w:jc w:val="center"/>
              <w:rPr>
                <w:rFonts w:eastAsia="Book Antiqua" w:cs="Book Antiqua"/>
                <w:color w:val="000000" w:themeColor="text1"/>
                <w:szCs w:val="22"/>
              </w:rPr>
            </w:pPr>
            <w:r w:rsidRPr="00033E65">
              <w:t>0</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0764402" w14:textId="3CB183C7"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D0A8041" w14:textId="01193C78"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D36B7A0" w14:textId="40316C89"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591C696" w14:textId="622C0132"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275CBB4" w14:textId="21D1B4DA"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2ACBCBC" w14:textId="2D6CC23F"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E9948CC" w14:textId="3754C734"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56A74D2" w14:textId="0AD42F20"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3DCE707" w14:textId="408B7B45"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CABC24A" w14:textId="5F7A9C56"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18CF514" w14:textId="0B1ABD08"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r>
      <w:tr w:rsidR="3B3A077A" w:rsidRPr="00033E65" w14:paraId="49561A9A"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633302D" w14:textId="5019EDC1" w:rsidR="3B3A077A" w:rsidRPr="00033E65" w:rsidRDefault="3B3A077A" w:rsidP="3B3A077A">
            <w:pPr>
              <w:jc w:val="left"/>
            </w:pPr>
            <w:r w:rsidRPr="00033E65">
              <w:rPr>
                <w:rFonts w:eastAsia="Book Antiqua" w:cs="Book Antiqua"/>
                <w:color w:val="000000" w:themeColor="text1"/>
                <w:szCs w:val="22"/>
              </w:rPr>
              <w:t>Plazo para resolver escrito dentro del despacho</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0ED983A" w14:textId="431D8C4D" w:rsidR="0016512C" w:rsidRPr="00033E65" w:rsidRDefault="00C74B88">
            <w:pPr>
              <w:jc w:val="center"/>
              <w:rPr>
                <w:rFonts w:eastAsia="Book Antiqua" w:cs="Book Antiqua"/>
                <w:color w:val="000000" w:themeColor="text1"/>
                <w:szCs w:val="22"/>
              </w:rPr>
            </w:pPr>
            <w:r w:rsidRPr="00033E65">
              <w:t>22</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597C5FE" w14:textId="5F9C44AE" w:rsidR="0016512C" w:rsidRPr="00033E65" w:rsidRDefault="00C74B88">
            <w:pPr>
              <w:jc w:val="center"/>
              <w:rPr>
                <w:rFonts w:eastAsia="Book Antiqua" w:cs="Book Antiqua"/>
                <w:color w:val="000000" w:themeColor="text1"/>
                <w:szCs w:val="22"/>
              </w:rPr>
            </w:pPr>
            <w:r w:rsidRPr="00033E65">
              <w:t>14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F786129" w14:textId="0903B7D5" w:rsidR="0016512C" w:rsidRPr="00033E65" w:rsidRDefault="00C74B88">
            <w:pPr>
              <w:jc w:val="center"/>
              <w:rPr>
                <w:rFonts w:eastAsia="Book Antiqua" w:cs="Book Antiqua"/>
                <w:color w:val="000000" w:themeColor="text1"/>
                <w:szCs w:val="22"/>
              </w:rPr>
            </w:pPr>
            <w:r w:rsidRPr="00033E65">
              <w:t>13</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D6EED81" w14:textId="6EB01A14" w:rsidR="0016512C" w:rsidRPr="00033E65" w:rsidRDefault="00C74B88">
            <w:pPr>
              <w:jc w:val="center"/>
              <w:rPr>
                <w:rFonts w:eastAsia="Book Antiqua" w:cs="Book Antiqua"/>
                <w:color w:val="000000" w:themeColor="text1"/>
                <w:szCs w:val="22"/>
              </w:rPr>
            </w:pPr>
            <w:r w:rsidRPr="00033E65">
              <w:t>12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A65E0C3" w14:textId="44E983B7"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BF72C4B" w14:textId="14B92C7E"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7E18C14" w14:textId="0DD2B767"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26</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5CD1EF5" w14:textId="51AB3542"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15</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AD15B96" w14:textId="02F46B95"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FE24A2C" w14:textId="72356867"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B9D4D71" w14:textId="5E809983"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8</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793A65D" w14:textId="64369AEE"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42</w:t>
            </w:r>
          </w:p>
        </w:tc>
      </w:tr>
      <w:tr w:rsidR="3B3A077A" w:rsidRPr="00033E65" w14:paraId="437EBFA8"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57386AE" w14:textId="5A8A40FD" w:rsidR="3B3A077A" w:rsidRPr="00033E65" w:rsidRDefault="3B3A077A" w:rsidP="3B3A077A">
            <w:pPr>
              <w:jc w:val="left"/>
            </w:pPr>
            <w:r w:rsidRPr="00033E65">
              <w:rPr>
                <w:rFonts w:eastAsia="Book Antiqua" w:cs="Book Antiqua"/>
                <w:color w:val="000000" w:themeColor="text1"/>
                <w:szCs w:val="22"/>
              </w:rPr>
              <w:t>Plazo de espera de firma de resoluciones</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F1F4466" w14:textId="74E557D7" w:rsidR="0016512C" w:rsidRPr="00033E65" w:rsidRDefault="00C74B88">
            <w:pPr>
              <w:jc w:val="center"/>
              <w:rPr>
                <w:rFonts w:eastAsia="Book Antiqua" w:cs="Book Antiqua"/>
                <w:color w:val="000000" w:themeColor="text1"/>
                <w:szCs w:val="22"/>
              </w:rPr>
            </w:pPr>
            <w:r w:rsidRPr="00033E65">
              <w:t>0</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55E1DC0" w14:textId="1D67C693" w:rsidR="0016512C" w:rsidRPr="00033E65" w:rsidRDefault="00C74B88">
            <w:pPr>
              <w:jc w:val="center"/>
              <w:rPr>
                <w:rFonts w:eastAsia="Book Antiqua" w:cs="Book Antiqua"/>
                <w:color w:val="000000" w:themeColor="text1"/>
                <w:szCs w:val="22"/>
              </w:rPr>
            </w:pPr>
            <w:r w:rsidRPr="00033E65">
              <w:t>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4A8C74B" w14:textId="3139A56F"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DD8B459" w14:textId="0B8C575D"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9A5B5D7" w14:textId="01394A01"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1F1FE26" w14:textId="5AF54294"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1FCD3B3" w14:textId="401D1638"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1560551" w14:textId="446DEDC9"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B34952D" w14:textId="3E6B33A9"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5B1DC1E" w14:textId="35501136"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7089424" w14:textId="60CD0A9C"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60BA368" w14:textId="4E618CC6"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r>
      <w:tr w:rsidR="3B3A077A" w:rsidRPr="00033E65" w14:paraId="4544C69F"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8F5D52A" w14:textId="154F6A8F" w:rsidR="3B3A077A" w:rsidRPr="00033E65" w:rsidRDefault="3B3A077A" w:rsidP="3B3A077A">
            <w:pPr>
              <w:jc w:val="left"/>
            </w:pPr>
            <w:r w:rsidRPr="00033E65">
              <w:rPr>
                <w:rFonts w:eastAsia="Book Antiqua" w:cs="Book Antiqua"/>
                <w:color w:val="000000" w:themeColor="text1"/>
                <w:szCs w:val="22"/>
              </w:rPr>
              <w:t>Audiencias pendientes de realización</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17085B8" w14:textId="22003B91" w:rsidR="0016512C" w:rsidRPr="00033E65" w:rsidRDefault="00C74B88">
            <w:pPr>
              <w:jc w:val="center"/>
              <w:rPr>
                <w:rFonts w:eastAsia="Book Antiqua" w:cs="Book Antiqua"/>
                <w:color w:val="000000" w:themeColor="text1"/>
                <w:szCs w:val="22"/>
              </w:rPr>
            </w:pPr>
            <w:r w:rsidRPr="00033E65">
              <w:t>0</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0CFEB16" w14:textId="7DF9E6AA"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5AB9108" w14:textId="7713026A"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89EF77A" w14:textId="2F5083AF"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CE9E5A9" w14:textId="0C47C6B6"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6A556D7" w14:textId="658A2787"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0F5308E" w14:textId="53AA33A5"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36545C0" w14:textId="05721720"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ADC1CDA" w14:textId="7CCE7DD8"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E3D119E" w14:textId="1E71B634"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2C40362" w14:textId="3C358664"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8C7F977" w14:textId="1B0CFAFD"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r>
      <w:tr w:rsidR="3B3A077A" w:rsidRPr="00033E65" w14:paraId="40E7AD8E"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AA76582" w14:textId="72260CDF" w:rsidR="3B3A077A" w:rsidRPr="00033E65" w:rsidRDefault="3B3A077A" w:rsidP="3B3A077A">
            <w:pPr>
              <w:jc w:val="left"/>
            </w:pPr>
            <w:r w:rsidRPr="00033E65">
              <w:rPr>
                <w:rFonts w:eastAsia="Book Antiqua" w:cs="Book Antiqua"/>
                <w:color w:val="000000" w:themeColor="text1"/>
                <w:szCs w:val="22"/>
              </w:rPr>
              <w:t>Expedientes pendientes de fallo</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36A631C" w14:textId="3ED8AF0F" w:rsidR="0016512C" w:rsidRPr="00033E65" w:rsidRDefault="00C74B88">
            <w:pPr>
              <w:jc w:val="center"/>
              <w:rPr>
                <w:rFonts w:eastAsia="Book Antiqua" w:cs="Book Antiqua"/>
                <w:color w:val="000000" w:themeColor="text1"/>
                <w:szCs w:val="22"/>
              </w:rPr>
            </w:pPr>
            <w:r w:rsidRPr="00033E65">
              <w:t>3</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174F60D" w14:textId="19C0AE2A" w:rsidR="0016512C" w:rsidRPr="00033E65" w:rsidRDefault="00C74B88">
            <w:pPr>
              <w:jc w:val="center"/>
              <w:rPr>
                <w:rFonts w:eastAsia="Book Antiqua" w:cs="Book Antiqua"/>
                <w:color w:val="000000" w:themeColor="text1"/>
                <w:szCs w:val="22"/>
              </w:rPr>
            </w:pPr>
            <w:r w:rsidRPr="00033E65">
              <w:t>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64F165C" w14:textId="0FE64153"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56FE405" w14:textId="0F64CC3F" w:rsidR="0016512C" w:rsidRPr="00033E65" w:rsidRDefault="00C74B88">
            <w:pPr>
              <w:jc w:val="center"/>
              <w:rPr>
                <w:rFonts w:eastAsia="Book Antiqua" w:cs="Book Antiqua"/>
                <w:color w:val="000000" w:themeColor="text1"/>
                <w:szCs w:val="22"/>
              </w:rPr>
            </w:pPr>
            <w:r w:rsidRPr="00033E65">
              <w:t>3</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A6A9769" w14:textId="53B0EC8E"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ABFD866" w14:textId="1AB5D5EA"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5011FFD" w14:textId="2FF7A81A"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E3A898A" w14:textId="6D7297D5"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F9D45C8" w14:textId="4FE1EBB5"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CA1C515" w14:textId="3F58C57A"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5E33278" w14:textId="11B73710"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6D796CD" w14:textId="2EF030BB"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4</w:t>
            </w:r>
          </w:p>
        </w:tc>
      </w:tr>
      <w:tr w:rsidR="3B3A077A" w:rsidRPr="00033E65" w14:paraId="679719C4"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4F8D471" w14:textId="313BC4A4" w:rsidR="3B3A077A" w:rsidRPr="00033E65" w:rsidRDefault="3B3A077A" w:rsidP="3B3A077A">
            <w:pPr>
              <w:jc w:val="left"/>
            </w:pPr>
            <w:r w:rsidRPr="00033E65">
              <w:rPr>
                <w:rFonts w:eastAsia="Book Antiqua" w:cs="Book Antiqua"/>
                <w:color w:val="000000" w:themeColor="text1"/>
                <w:szCs w:val="22"/>
              </w:rPr>
              <w:t>Escritos pendientes de resolver</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4102C48" w14:textId="28FC3E1E" w:rsidR="0016512C" w:rsidRPr="00033E65" w:rsidRDefault="00C74B88">
            <w:pPr>
              <w:jc w:val="center"/>
              <w:rPr>
                <w:rFonts w:eastAsia="Book Antiqua" w:cs="Book Antiqua"/>
                <w:color w:val="000000" w:themeColor="text1"/>
                <w:szCs w:val="22"/>
              </w:rPr>
            </w:pPr>
            <w:r w:rsidRPr="00033E65">
              <w:t>113</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1D1D644" w14:textId="6FE7C556"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4BA3AEE" w14:textId="298A562D"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62BD808" w14:textId="3B18BF69" w:rsidR="0016512C" w:rsidRPr="00033E65" w:rsidRDefault="00C74B88">
            <w:pPr>
              <w:jc w:val="center"/>
              <w:rPr>
                <w:rFonts w:eastAsia="Book Antiqua" w:cs="Book Antiqua"/>
                <w:color w:val="000000" w:themeColor="text1"/>
                <w:szCs w:val="22"/>
              </w:rPr>
            </w:pPr>
            <w:r w:rsidRPr="00033E65">
              <w:t>44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DE7C10E" w14:textId="556C48A5"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41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DD74B68" w14:textId="5E47A257"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84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0456E10" w14:textId="54AD93AB"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94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D24B62D" w14:textId="1AB503D5"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57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6F50F74" w14:textId="1B71D078"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32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1A5C65D" w14:textId="48C319E4"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105</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6DD4D9E" w14:textId="1AAC9674"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39</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5C95E27" w14:textId="2D98CFA6"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50</w:t>
            </w:r>
          </w:p>
        </w:tc>
      </w:tr>
      <w:tr w:rsidR="3B3A077A" w:rsidRPr="00033E65" w14:paraId="149DD968"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162FFC9" w14:textId="4B6220FF" w:rsidR="3B3A077A" w:rsidRPr="00033E65" w:rsidRDefault="3B3A077A" w:rsidP="3B3A077A">
            <w:pPr>
              <w:jc w:val="left"/>
            </w:pPr>
            <w:r w:rsidRPr="00033E65">
              <w:rPr>
                <w:rFonts w:eastAsia="Book Antiqua" w:cs="Book Antiqua"/>
                <w:color w:val="000000" w:themeColor="text1"/>
                <w:szCs w:val="22"/>
              </w:rPr>
              <w:t>Demandas nuevas pendientes de resolver</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DE59869" w14:textId="3F73E86D" w:rsidR="0016512C" w:rsidRPr="00033E65" w:rsidRDefault="00C74B88">
            <w:pPr>
              <w:jc w:val="center"/>
              <w:rPr>
                <w:rFonts w:eastAsia="Book Antiqua" w:cs="Book Antiqua"/>
                <w:color w:val="000000" w:themeColor="text1"/>
                <w:szCs w:val="22"/>
              </w:rPr>
            </w:pPr>
            <w:r w:rsidRPr="00033E65">
              <w:t>3</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E612FB8" w14:textId="5CA869CC"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7546DFB" w14:textId="43EFACE6"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2733F17" w14:textId="5CC8BBB6"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001AF61" w14:textId="10F642F4"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02FE3EF" w14:textId="59AA408D"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3</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EA0EDBA" w14:textId="4F56FA6F"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5684F5A" w14:textId="74959EB9"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18236B4" w14:textId="50AD1F02"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F8762F9" w14:textId="78F48E8F"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3</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C7197D5" w14:textId="1F7596F7"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9AA25DB" w14:textId="5CFC3F47"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r>
      <w:tr w:rsidR="3B3A077A" w:rsidRPr="00033E65" w14:paraId="4520646C"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979AFF7" w14:textId="695EEF66" w:rsidR="3B3A077A" w:rsidRPr="00033E65" w:rsidRDefault="3B3A077A" w:rsidP="3B3A077A">
            <w:pPr>
              <w:jc w:val="left"/>
            </w:pPr>
            <w:r w:rsidRPr="00033E65">
              <w:rPr>
                <w:rFonts w:eastAsia="Book Antiqua" w:cs="Book Antiqua"/>
                <w:color w:val="000000" w:themeColor="text1"/>
                <w:szCs w:val="22"/>
              </w:rPr>
              <w:t>Expedientes pasados a firmar</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A137AA1" w14:textId="1BD60BE3" w:rsidR="0016512C" w:rsidRPr="00033E65" w:rsidRDefault="00C74B88">
            <w:pPr>
              <w:jc w:val="center"/>
              <w:rPr>
                <w:rFonts w:eastAsia="Book Antiqua" w:cs="Book Antiqua"/>
                <w:color w:val="000000" w:themeColor="text1"/>
                <w:szCs w:val="22"/>
              </w:rPr>
            </w:pPr>
            <w:r w:rsidRPr="00033E65">
              <w:t>163</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2B3E358" w14:textId="7D92C3FA" w:rsidR="0016512C" w:rsidRPr="00033E65" w:rsidRDefault="00C74B88">
            <w:pPr>
              <w:jc w:val="center"/>
              <w:rPr>
                <w:rFonts w:eastAsia="Book Antiqua" w:cs="Book Antiqua"/>
                <w:color w:val="000000" w:themeColor="text1"/>
                <w:szCs w:val="22"/>
              </w:rPr>
            </w:pPr>
            <w:r w:rsidRPr="00033E65">
              <w:t>173</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75EC6FF" w14:textId="027536B9" w:rsidR="0016512C" w:rsidRPr="00033E65" w:rsidRDefault="00C74B88">
            <w:pPr>
              <w:jc w:val="center"/>
              <w:rPr>
                <w:rFonts w:eastAsia="Book Antiqua" w:cs="Book Antiqua"/>
                <w:color w:val="000000" w:themeColor="text1"/>
                <w:szCs w:val="22"/>
              </w:rPr>
            </w:pPr>
            <w:r w:rsidRPr="00033E65">
              <w:t>209</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75306FD" w14:textId="65C11612" w:rsidR="0016512C" w:rsidRPr="00033E65" w:rsidRDefault="00C74B88">
            <w:pPr>
              <w:jc w:val="center"/>
              <w:rPr>
                <w:rFonts w:eastAsia="Book Antiqua" w:cs="Book Antiqua"/>
                <w:color w:val="000000" w:themeColor="text1"/>
                <w:szCs w:val="22"/>
              </w:rPr>
            </w:pPr>
            <w:r w:rsidRPr="00033E65">
              <w:t>126</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28BC346" w14:textId="408EF4D3"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234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5820BEA" w14:textId="048F135D"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167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486FFD0" w14:textId="366B1CEC"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130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529B9EA" w14:textId="509BCDC1"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257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5436607" w14:textId="3C72B4D1"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184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CD09C68" w14:textId="248DFC3C"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198</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1FD362D" w14:textId="34FC7AE9"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179</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A00F33E" w14:textId="67D05475"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131</w:t>
            </w:r>
          </w:p>
        </w:tc>
      </w:tr>
      <w:tr w:rsidR="3B3A077A" w:rsidRPr="00033E65" w14:paraId="14D86B8B"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67F8CD1" w14:textId="2B585601" w:rsidR="3B3A077A" w:rsidRPr="00033E65" w:rsidRDefault="3B3A077A" w:rsidP="3B3A077A">
            <w:pPr>
              <w:jc w:val="left"/>
            </w:pPr>
            <w:r w:rsidRPr="00033E65">
              <w:rPr>
                <w:rFonts w:eastAsia="Book Antiqua" w:cs="Book Antiqua"/>
                <w:color w:val="000000" w:themeColor="text1"/>
                <w:szCs w:val="22"/>
              </w:rPr>
              <w:t>Cantidad de sentencias dictadas</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520DFC4" w14:textId="3B789997" w:rsidR="0016512C" w:rsidRPr="00033E65" w:rsidRDefault="00C74B88">
            <w:pPr>
              <w:jc w:val="center"/>
              <w:rPr>
                <w:rFonts w:eastAsia="Book Antiqua" w:cs="Book Antiqua"/>
                <w:color w:val="000000" w:themeColor="text1"/>
                <w:szCs w:val="22"/>
              </w:rPr>
            </w:pPr>
            <w:r w:rsidRPr="00033E65">
              <w:t>13</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898DB5B" w14:textId="1CA919AA" w:rsidR="0016512C" w:rsidRPr="00033E65" w:rsidRDefault="00C74B88">
            <w:pPr>
              <w:jc w:val="center"/>
              <w:rPr>
                <w:rFonts w:eastAsia="Book Antiqua" w:cs="Book Antiqua"/>
                <w:color w:val="000000" w:themeColor="text1"/>
                <w:szCs w:val="22"/>
              </w:rPr>
            </w:pPr>
            <w:r w:rsidRPr="00033E65">
              <w:t>10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1F3B7F8" w14:textId="1E4A4023" w:rsidR="0016512C" w:rsidRPr="00033E65" w:rsidRDefault="00C74B88">
            <w:pPr>
              <w:jc w:val="center"/>
              <w:rPr>
                <w:rFonts w:eastAsia="Book Antiqua" w:cs="Book Antiqua"/>
                <w:color w:val="000000" w:themeColor="text1"/>
                <w:szCs w:val="22"/>
              </w:rPr>
            </w:pPr>
            <w:r w:rsidRPr="00033E65">
              <w:t>17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C13D0A9" w14:textId="218B4D18" w:rsidR="0016512C" w:rsidRPr="00033E65" w:rsidRDefault="00C74B88">
            <w:pPr>
              <w:jc w:val="center"/>
              <w:rPr>
                <w:rFonts w:eastAsia="Book Antiqua" w:cs="Book Antiqua"/>
                <w:color w:val="000000" w:themeColor="text1"/>
                <w:szCs w:val="22"/>
              </w:rPr>
            </w:pPr>
            <w:r w:rsidRPr="00033E65">
              <w:t>8</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199EE9C" w14:textId="5A5B4FDE"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16</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FC7F3F4" w14:textId="1DC0F91B"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121AE15" w14:textId="0B2A598F"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3</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90B13FF" w14:textId="791C6E31"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9AA9908" w14:textId="2D505253"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4197BC4" w14:textId="3B3060D2"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12</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BB797DB" w14:textId="39F923B7"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16</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B494F7F" w14:textId="52AFE7B2"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15</w:t>
            </w:r>
          </w:p>
        </w:tc>
      </w:tr>
      <w:tr w:rsidR="3B3A077A" w:rsidRPr="00033E65" w14:paraId="115E4E82"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215D727" w14:textId="66FA9EAA" w:rsidR="3B3A077A" w:rsidRPr="00033E65" w:rsidRDefault="3B3A077A" w:rsidP="3B3A077A">
            <w:pPr>
              <w:jc w:val="left"/>
            </w:pPr>
            <w:r w:rsidRPr="00033E65">
              <w:rPr>
                <w:rFonts w:eastAsia="Book Antiqua" w:cs="Book Antiqua"/>
                <w:color w:val="000000" w:themeColor="text1"/>
                <w:szCs w:val="22"/>
              </w:rPr>
              <w:t>Cantidad de expedientes firmados</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35E0406" w14:textId="7819450B" w:rsidR="0016512C" w:rsidRPr="00033E65" w:rsidRDefault="00C74B88">
            <w:pPr>
              <w:jc w:val="center"/>
              <w:rPr>
                <w:rFonts w:eastAsia="Book Antiqua" w:cs="Book Antiqua"/>
                <w:color w:val="000000" w:themeColor="text1"/>
                <w:szCs w:val="22"/>
              </w:rPr>
            </w:pPr>
            <w:r w:rsidRPr="00033E65">
              <w:t>163</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9DB827F" w14:textId="7C7AA117" w:rsidR="0016512C" w:rsidRPr="00033E65" w:rsidRDefault="00C74B88">
            <w:pPr>
              <w:jc w:val="center"/>
              <w:rPr>
                <w:rFonts w:eastAsia="Book Antiqua" w:cs="Book Antiqua"/>
                <w:color w:val="000000" w:themeColor="text1"/>
                <w:szCs w:val="22"/>
              </w:rPr>
            </w:pPr>
            <w:r w:rsidRPr="00033E65">
              <w:t>173</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42E771A" w14:textId="0782F75B" w:rsidR="0016512C" w:rsidRPr="00033E65" w:rsidRDefault="00C74B88">
            <w:pPr>
              <w:jc w:val="center"/>
              <w:rPr>
                <w:rFonts w:eastAsia="Book Antiqua" w:cs="Book Antiqua"/>
                <w:color w:val="000000" w:themeColor="text1"/>
                <w:szCs w:val="22"/>
              </w:rPr>
            </w:pPr>
            <w:r w:rsidRPr="00033E65">
              <w:t>209</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148C995" w14:textId="4658053F" w:rsidR="0016512C" w:rsidRPr="00033E65" w:rsidRDefault="00C74B88">
            <w:pPr>
              <w:jc w:val="center"/>
              <w:rPr>
                <w:rFonts w:eastAsia="Book Antiqua" w:cs="Book Antiqua"/>
                <w:color w:val="000000" w:themeColor="text1"/>
                <w:szCs w:val="22"/>
              </w:rPr>
            </w:pPr>
            <w:r w:rsidRPr="00033E65">
              <w:t>126</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5F25C68" w14:textId="1FFC68AF"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234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4D4A8EA" w14:textId="6761B18B"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167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984EDAA" w14:textId="5096A1E5"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130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92C8830" w14:textId="006B6246"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257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A12B6AF" w14:textId="264D06E1"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184</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B9CDE30" w14:textId="2FBFFAA1"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198</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545DAA7" w14:textId="4964A7D6"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179</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6DF0085E" w14:textId="357A5255"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117</w:t>
            </w:r>
          </w:p>
        </w:tc>
      </w:tr>
      <w:tr w:rsidR="3B3A077A" w:rsidRPr="00033E65" w14:paraId="7B80AAFC" w14:textId="77777777" w:rsidTr="009D6100">
        <w:trPr>
          <w:trHeight w:val="675"/>
        </w:trPr>
        <w:tc>
          <w:tcPr>
            <w:tcW w:w="1560"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D791A1F" w14:textId="26BE4AC2" w:rsidR="3B3A077A" w:rsidRPr="00033E65" w:rsidRDefault="3B3A077A" w:rsidP="3B3A077A">
            <w:pPr>
              <w:jc w:val="left"/>
            </w:pPr>
            <w:r w:rsidRPr="00033E65">
              <w:rPr>
                <w:rFonts w:eastAsia="Book Antiqua" w:cs="Book Antiqua"/>
                <w:color w:val="000000" w:themeColor="text1"/>
                <w:szCs w:val="22"/>
              </w:rPr>
              <w:t>Cantidad de expedientes pendientes de firma</w:t>
            </w:r>
          </w:p>
        </w:tc>
        <w:tc>
          <w:tcPr>
            <w:tcW w:w="709"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88D51CD" w14:textId="39CE1BA7" w:rsidR="0016512C" w:rsidRPr="00033E65" w:rsidRDefault="00C74B88">
            <w:pPr>
              <w:jc w:val="center"/>
              <w:rPr>
                <w:rFonts w:eastAsia="Book Antiqua" w:cs="Book Antiqua"/>
                <w:color w:val="000000" w:themeColor="text1"/>
                <w:szCs w:val="22"/>
              </w:rPr>
            </w:pPr>
            <w:r w:rsidRPr="00033E65">
              <w:t>0</w:t>
            </w:r>
          </w:p>
        </w:tc>
        <w:tc>
          <w:tcPr>
            <w:tcW w:w="567"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6436C84" w14:textId="3307A05F"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73F14000" w14:textId="46A03A06"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15CEDC6B" w14:textId="0BDEC609" w:rsidR="0016512C" w:rsidRPr="00033E65" w:rsidRDefault="00C74B88">
            <w:pPr>
              <w:jc w:val="center"/>
              <w:rPr>
                <w:rFonts w:eastAsia="Book Antiqua" w:cs="Book Antiqua"/>
                <w:color w:val="000000" w:themeColor="text1"/>
                <w:szCs w:val="22"/>
              </w:rPr>
            </w:pPr>
            <w:r w:rsidRPr="00033E65">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136F7A7" w14:textId="776FC469"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50B2AC0C" w14:textId="5E5F57D2"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7</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7800B0F" w14:textId="79FFF1EA"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1</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41EE4890" w14:textId="3F7AC500"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2DC29AFE" w14:textId="09BE5B0A"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6855963" w14:textId="1CD1E43A"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0768664C" w14:textId="408AB8B2"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c>
          <w:tcPr>
            <w:tcW w:w="858" w:type="dxa"/>
            <w:tcBorders>
              <w:top w:val="double" w:sz="5" w:space="0" w:color="1F497D" w:themeColor="text2"/>
              <w:left w:val="double" w:sz="5" w:space="0" w:color="1F497D" w:themeColor="text2"/>
              <w:bottom w:val="double" w:sz="5" w:space="0" w:color="1F497D" w:themeColor="text2"/>
              <w:right w:val="double" w:sz="5" w:space="0" w:color="1F497D" w:themeColor="text2"/>
            </w:tcBorders>
            <w:vAlign w:val="center"/>
          </w:tcPr>
          <w:p w14:paraId="377D4B37" w14:textId="6A323971" w:rsidR="3B3A077A" w:rsidRPr="00033E65" w:rsidRDefault="3B3A077A" w:rsidP="009D6100">
            <w:pPr>
              <w:jc w:val="center"/>
              <w:rPr>
                <w:rFonts w:eastAsia="Book Antiqua" w:cs="Book Antiqua"/>
                <w:color w:val="000000" w:themeColor="text1"/>
                <w:szCs w:val="22"/>
              </w:rPr>
            </w:pPr>
            <w:r w:rsidRPr="00033E65">
              <w:rPr>
                <w:rFonts w:eastAsia="Book Antiqua" w:cs="Book Antiqua"/>
                <w:color w:val="000000" w:themeColor="text1"/>
                <w:szCs w:val="22"/>
              </w:rPr>
              <w:t>0</w:t>
            </w:r>
          </w:p>
        </w:tc>
      </w:tr>
    </w:tbl>
    <w:p w14:paraId="490610B2" w14:textId="0E9B7AB6" w:rsidR="005B654D" w:rsidRPr="00033E65" w:rsidRDefault="006A7983" w:rsidP="009D6100">
      <w:pPr>
        <w:ind w:left="-993" w:right="616"/>
        <w:rPr>
          <w:bCs/>
          <w:i/>
          <w:sz w:val="20"/>
          <w:lang w:val="es-MX"/>
        </w:rPr>
      </w:pPr>
      <w:r w:rsidRPr="00033E65">
        <w:rPr>
          <w:bCs/>
          <w:i/>
          <w:sz w:val="20"/>
          <w:lang w:val="es-MX"/>
        </w:rPr>
        <w:t>Fuente: Subproceso de Modernización Institucional, área No Penal, con base en el Balance General Interactivo de la página web de la Dirección de Planificación</w:t>
      </w:r>
      <w:r w:rsidR="00AE4E9F" w:rsidRPr="00033E65">
        <w:rPr>
          <w:bCs/>
          <w:i/>
          <w:sz w:val="20"/>
          <w:lang w:val="es-MX"/>
        </w:rPr>
        <w:t xml:space="preserve"> y la Matriz de Indicadores de Gestión.</w:t>
      </w:r>
    </w:p>
    <w:p w14:paraId="624F33E9" w14:textId="77777777" w:rsidR="004154D7" w:rsidRPr="00033E65" w:rsidRDefault="004154D7" w:rsidP="0087671C">
      <w:pPr>
        <w:ind w:right="49"/>
        <w:rPr>
          <w:iCs/>
          <w:lang w:val="es-MX"/>
        </w:rPr>
      </w:pPr>
    </w:p>
    <w:p w14:paraId="598A031F" w14:textId="6E160647" w:rsidR="00AA4B6B" w:rsidRPr="00033E65" w:rsidRDefault="00AA4B6B" w:rsidP="0087671C">
      <w:pPr>
        <w:ind w:right="49"/>
        <w:rPr>
          <w:iCs/>
          <w:lang w:val="es-MX"/>
        </w:rPr>
      </w:pPr>
      <w:r w:rsidRPr="00033E65">
        <w:rPr>
          <w:iCs/>
          <w:lang w:val="es-MX"/>
        </w:rPr>
        <w:t>De acuerdo con el cuadro anterior, el Despacho presentó una entrada</w:t>
      </w:r>
      <w:r w:rsidR="005034C8" w:rsidRPr="00033E65">
        <w:rPr>
          <w:iCs/>
          <w:lang w:val="es-MX"/>
        </w:rPr>
        <w:t xml:space="preserve"> de promedio mensual </w:t>
      </w:r>
      <w:r w:rsidR="00E95E9E" w:rsidRPr="00033E65">
        <w:rPr>
          <w:iCs/>
          <w:lang w:val="es-MX"/>
        </w:rPr>
        <w:t>17</w:t>
      </w:r>
      <w:r w:rsidR="005034C8" w:rsidRPr="00033E65">
        <w:rPr>
          <w:iCs/>
          <w:lang w:val="es-MX"/>
        </w:rPr>
        <w:t xml:space="preserve"> asuntos</w:t>
      </w:r>
      <w:r w:rsidRPr="00033E65">
        <w:rPr>
          <w:iCs/>
          <w:lang w:val="es-MX"/>
        </w:rPr>
        <w:t xml:space="preserve"> </w:t>
      </w:r>
      <w:r w:rsidR="00AE67E4" w:rsidRPr="00033E65">
        <w:rPr>
          <w:iCs/>
          <w:lang w:val="es-MX"/>
        </w:rPr>
        <w:t>y</w:t>
      </w:r>
      <w:r w:rsidR="005034C8" w:rsidRPr="00033E65">
        <w:rPr>
          <w:iCs/>
          <w:lang w:val="es-MX"/>
        </w:rPr>
        <w:t xml:space="preserve"> de casos terminados un</w:t>
      </w:r>
      <w:r w:rsidRPr="00033E65">
        <w:rPr>
          <w:iCs/>
          <w:lang w:val="es-MX"/>
        </w:rPr>
        <w:t xml:space="preserve"> promedio</w:t>
      </w:r>
      <w:r w:rsidR="00DD1C01" w:rsidRPr="00033E65">
        <w:rPr>
          <w:iCs/>
          <w:lang w:val="es-MX"/>
        </w:rPr>
        <w:t xml:space="preserve"> mensual </w:t>
      </w:r>
      <w:r w:rsidR="00AE67E4" w:rsidRPr="00033E65">
        <w:rPr>
          <w:iCs/>
          <w:lang w:val="es-MX"/>
        </w:rPr>
        <w:t>1</w:t>
      </w:r>
      <w:r w:rsidR="000C548E" w:rsidRPr="00033E65">
        <w:rPr>
          <w:iCs/>
          <w:lang w:val="es-MX"/>
        </w:rPr>
        <w:t>1</w:t>
      </w:r>
      <w:r w:rsidR="00DD1C01" w:rsidRPr="00033E65">
        <w:rPr>
          <w:iCs/>
          <w:lang w:val="es-MX"/>
        </w:rPr>
        <w:t xml:space="preserve"> expedientes.</w:t>
      </w:r>
      <w:r w:rsidR="00DD1C01" w:rsidRPr="00033E65">
        <w:t xml:space="preserve"> </w:t>
      </w:r>
      <w:r w:rsidR="00DD1C01" w:rsidRPr="00033E65">
        <w:rPr>
          <w:iCs/>
          <w:lang w:val="es-MX"/>
        </w:rPr>
        <w:t xml:space="preserve">El circulante </w:t>
      </w:r>
      <w:r w:rsidR="00AE67E4" w:rsidRPr="00033E65">
        <w:rPr>
          <w:iCs/>
          <w:lang w:val="es-MX"/>
        </w:rPr>
        <w:t xml:space="preserve">activo </w:t>
      </w:r>
      <w:r w:rsidR="00DD1C01" w:rsidRPr="00033E65">
        <w:rPr>
          <w:iCs/>
          <w:lang w:val="es-MX"/>
        </w:rPr>
        <w:t>con el que inició este despacho</w:t>
      </w:r>
      <w:r w:rsidR="00AE67E4" w:rsidRPr="00033E65">
        <w:rPr>
          <w:iCs/>
          <w:lang w:val="es-MX"/>
        </w:rPr>
        <w:t xml:space="preserve"> es de 2</w:t>
      </w:r>
      <w:r w:rsidR="000C548E" w:rsidRPr="00033E65">
        <w:rPr>
          <w:iCs/>
          <w:lang w:val="es-MX"/>
        </w:rPr>
        <w:t>49</w:t>
      </w:r>
      <w:r w:rsidR="00AE67E4" w:rsidRPr="00033E65">
        <w:rPr>
          <w:iCs/>
          <w:lang w:val="es-MX"/>
        </w:rPr>
        <w:t xml:space="preserve"> expedientes</w:t>
      </w:r>
      <w:r w:rsidR="00DD1C01" w:rsidRPr="00033E65">
        <w:rPr>
          <w:iCs/>
          <w:lang w:val="es-MX"/>
        </w:rPr>
        <w:t xml:space="preserve"> y </w:t>
      </w:r>
      <w:r w:rsidR="005034C8" w:rsidRPr="00033E65">
        <w:rPr>
          <w:iCs/>
          <w:lang w:val="es-MX"/>
        </w:rPr>
        <w:t>para</w:t>
      </w:r>
      <w:r w:rsidR="00DD1C01" w:rsidRPr="00033E65">
        <w:rPr>
          <w:iCs/>
          <w:lang w:val="es-MX"/>
        </w:rPr>
        <w:t xml:space="preserve"> diciembre </w:t>
      </w:r>
      <w:r w:rsidR="000C548E" w:rsidRPr="00033E65">
        <w:rPr>
          <w:iCs/>
          <w:lang w:val="es-MX"/>
        </w:rPr>
        <w:t xml:space="preserve">2022 </w:t>
      </w:r>
      <w:r w:rsidR="005034C8" w:rsidRPr="00033E65">
        <w:rPr>
          <w:iCs/>
          <w:lang w:val="es-MX"/>
        </w:rPr>
        <w:t>c</w:t>
      </w:r>
      <w:r w:rsidR="00173946" w:rsidRPr="00033E65">
        <w:rPr>
          <w:iCs/>
          <w:lang w:val="es-MX"/>
        </w:rPr>
        <w:t>o</w:t>
      </w:r>
      <w:r w:rsidR="005034C8" w:rsidRPr="00033E65">
        <w:rPr>
          <w:iCs/>
          <w:lang w:val="es-MX"/>
        </w:rPr>
        <w:t>nt</w:t>
      </w:r>
      <w:r w:rsidR="000C548E" w:rsidRPr="00033E65">
        <w:rPr>
          <w:iCs/>
          <w:lang w:val="es-MX"/>
        </w:rPr>
        <w:t>ó</w:t>
      </w:r>
      <w:r w:rsidR="005034C8" w:rsidRPr="00033E65">
        <w:rPr>
          <w:iCs/>
          <w:lang w:val="es-MX"/>
        </w:rPr>
        <w:t xml:space="preserve"> </w:t>
      </w:r>
      <w:r w:rsidR="00AE67E4" w:rsidRPr="00033E65">
        <w:rPr>
          <w:iCs/>
          <w:lang w:val="es-MX"/>
        </w:rPr>
        <w:t>con un circulante de</w:t>
      </w:r>
      <w:r w:rsidR="00DD1C01" w:rsidRPr="00033E65">
        <w:rPr>
          <w:iCs/>
          <w:lang w:val="es-MX"/>
        </w:rPr>
        <w:t xml:space="preserve"> </w:t>
      </w:r>
      <w:r w:rsidR="00AE67E4" w:rsidRPr="00033E65">
        <w:rPr>
          <w:iCs/>
          <w:lang w:val="es-MX"/>
        </w:rPr>
        <w:t>2</w:t>
      </w:r>
      <w:r w:rsidR="000C548E" w:rsidRPr="00033E65">
        <w:rPr>
          <w:iCs/>
          <w:lang w:val="es-MX"/>
        </w:rPr>
        <w:t>70</w:t>
      </w:r>
      <w:r w:rsidR="00AE67E4" w:rsidRPr="00033E65">
        <w:rPr>
          <w:iCs/>
          <w:lang w:val="es-MX"/>
        </w:rPr>
        <w:t xml:space="preserve"> expedientes.</w:t>
      </w:r>
    </w:p>
    <w:p w14:paraId="15091278" w14:textId="03518ECD" w:rsidR="00171F9F" w:rsidRPr="00033E65" w:rsidRDefault="00C1489D" w:rsidP="002464DE">
      <w:pPr>
        <w:rPr>
          <w:iCs/>
          <w:lang w:val="es-MX"/>
        </w:rPr>
      </w:pPr>
      <w:r w:rsidRPr="00033E65">
        <w:rPr>
          <w:iCs/>
          <w:lang w:val="es-MX"/>
        </w:rPr>
        <w:t xml:space="preserve">En cuanto a los diferentes indicadores asociados a los plazos, </w:t>
      </w:r>
      <w:r w:rsidR="00173946" w:rsidRPr="00033E65">
        <w:rPr>
          <w:iCs/>
          <w:lang w:val="es-MX"/>
        </w:rPr>
        <w:t xml:space="preserve">se destaca en incremento en el indicador de Plazo para dictado de sentencia el cuál </w:t>
      </w:r>
      <w:r w:rsidR="00063FCB" w:rsidRPr="00033E65">
        <w:rPr>
          <w:iCs/>
          <w:lang w:val="es-MX"/>
        </w:rPr>
        <w:t>se mantenía estabilizado de fe</w:t>
      </w:r>
      <w:r w:rsidR="00F667F3" w:rsidRPr="00033E65">
        <w:rPr>
          <w:iCs/>
          <w:lang w:val="es-MX"/>
        </w:rPr>
        <w:t>b</w:t>
      </w:r>
      <w:r w:rsidR="00063FCB" w:rsidRPr="00033E65">
        <w:rPr>
          <w:iCs/>
          <w:lang w:val="es-MX"/>
        </w:rPr>
        <w:t xml:space="preserve">rero a julio 2023 entre 3 y 10 días de espera, y de agosto en adelante ha ido aumentando considerablemente </w:t>
      </w:r>
      <w:r w:rsidR="00852181" w:rsidRPr="00033E65">
        <w:rPr>
          <w:iCs/>
          <w:lang w:val="es-MX"/>
        </w:rPr>
        <w:t>manteniendo un plazo de 58 días de espera en diciembre 202</w:t>
      </w:r>
      <w:r w:rsidR="00F667F3" w:rsidRPr="00033E65">
        <w:rPr>
          <w:iCs/>
          <w:lang w:val="es-MX"/>
        </w:rPr>
        <w:t>2</w:t>
      </w:r>
      <w:r w:rsidR="00852181" w:rsidRPr="00033E65">
        <w:rPr>
          <w:iCs/>
          <w:lang w:val="es-MX"/>
        </w:rPr>
        <w:t xml:space="preserve">, es decir aumentó </w:t>
      </w:r>
      <w:r w:rsidR="00F667F3" w:rsidRPr="00033E65">
        <w:rPr>
          <w:iCs/>
          <w:lang w:val="es-MX"/>
        </w:rPr>
        <w:t xml:space="preserve">más de cinco veces el valor de julio 2022. </w:t>
      </w:r>
      <w:r w:rsidR="00171F9F" w:rsidRPr="00033E65">
        <w:rPr>
          <w:iCs/>
          <w:lang w:val="es-MX"/>
        </w:rPr>
        <w:t>El plazo para realización de audiencia se mantenía en diciembre 2022 en 55 días de espera lo que se traduce aproximadamente a 2 meses de espera para la persona usuaria.</w:t>
      </w:r>
    </w:p>
    <w:p w14:paraId="5F5EAAD5" w14:textId="687AA634" w:rsidR="00A87F46" w:rsidRPr="00033E65" w:rsidRDefault="00A87F46" w:rsidP="002464DE">
      <w:pPr>
        <w:rPr>
          <w:iCs/>
          <w:lang w:val="es-MX"/>
        </w:rPr>
      </w:pPr>
      <w:r w:rsidRPr="00033E65">
        <w:rPr>
          <w:iCs/>
          <w:lang w:val="es-MX"/>
        </w:rPr>
        <w:t>El plazo para resolver demandas nuevas se mantiene totalmente al día, por el contrario</w:t>
      </w:r>
      <w:r w:rsidR="00852DE9" w:rsidRPr="00033E65">
        <w:rPr>
          <w:iCs/>
          <w:lang w:val="es-MX"/>
        </w:rPr>
        <w:t>,</w:t>
      </w:r>
      <w:r w:rsidRPr="00033E65">
        <w:rPr>
          <w:iCs/>
          <w:lang w:val="es-MX"/>
        </w:rPr>
        <w:t xml:space="preserve"> el plazo para trámite de escritos en diciembre 2022 se mante</w:t>
      </w:r>
      <w:r w:rsidR="00852DE9" w:rsidRPr="00033E65">
        <w:rPr>
          <w:iCs/>
          <w:lang w:val="es-MX"/>
        </w:rPr>
        <w:t>n</w:t>
      </w:r>
      <w:r w:rsidRPr="00033E65">
        <w:rPr>
          <w:iCs/>
          <w:lang w:val="es-MX"/>
        </w:rPr>
        <w:t xml:space="preserve">ía en 42 días, el cual ha aumentado considerablemente con respecto a los meses anteriores y sobrepasa el parámetro máximo establecido en la Matriz de Indicadores. </w:t>
      </w:r>
    </w:p>
    <w:p w14:paraId="72785DE3" w14:textId="00A4BE06" w:rsidR="00450498" w:rsidRPr="00033E65" w:rsidRDefault="00450498" w:rsidP="00450498">
      <w:pPr>
        <w:rPr>
          <w:iCs/>
          <w:lang w:val="es-MX"/>
        </w:rPr>
      </w:pPr>
      <w:r w:rsidRPr="00033E65">
        <w:rPr>
          <w:iCs/>
          <w:lang w:val="es-MX"/>
        </w:rPr>
        <w:t xml:space="preserve">En relación con los indicadores </w:t>
      </w:r>
      <w:r w:rsidR="00581261" w:rsidRPr="00033E65">
        <w:rPr>
          <w:iCs/>
          <w:lang w:val="es-MX"/>
        </w:rPr>
        <w:t>“</w:t>
      </w:r>
      <w:r w:rsidRPr="00033E65">
        <w:rPr>
          <w:iCs/>
          <w:lang w:val="es-MX"/>
        </w:rPr>
        <w:t>Cantidad de audiencias pendientes de realización</w:t>
      </w:r>
      <w:r w:rsidR="00581261" w:rsidRPr="00033E65">
        <w:rPr>
          <w:iCs/>
          <w:lang w:val="es-MX"/>
        </w:rPr>
        <w:t>”</w:t>
      </w:r>
      <w:r w:rsidRPr="00033E65">
        <w:rPr>
          <w:iCs/>
          <w:lang w:val="es-MX"/>
        </w:rPr>
        <w:t xml:space="preserve">, </w:t>
      </w:r>
      <w:r w:rsidR="00581261" w:rsidRPr="00033E65">
        <w:rPr>
          <w:iCs/>
          <w:lang w:val="es-MX"/>
        </w:rPr>
        <w:t>“</w:t>
      </w:r>
      <w:r w:rsidRPr="00033E65">
        <w:rPr>
          <w:iCs/>
          <w:lang w:val="es-MX"/>
        </w:rPr>
        <w:t>Cantidad de expedientes pendientes de fallo</w:t>
      </w:r>
      <w:r w:rsidR="00581261" w:rsidRPr="00033E65">
        <w:rPr>
          <w:iCs/>
          <w:lang w:val="es-MX"/>
        </w:rPr>
        <w:t>”</w:t>
      </w:r>
      <w:r w:rsidRPr="00033E65">
        <w:rPr>
          <w:iCs/>
          <w:lang w:val="es-MX"/>
        </w:rPr>
        <w:t xml:space="preserve">, </w:t>
      </w:r>
      <w:r w:rsidR="00581261" w:rsidRPr="00033E65">
        <w:rPr>
          <w:iCs/>
          <w:lang w:val="es-MX"/>
        </w:rPr>
        <w:t>“</w:t>
      </w:r>
      <w:r w:rsidRPr="00033E65">
        <w:rPr>
          <w:iCs/>
          <w:lang w:val="es-MX"/>
        </w:rPr>
        <w:t>Cantidad de Demandas nuevas pendientes de primera resolución</w:t>
      </w:r>
      <w:r w:rsidR="00581261" w:rsidRPr="00033E65">
        <w:rPr>
          <w:iCs/>
          <w:lang w:val="es-MX"/>
        </w:rPr>
        <w:t>”</w:t>
      </w:r>
      <w:r w:rsidRPr="00033E65">
        <w:rPr>
          <w:iCs/>
          <w:lang w:val="es-MX"/>
        </w:rPr>
        <w:t xml:space="preserve">, </w:t>
      </w:r>
      <w:r w:rsidR="00AE67E4" w:rsidRPr="00033E65">
        <w:rPr>
          <w:iCs/>
          <w:lang w:val="es-MX"/>
        </w:rPr>
        <w:t>han mantenido</w:t>
      </w:r>
      <w:r w:rsidRPr="00033E65">
        <w:rPr>
          <w:iCs/>
          <w:lang w:val="es-MX"/>
        </w:rPr>
        <w:t xml:space="preserve"> un comportamiento estable, </w:t>
      </w:r>
      <w:r w:rsidR="00AE67E4" w:rsidRPr="00033E65">
        <w:rPr>
          <w:iCs/>
          <w:lang w:val="es-MX"/>
        </w:rPr>
        <w:t>dentro de los rangos</w:t>
      </w:r>
      <w:r w:rsidRPr="00033E65">
        <w:rPr>
          <w:iCs/>
          <w:lang w:val="es-MX"/>
        </w:rPr>
        <w:t xml:space="preserve"> establecidos de los indicadores.</w:t>
      </w:r>
    </w:p>
    <w:p w14:paraId="74F67B99" w14:textId="0793B9B0" w:rsidR="00251578" w:rsidRPr="00033E65" w:rsidRDefault="00FB6B3A" w:rsidP="00450498">
      <w:pPr>
        <w:rPr>
          <w:iCs/>
          <w:lang w:val="es-MX"/>
        </w:rPr>
      </w:pPr>
      <w:r w:rsidRPr="00033E65">
        <w:rPr>
          <w:iCs/>
          <w:lang w:val="es-MX"/>
        </w:rPr>
        <w:t>La cantidad de escritos pendientes de resolver ha logrado una disminución importante en lo últimos meses ya que pasó de tener 105 escritos en octubre 2022 a 50 en diciembre 2022.</w:t>
      </w:r>
    </w:p>
    <w:p w14:paraId="1ED1C9C1" w14:textId="511BA569" w:rsidR="0027770B" w:rsidRPr="00033E65" w:rsidRDefault="00450498" w:rsidP="00450498">
      <w:pPr>
        <w:rPr>
          <w:iCs/>
          <w:lang w:val="es-MX"/>
        </w:rPr>
      </w:pPr>
      <w:r w:rsidRPr="00033E65">
        <w:rPr>
          <w:iCs/>
          <w:lang w:val="es-MX"/>
        </w:rPr>
        <w:t xml:space="preserve">La cantidad de expedientes pasados a firmar </w:t>
      </w:r>
      <w:r w:rsidR="00EF7F75" w:rsidRPr="00033E65">
        <w:rPr>
          <w:iCs/>
          <w:lang w:val="es-MX"/>
        </w:rPr>
        <w:t>por el personal Técnico</w:t>
      </w:r>
      <w:r w:rsidRPr="00033E65">
        <w:rPr>
          <w:iCs/>
          <w:lang w:val="es-MX"/>
        </w:rPr>
        <w:t xml:space="preserve"> Judicial a las personas juzgadoras, presentó un promedio mensual de 1</w:t>
      </w:r>
      <w:r w:rsidR="004C0E68" w:rsidRPr="00033E65">
        <w:rPr>
          <w:iCs/>
          <w:lang w:val="es-MX"/>
        </w:rPr>
        <w:t>8</w:t>
      </w:r>
      <w:r w:rsidRPr="00033E65">
        <w:rPr>
          <w:iCs/>
          <w:lang w:val="es-MX"/>
        </w:rPr>
        <w:t xml:space="preserve">0 expedientes. </w:t>
      </w:r>
    </w:p>
    <w:p w14:paraId="0CDF7371" w14:textId="1F981BD5" w:rsidR="007F195F" w:rsidRPr="00033E65" w:rsidRDefault="0027770B" w:rsidP="00DA3C64">
      <w:pPr>
        <w:rPr>
          <w:iCs/>
          <w:lang w:val="es-MX"/>
        </w:rPr>
      </w:pPr>
      <w:r w:rsidRPr="00033E65">
        <w:rPr>
          <w:iCs/>
          <w:lang w:val="es-MX"/>
        </w:rPr>
        <w:t xml:space="preserve">Por último, la </w:t>
      </w:r>
      <w:r w:rsidR="00581261" w:rsidRPr="00033E65">
        <w:rPr>
          <w:iCs/>
          <w:lang w:val="es-MX"/>
        </w:rPr>
        <w:t>“</w:t>
      </w:r>
      <w:r w:rsidRPr="00033E65">
        <w:rPr>
          <w:iCs/>
          <w:lang w:val="es-MX"/>
        </w:rPr>
        <w:t>Cantidad de sentencias dictadas por persona juzgadora</w:t>
      </w:r>
      <w:r w:rsidR="00581261" w:rsidRPr="00033E65">
        <w:rPr>
          <w:iCs/>
          <w:lang w:val="es-MX"/>
        </w:rPr>
        <w:t>”</w:t>
      </w:r>
      <w:r w:rsidRPr="00033E65">
        <w:rPr>
          <w:iCs/>
          <w:lang w:val="es-MX"/>
        </w:rPr>
        <w:t xml:space="preserve">, </w:t>
      </w:r>
      <w:r w:rsidR="00581261" w:rsidRPr="00033E65">
        <w:rPr>
          <w:iCs/>
          <w:lang w:val="es-MX"/>
        </w:rPr>
        <w:t>“</w:t>
      </w:r>
      <w:r w:rsidRPr="00033E65">
        <w:rPr>
          <w:iCs/>
          <w:lang w:val="es-MX"/>
        </w:rPr>
        <w:t>Cantidad de expedientes firmados por persona juzgadora</w:t>
      </w:r>
      <w:r w:rsidR="00581261" w:rsidRPr="00033E65">
        <w:rPr>
          <w:iCs/>
          <w:lang w:val="es-MX"/>
        </w:rPr>
        <w:t>”</w:t>
      </w:r>
      <w:r w:rsidRPr="00033E65">
        <w:rPr>
          <w:iCs/>
          <w:lang w:val="es-MX"/>
        </w:rPr>
        <w:t xml:space="preserve"> y </w:t>
      </w:r>
      <w:r w:rsidR="00581261" w:rsidRPr="00033E65">
        <w:rPr>
          <w:iCs/>
          <w:lang w:val="es-MX"/>
        </w:rPr>
        <w:t>“</w:t>
      </w:r>
      <w:r w:rsidRPr="00033E65">
        <w:rPr>
          <w:iCs/>
          <w:lang w:val="es-MX"/>
        </w:rPr>
        <w:t>Cantidad de expedientes pendientes de firma por persona juzgadora</w:t>
      </w:r>
      <w:r w:rsidR="00581261" w:rsidRPr="00033E65">
        <w:rPr>
          <w:iCs/>
          <w:lang w:val="es-MX"/>
        </w:rPr>
        <w:t>”</w:t>
      </w:r>
      <w:r w:rsidRPr="00033E65">
        <w:rPr>
          <w:iCs/>
          <w:lang w:val="es-MX"/>
        </w:rPr>
        <w:t xml:space="preserve">, presentaron un promedio mensual de </w:t>
      </w:r>
      <w:r w:rsidR="000E0642" w:rsidRPr="00033E65">
        <w:rPr>
          <w:iCs/>
          <w:lang w:val="es-MX"/>
        </w:rPr>
        <w:t>12</w:t>
      </w:r>
      <w:r w:rsidRPr="00033E65">
        <w:rPr>
          <w:iCs/>
          <w:lang w:val="es-MX"/>
        </w:rPr>
        <w:t xml:space="preserve"> sentencias, 1</w:t>
      </w:r>
      <w:r w:rsidR="00A641A4" w:rsidRPr="00033E65">
        <w:rPr>
          <w:iCs/>
          <w:lang w:val="es-MX"/>
        </w:rPr>
        <w:t>78</w:t>
      </w:r>
      <w:r w:rsidRPr="00033E65">
        <w:rPr>
          <w:iCs/>
          <w:lang w:val="es-MX"/>
        </w:rPr>
        <w:t xml:space="preserve"> y </w:t>
      </w:r>
      <w:r w:rsidR="00A641A4" w:rsidRPr="00033E65">
        <w:rPr>
          <w:iCs/>
          <w:lang w:val="es-MX"/>
        </w:rPr>
        <w:t>0 (cero)</w:t>
      </w:r>
      <w:r w:rsidRPr="00033E65">
        <w:rPr>
          <w:iCs/>
          <w:lang w:val="es-MX"/>
        </w:rPr>
        <w:t xml:space="preserve"> expedientes </w:t>
      </w:r>
      <w:r w:rsidR="00EF793B" w:rsidRPr="00033E65">
        <w:rPr>
          <w:iCs/>
          <w:lang w:val="es-MX"/>
        </w:rPr>
        <w:t>respectivamente.</w:t>
      </w:r>
    </w:p>
    <w:p w14:paraId="3041B075" w14:textId="77777777" w:rsidR="00624BB5" w:rsidRPr="00033E65" w:rsidRDefault="00624BB5" w:rsidP="005108F5">
      <w:pPr>
        <w:rPr>
          <w:lang w:val="es-MX"/>
        </w:rPr>
      </w:pPr>
    </w:p>
    <w:p w14:paraId="103FDB5F" w14:textId="16599ECD" w:rsidR="00561903" w:rsidRPr="00033E65" w:rsidRDefault="00554C4E" w:rsidP="00554C4E">
      <w:pPr>
        <w:pStyle w:val="Ttulo2"/>
        <w:numPr>
          <w:ilvl w:val="0"/>
          <w:numId w:val="0"/>
        </w:numPr>
      </w:pPr>
      <w:bookmarkStart w:id="210" w:name="_Toc132639560"/>
      <w:r>
        <w:t xml:space="preserve">11. </w:t>
      </w:r>
      <w:r w:rsidR="00561903" w:rsidRPr="00033E65">
        <w:t>Limitantes</w:t>
      </w:r>
      <w:bookmarkEnd w:id="210"/>
    </w:p>
    <w:p w14:paraId="2F885EC1" w14:textId="598A5E8A" w:rsidR="0011271A" w:rsidRDefault="0011271A" w:rsidP="00C506BE">
      <w:pPr>
        <w:rPr>
          <w:lang w:val="es-MX"/>
        </w:rPr>
      </w:pPr>
      <w:r>
        <w:rPr>
          <w:lang w:val="es-MX"/>
        </w:rPr>
        <w:t>Se ha aprobado una va</w:t>
      </w:r>
      <w:r w:rsidR="0062093B">
        <w:rPr>
          <w:lang w:val="es-MX"/>
        </w:rPr>
        <w:t>ca</w:t>
      </w:r>
      <w:r>
        <w:rPr>
          <w:lang w:val="es-MX"/>
        </w:rPr>
        <w:t>tio ley por parte de la Asamblea Legislativa</w:t>
      </w:r>
      <w:r w:rsidR="007A5579">
        <w:rPr>
          <w:lang w:val="es-MX"/>
        </w:rPr>
        <w:t xml:space="preserve"> en </w:t>
      </w:r>
      <w:r w:rsidR="00B17478">
        <w:rPr>
          <w:lang w:val="es-MX"/>
        </w:rPr>
        <w:t>el primer trimestre del año 2023</w:t>
      </w:r>
      <w:r>
        <w:rPr>
          <w:lang w:val="es-MX"/>
        </w:rPr>
        <w:t xml:space="preserve">, es </w:t>
      </w:r>
      <w:r w:rsidR="0060157C">
        <w:rPr>
          <w:lang w:val="es-MX"/>
        </w:rPr>
        <w:t xml:space="preserve">importante, porque la Institución estará en la posibilidad de revisar la propuesta de código </w:t>
      </w:r>
      <w:r w:rsidR="007A5579">
        <w:rPr>
          <w:lang w:val="es-MX"/>
        </w:rPr>
        <w:t xml:space="preserve">y revisar cualquier aspecto de mejora que se requiera, por lo que eventualmente podrán surgir cambios a la propuesta de código </w:t>
      </w:r>
      <w:r w:rsidR="00BF2528">
        <w:rPr>
          <w:lang w:val="es-MX"/>
        </w:rPr>
        <w:t xml:space="preserve">procesal </w:t>
      </w:r>
      <w:r w:rsidR="007A5579">
        <w:rPr>
          <w:lang w:val="es-MX"/>
        </w:rPr>
        <w:t xml:space="preserve">vigente. </w:t>
      </w:r>
    </w:p>
    <w:p w14:paraId="2E6534DA" w14:textId="2B930734" w:rsidR="00624BB5" w:rsidRPr="00033E65" w:rsidRDefault="00561903" w:rsidP="00C506BE">
      <w:pPr>
        <w:rPr>
          <w:lang w:val="es-MX"/>
        </w:rPr>
      </w:pPr>
      <w:r w:rsidRPr="00033E65">
        <w:rPr>
          <w:lang w:val="es-MX"/>
        </w:rPr>
        <w:t>Para la realización del presente informe, no se cuenta con los datos a nivel de sistemas informáticos, de los procesos sucesorios, cobratorios, contenciosos, entre otros, que formarán parte de los nuevos asuntos Agrarios, en la actualidad no hay elementos sistemáticos para determinar una cantidad específica</w:t>
      </w:r>
      <w:r w:rsidR="00153AE4">
        <w:rPr>
          <w:lang w:val="es-MX"/>
        </w:rPr>
        <w:t xml:space="preserve"> de asuntos</w:t>
      </w:r>
      <w:r w:rsidRPr="00033E65">
        <w:rPr>
          <w:lang w:val="es-MX"/>
        </w:rPr>
        <w:t>, con ocasión del Código Procesal Agrari</w:t>
      </w:r>
      <w:r w:rsidR="00153AE4">
        <w:rPr>
          <w:lang w:val="es-MX"/>
        </w:rPr>
        <w:t>o</w:t>
      </w:r>
      <w:r w:rsidRPr="00033E65">
        <w:rPr>
          <w:lang w:val="es-MX"/>
        </w:rPr>
        <w:t>.</w:t>
      </w:r>
    </w:p>
    <w:p w14:paraId="1D7F8D5B" w14:textId="2B7102BD" w:rsidR="00B92373" w:rsidRPr="00033E65" w:rsidRDefault="00B92373" w:rsidP="00274042">
      <w:pPr>
        <w:pStyle w:val="Prrafodelista"/>
        <w:numPr>
          <w:ilvl w:val="0"/>
          <w:numId w:val="12"/>
        </w:numPr>
        <w:tabs>
          <w:tab w:val="left" w:pos="567"/>
        </w:tabs>
        <w:ind w:left="567" w:hanging="425"/>
        <w:contextualSpacing w:val="0"/>
      </w:pPr>
      <w:r w:rsidRPr="00033E65">
        <w:t xml:space="preserve">No es posible proyectar la </w:t>
      </w:r>
      <w:r w:rsidR="00444D19" w:rsidRPr="00033E65">
        <w:t xml:space="preserve">posible carga de trabajo que tendrá </w:t>
      </w:r>
      <w:r w:rsidR="00732369" w:rsidRPr="00033E65">
        <w:t>la Sala Primera</w:t>
      </w:r>
      <w:r w:rsidR="00444D19" w:rsidRPr="00033E65">
        <w:t>,</w:t>
      </w:r>
      <w:r w:rsidR="00732369" w:rsidRPr="00033E65">
        <w:t xml:space="preserve"> </w:t>
      </w:r>
      <w:r w:rsidRPr="00033E65">
        <w:t xml:space="preserve">ya que no conocemos sobre la carga de trabajo que va a traer consigo todos estos cambios, ya que ni si quiera se </w:t>
      </w:r>
      <w:r w:rsidR="001D1871" w:rsidRPr="00033E65">
        <w:t>puede hacer</w:t>
      </w:r>
      <w:r w:rsidRPr="00033E65">
        <w:t xml:space="preserve"> un muestro para determina</w:t>
      </w:r>
      <w:r w:rsidR="00444D19" w:rsidRPr="00033E65">
        <w:t>r</w:t>
      </w:r>
      <w:r w:rsidRPr="00033E65">
        <w:t xml:space="preserve"> un aproximado de cuantos casos de los Juzgado</w:t>
      </w:r>
      <w:r w:rsidR="00624BB5" w:rsidRPr="00033E65">
        <w:t>s</w:t>
      </w:r>
      <w:r w:rsidR="00C506BE" w:rsidRPr="00033E65">
        <w:t xml:space="preserve"> </w:t>
      </w:r>
      <w:r w:rsidR="00624BB5" w:rsidRPr="00033E65">
        <w:t>C</w:t>
      </w:r>
      <w:r w:rsidRPr="00033E65">
        <w:t xml:space="preserve">iviles y Cobratorios son de competencia Agraria. </w:t>
      </w:r>
    </w:p>
    <w:p w14:paraId="3F757F83" w14:textId="5DEFF10B" w:rsidR="00561903" w:rsidRPr="00033E65" w:rsidRDefault="00561903" w:rsidP="00274042">
      <w:pPr>
        <w:pStyle w:val="Prrafodelista"/>
        <w:numPr>
          <w:ilvl w:val="0"/>
          <w:numId w:val="12"/>
        </w:numPr>
        <w:tabs>
          <w:tab w:val="left" w:pos="567"/>
        </w:tabs>
        <w:ind w:left="567" w:hanging="425"/>
        <w:contextualSpacing w:val="0"/>
      </w:pPr>
      <w:r w:rsidRPr="00033E65">
        <w:t>No es posible proyectar la carga de trabajo que</w:t>
      </w:r>
      <w:r w:rsidR="00D81593" w:rsidRPr="00033E65">
        <w:t xml:space="preserve"> </w:t>
      </w:r>
      <w:r w:rsidR="001D1871" w:rsidRPr="00033E65">
        <w:t>podrían tener</w:t>
      </w:r>
      <w:r w:rsidRPr="00033E65">
        <w:t xml:space="preserve"> los Juzgados Agrarios una vez entrada en vigencia el Código Procesal Agrario, ya que adquirirán competencia sobre los procesos Sucesorios de naturaleza agrícola en materia Civil y los Cobratorios con garantías Agrarias. </w:t>
      </w:r>
    </w:p>
    <w:p w14:paraId="19A9A8EC" w14:textId="77777777" w:rsidR="00561903" w:rsidRPr="00033E65" w:rsidRDefault="00561903" w:rsidP="00274042">
      <w:pPr>
        <w:pStyle w:val="Prrafodelista"/>
        <w:numPr>
          <w:ilvl w:val="0"/>
          <w:numId w:val="12"/>
        </w:numPr>
        <w:tabs>
          <w:tab w:val="left" w:pos="567"/>
        </w:tabs>
        <w:ind w:left="567" w:hanging="425"/>
        <w:contextualSpacing w:val="0"/>
      </w:pPr>
      <w:r w:rsidRPr="00033E65">
        <w:t>Los Juzgados Civiles y Juzgados de Cobros no tienen identificados esos procesos que llegaran a los Juzgados Agrarios, ni en su circulante, ni en la entrada mensual.</w:t>
      </w:r>
    </w:p>
    <w:p w14:paraId="1CC22188" w14:textId="77777777" w:rsidR="00561903" w:rsidRPr="00033E65" w:rsidRDefault="00561903" w:rsidP="00274042">
      <w:pPr>
        <w:pStyle w:val="Prrafodelista"/>
        <w:numPr>
          <w:ilvl w:val="0"/>
          <w:numId w:val="12"/>
        </w:numPr>
        <w:tabs>
          <w:tab w:val="left" w:pos="567"/>
        </w:tabs>
        <w:ind w:left="567" w:hanging="425"/>
        <w:contextualSpacing w:val="0"/>
      </w:pPr>
      <w:r w:rsidRPr="00033E65">
        <w:t xml:space="preserve">El Tribunal Contencioso Administrativo no tiene identificados los casos por Responsabilidad Ambiental que, con la entrada en vigencia del Código Procesal Agrario, conocerá el Tribunal Agrario.  </w:t>
      </w:r>
    </w:p>
    <w:p w14:paraId="5E8D0FEF" w14:textId="77777777" w:rsidR="00561903" w:rsidRPr="00033E65" w:rsidRDefault="00561903" w:rsidP="00274042">
      <w:pPr>
        <w:pStyle w:val="Prrafodelista"/>
        <w:numPr>
          <w:ilvl w:val="0"/>
          <w:numId w:val="12"/>
        </w:numPr>
        <w:tabs>
          <w:tab w:val="left" w:pos="567"/>
        </w:tabs>
        <w:ind w:left="567" w:hanging="425"/>
        <w:contextualSpacing w:val="0"/>
      </w:pPr>
      <w:r w:rsidRPr="00033E65">
        <w:t xml:space="preserve">El Tribunal Agrario perderá competencia sobre los casos de Conflicto de Competencia, ya que actualmente los Juzgados Agrarios se inhiben de conocer el caso y es ahí donde llegan el Tribunal. Con la entrada en vigencia del Código Procesal Agrario ya los Juzgados Agrarios se pueden declarar incompetentes. En conversaciones con las Juezas y Jueces del Tribunal, aclararon que efectivamente pierden competencia sobre los conflictos mencionados, pero pueden ingresar al Tribunal por apelación en el fondo, dato que no se tiene identificado.  </w:t>
      </w:r>
    </w:p>
    <w:p w14:paraId="64A92022" w14:textId="6258EF7B" w:rsidR="00561903" w:rsidRPr="00033E65" w:rsidRDefault="00561903" w:rsidP="00274042">
      <w:pPr>
        <w:pStyle w:val="Prrafodelista"/>
        <w:numPr>
          <w:ilvl w:val="0"/>
          <w:numId w:val="12"/>
        </w:numPr>
        <w:tabs>
          <w:tab w:val="left" w:pos="567"/>
        </w:tabs>
        <w:ind w:left="567" w:hanging="425"/>
        <w:contextualSpacing w:val="0"/>
      </w:pPr>
      <w:r w:rsidRPr="00033E65">
        <w:t xml:space="preserve">Por otro lado, con la entrada en vigencia del Código Procesal Agrario, se crea un nuevo proceso llamado Ordinarios Especiales por Responsabilidad Ambiental, Art. 282-290. Actualmente todos los procesos por daños ambientales contra el Estado los conoce el Tribunal Contencioso Administrativo, por lo que, en consulta realizada vía telefónica al Coordinador Judicial del Tribunal, Andrés Espinoza, y en correo electrónico se valida </w:t>
      </w:r>
      <w:r w:rsidRPr="00033E65">
        <w:rPr>
          <w:i/>
          <w:iCs/>
        </w:rPr>
        <w:t xml:space="preserve">(ver anexo </w:t>
      </w:r>
      <w:r w:rsidR="00F87C32" w:rsidRPr="00033E65">
        <w:rPr>
          <w:i/>
          <w:iCs/>
        </w:rPr>
        <w:t>15</w:t>
      </w:r>
      <w:r w:rsidRPr="00033E65">
        <w:rPr>
          <w:i/>
          <w:iCs/>
        </w:rPr>
        <w:t xml:space="preserve"> Consulta sobre los asuntos con responsabilidad Ambiental)   </w:t>
      </w:r>
      <w:r w:rsidRPr="00033E65">
        <w:t xml:space="preserve">que el detectar ese tipo de procesos es complicado, ya que tendría que revisarse aproximadamente los 16 mil expedientes Ordinarios, ya que ellos ven los daños ambientales como un Ordinario. </w:t>
      </w:r>
    </w:p>
    <w:p w14:paraId="646CFFBE" w14:textId="39398BCC" w:rsidR="00561903" w:rsidRPr="0043490A" w:rsidRDefault="00561903" w:rsidP="00274042">
      <w:pPr>
        <w:pStyle w:val="Prrafodelista"/>
        <w:tabs>
          <w:tab w:val="left" w:pos="567"/>
        </w:tabs>
        <w:ind w:left="142"/>
        <w:contextualSpacing w:val="0"/>
      </w:pPr>
      <w:r w:rsidRPr="00033E65">
        <w:t>Se procede a revisar en el sistema SIGMA la cantidad de circulante final a febrero del Tribunal Contencioso Administrativo (contexto 1027) y se indica que existe un total de 7730 casos, de los cuales 4408 son asuntos denominados Conocimientos (</w:t>
      </w:r>
      <w:r w:rsidR="00CC2ACD" w:rsidRPr="00033E65">
        <w:t>posibles ordinarios</w:t>
      </w:r>
      <w:r w:rsidRPr="00033E65">
        <w:t xml:space="preserve"> en materia ambiental</w:t>
      </w:r>
      <w:r w:rsidR="00165E7B" w:rsidRPr="00033E65">
        <w:t xml:space="preserve"> pero que no existe una certeza del dato porque no se clasifican con esa especificidad</w:t>
      </w:r>
      <w:r w:rsidRPr="00033E65">
        <w:t xml:space="preserve">), dato muy diferente al indicado por el Coordinador Judicial. Es necesario conocer el dato real de los casos Ordinarios Especiales por Responsabilidad Ambiental para aproximar la carga de trabajo que le correspondería al Tribunal Agrario, lo cual a la fecha a nivel de sistema resulta una limitante, al tener que revisar mediante un muestreo de al menos los actuales 4408 expedientes ordinarios en materia ambiental actual que tiene en su circulante el Tribunal Contencioso, así como su fecha de entrada para conocer la tasa de llegada de estos asuntos de manera mensual. </w:t>
      </w:r>
      <w:r w:rsidR="00644F3D" w:rsidRPr="00033E65">
        <w:t xml:space="preserve"> </w:t>
      </w:r>
      <w:r w:rsidRPr="00033E65">
        <w:t>Únicamente se identifica la intervención de personas indígenas cuando participan en asociaciones u organizaciones; es decir, la cantidad de asuntos donde se participa como parte demandada o actora sin la representación de una asociación y/u organización presenta una limitante estadística en los sistemas actuales, para determinar la cantidad de asuntos Contenciosos Administrativos donde intervienen personas indígenas y así estimar la proyección de la demanda del proceso.</w:t>
      </w:r>
    </w:p>
    <w:p w14:paraId="449BF69D" w14:textId="77777777" w:rsidR="00561903" w:rsidRPr="00033E65" w:rsidRDefault="00561903" w:rsidP="00561903">
      <w:pPr>
        <w:pStyle w:val="Prrafodelista"/>
        <w:ind w:left="142"/>
        <w:contextualSpacing w:val="0"/>
      </w:pPr>
      <w:r w:rsidRPr="00033E65">
        <w:t xml:space="preserve">Por lo anterior se considera limitación proyectar la carga de trabajo que podría tener el Tribunal considerando este procedimiento los cuales son considerados prioritarios en su tramitación.  </w:t>
      </w:r>
    </w:p>
    <w:p w14:paraId="2E50AFAA" w14:textId="6E82C831" w:rsidR="00561903" w:rsidRPr="00033E65" w:rsidRDefault="00561903" w:rsidP="00561903">
      <w:pPr>
        <w:pStyle w:val="Prrafodelista"/>
        <w:ind w:left="142"/>
        <w:contextualSpacing w:val="0"/>
      </w:pPr>
      <w:r w:rsidRPr="00033E65">
        <w:t xml:space="preserve">En sesiones de trabajo realizadas en conjunto con el Equipo Gestor de la Comisión de la Jurisdicción Agraria </w:t>
      </w:r>
      <w:r w:rsidR="00A04D45" w:rsidRPr="00033E65">
        <w:t xml:space="preserve">en su momento </w:t>
      </w:r>
      <w:r w:rsidRPr="00033E65">
        <w:t xml:space="preserve">y en reuniones con el Magistrado Luis Guillermo Rivas Loáiciga, se vio la necesidad de generar un muestreo que permita exponer el impacto a nivel de competencias materiales que la Jurisdicción Agraria va a conocer, como son los casos Sucesorios y Cobratorios </w:t>
      </w:r>
      <w:r w:rsidRPr="00033E65">
        <w:rPr>
          <w:i/>
          <w:iCs/>
        </w:rPr>
        <w:t xml:space="preserve">(ver anexo </w:t>
      </w:r>
      <w:r w:rsidR="004A6F20" w:rsidRPr="00033E65">
        <w:rPr>
          <w:i/>
          <w:iCs/>
        </w:rPr>
        <w:t>16</w:t>
      </w:r>
      <w:r w:rsidRPr="00033E65">
        <w:rPr>
          <w:i/>
          <w:iCs/>
        </w:rPr>
        <w:t xml:space="preserve"> Minuta Reunión Comisión Agraria 20-11-2019)</w:t>
      </w:r>
      <w:r w:rsidRPr="00033E65">
        <w:t xml:space="preserve">. </w:t>
      </w:r>
    </w:p>
    <w:p w14:paraId="686FE34C" w14:textId="4DB51DD5" w:rsidR="00561903" w:rsidRPr="00033E65" w:rsidRDefault="00561903" w:rsidP="00561903">
      <w:pPr>
        <w:pStyle w:val="Prrafodelista"/>
        <w:ind w:left="142"/>
        <w:contextualSpacing w:val="0"/>
      </w:pPr>
      <w:r w:rsidRPr="00033E65">
        <w:t xml:space="preserve">En la reunión sostenida se trataron temas como el Muestreo de procesos Sucesorios y Cobratorios, Formatos Jurídicos, Indicadores de Gestión y definición de cuotas de trabajo para el personal juzgador. Como acuerdos se toma la reunión que sostendrán las Comisiones tanto la Civil como la Agraria en la emisión de criterios con respecto a las variables que se van a tomar en consideración para el análisis del inventario. Una vez definido los criterios, la Dirección de Planificación desarrollará una herramienta para realizar el muestreo. Se realiza por parte de la Dirección de Planificación el oficio 151-PLA-MI-2019, referente a los acuerdos tomados en la reunión del 20 de noviembre del año 2019 realizada con el Equipo Gestor en Materia Agraria </w:t>
      </w:r>
      <w:r w:rsidRPr="00033E65">
        <w:rPr>
          <w:i/>
          <w:iCs/>
        </w:rPr>
        <w:t xml:space="preserve">(ver anexo </w:t>
      </w:r>
      <w:r w:rsidR="004A6F20" w:rsidRPr="00033E65">
        <w:rPr>
          <w:i/>
          <w:iCs/>
        </w:rPr>
        <w:t>17</w:t>
      </w:r>
      <w:r w:rsidRPr="00033E65">
        <w:rPr>
          <w:i/>
          <w:iCs/>
        </w:rPr>
        <w:t xml:space="preserve"> Oficio 151-PLA-MI-2019, relacionados a los acuerdos tomados en la reunión del 20 de noviembre del año 2019 realizada con el Equipo Gestor en Materia Agraria), </w:t>
      </w:r>
      <w:r w:rsidRPr="00033E65">
        <w:t xml:space="preserve">equipo conformado por la Licda. Damaris Vargas, Dra. Vanessa Fisher y el Dr. Enrique Ulate, estos últimos integrados de acuerdo con la sesión de Corte Plena 39-2019 del 16 de septiembre artículo X, que literalmente indica: </w:t>
      </w:r>
    </w:p>
    <w:p w14:paraId="276FD2F2" w14:textId="7235289C" w:rsidR="00561903" w:rsidRPr="00033E65" w:rsidRDefault="00561903" w:rsidP="00561903">
      <w:pPr>
        <w:pStyle w:val="Prrafodelista"/>
        <w:ind w:right="616"/>
        <w:contextualSpacing w:val="0"/>
        <w:rPr>
          <w:i/>
          <w:iCs/>
        </w:rPr>
      </w:pPr>
      <w:r w:rsidRPr="00033E65">
        <w:rPr>
          <w:i/>
          <w:iCs/>
        </w:rPr>
        <w:t>“… 3. Aceptar la colaboración del juez del Tribunal Agrario Enrique Ulate Chacón, y la jueza del Juzgado Agrario del II Circuito Judicial de San José, Vanessa Fischer González, en la ejecución del Proyecto de Implementación de la Reforma Procesal Agraria, sin recursos adicionales, manteniendo sus funciones en los despachos a su cargo y conforme a la Metodología de la Administración por Proyectos aprobada por el Consejo Superior.  La propuesta de integración se trasladará a la Comisión de la Jurisdicción Agraria y Agroambiental y a la Dirección de Planificación para lo de su cargo…”</w:t>
      </w:r>
      <w:r w:rsidR="00624BB5" w:rsidRPr="00033E65">
        <w:rPr>
          <w:i/>
          <w:iCs/>
        </w:rPr>
        <w:t>.</w:t>
      </w:r>
      <w:r w:rsidRPr="00033E65">
        <w:rPr>
          <w:i/>
          <w:iCs/>
        </w:rPr>
        <w:t xml:space="preserve">  </w:t>
      </w:r>
    </w:p>
    <w:p w14:paraId="07FC5CD1" w14:textId="487F1DBF" w:rsidR="00561903" w:rsidRPr="00033E65" w:rsidRDefault="00561903" w:rsidP="00561903">
      <w:pPr>
        <w:pStyle w:val="Prrafodelista"/>
        <w:ind w:left="0"/>
        <w:contextualSpacing w:val="0"/>
      </w:pPr>
      <w:r w:rsidRPr="00033E65">
        <w:t xml:space="preserve">En el oficio mencionado se pone en conocimiento a la Comisión de la Jurisdicción Civil y a la Comisión de la Jurisdicción Agraria el 5 de febrero del 2020, al cual únicamente se refiere con observaciones la Comisión de la Jurisdicción Civil mediante oficio 0006-CJC-2020 </w:t>
      </w:r>
      <w:r w:rsidR="004A6F20" w:rsidRPr="00033E65">
        <w:rPr>
          <w:i/>
          <w:iCs/>
        </w:rPr>
        <w:t>(ver anexo 18</w:t>
      </w:r>
      <w:r w:rsidRPr="00033E65">
        <w:rPr>
          <w:i/>
          <w:iCs/>
        </w:rPr>
        <w:t xml:space="preserve"> Acuerdo de la Comisión de la Jurisdicción Civil – oficio 0006-CJC-2020)</w:t>
      </w:r>
      <w:r w:rsidRPr="00033E65">
        <w:t xml:space="preserve"> remitido el 13 de febrero del 2020. Posterior se remite por parte de la Dirección de Planificación el oficio 471-PLA-MI-2020 </w:t>
      </w:r>
      <w:r w:rsidR="004A6F20" w:rsidRPr="00033E65">
        <w:rPr>
          <w:i/>
          <w:iCs/>
        </w:rPr>
        <w:t>(ver anexo 19</w:t>
      </w:r>
      <w:r w:rsidRPr="00033E65">
        <w:rPr>
          <w:i/>
          <w:iCs/>
        </w:rPr>
        <w:t xml:space="preserve"> oficio 471-PLA-MI-2020)</w:t>
      </w:r>
      <w:r w:rsidRPr="00033E65">
        <w:t xml:space="preserve"> relacionado con el oficio 0006-CJC-2020 de la Comisión de la Jurisdicción Civil donde plantean su disconformidad al informe 151-PLA-MI-2020, referente a los acuerdos tomados en la reunión del 20 de noviembre del año 2019 realizada con el Equipo Gestor en Materia Agraria, el cual se envía el 19 de marzo del 2020 para conocimiento a la Comisión de la Jurisdicción Agraria y el Consejo Superior. </w:t>
      </w:r>
    </w:p>
    <w:p w14:paraId="77817BAA" w14:textId="422C0FBB" w:rsidR="00561903" w:rsidRPr="00033E65" w:rsidRDefault="00561903" w:rsidP="00561903">
      <w:r w:rsidRPr="00033E65">
        <w:t>Lo indicado en dichos oficios, establece como limitante que, debido a que la Comisión de la Jurisdicción Civil no est</w:t>
      </w:r>
      <w:r w:rsidR="00D1219C" w:rsidRPr="00033E65">
        <w:t>aba</w:t>
      </w:r>
      <w:r w:rsidRPr="00033E65">
        <w:t xml:space="preserve"> de acuerdo con el planteamiento realizado por el Equipo Gestor de la materia Agraria y al no contar con elementos sistemáticos para determinar una cantidad específica de los procesos Sucesorios con bienes de naturaleza agrícola en materia Civil y los Cobratorios con garantías Agrarias, entre otros tipos de procesos, que formarán parte de los nuevos asuntos que ingresarán a los Juzgados Agrarios, y no disponer de claridad en los criterios jurídicos, que permitirán ajustar la herramienta a las necesidades reales, surge la limitante técnica de poder determinar el impacto a nivel de competencias materiales en la Jurisdicción Agraria; es decir, información mínima requerida para realizar las proyecciones de demanda en la jurisdicción Agraria producto de la entrada en vigencia del Código Agrario, esto con fines de la formulación presupuestaria para el 2021. </w:t>
      </w:r>
    </w:p>
    <w:p w14:paraId="3D721C5F" w14:textId="77777777" w:rsidR="00561903" w:rsidRPr="00033E65" w:rsidRDefault="00561903" w:rsidP="00561903">
      <w:r w:rsidRPr="00033E65">
        <w:t xml:space="preserve">Otra limitante que impacta a este informe a nivel de competencias territoriales es que los Juzgados Agrarios de Santa Cruz y Puntarenas, no se incorpora el dato del lugar de procedencia de los procesos en los sistemas informáticos, esto para fines de este análisis de competencia territorial según su carga de trabajo. Cabe indicar que la competencia territorial la determinará el lugar que se encuentra el inmueble en cuestión, tal como lo indica el artículo 21 del nuevo Código Procesal Agrario, que literalmente se menciona lo siguiente: </w:t>
      </w:r>
    </w:p>
    <w:p w14:paraId="5DB74CD7" w14:textId="77777777" w:rsidR="00561903" w:rsidRPr="00033E65" w:rsidRDefault="00561903" w:rsidP="00561903">
      <w:pPr>
        <w:autoSpaceDE w:val="0"/>
        <w:autoSpaceDN w:val="0"/>
        <w:adjustRightInd w:val="0"/>
        <w:ind w:left="709" w:right="758"/>
        <w:rPr>
          <w:rFonts w:cs="ArialMT"/>
          <w:i/>
          <w:iCs/>
        </w:rPr>
      </w:pPr>
      <w:r w:rsidRPr="00033E65">
        <w:rPr>
          <w:rFonts w:cs="ArialMT"/>
          <w:i/>
          <w:iCs/>
        </w:rPr>
        <w:t>“…Artículo 21- Criterios para determinar la competencia territorial</w:t>
      </w:r>
    </w:p>
    <w:p w14:paraId="5C0BB643" w14:textId="7C63DCE2" w:rsidR="00561903" w:rsidRPr="00033E65" w:rsidRDefault="00561903" w:rsidP="00561903">
      <w:pPr>
        <w:autoSpaceDE w:val="0"/>
        <w:autoSpaceDN w:val="0"/>
        <w:adjustRightInd w:val="0"/>
        <w:ind w:left="709" w:right="758"/>
        <w:rPr>
          <w:rFonts w:cs="ArialMT"/>
          <w:i/>
          <w:iCs/>
        </w:rPr>
      </w:pPr>
      <w:r w:rsidRPr="00033E65">
        <w:rPr>
          <w:rFonts w:cs="ArialMT"/>
          <w:i/>
          <w:iCs/>
        </w:rPr>
        <w:t>La competencia territorial se determinará por el lugar donde se localice el inmueble objeto de las pretensiones o de las cuestiones preliminares y, en su caso, donde se desarrolle la actividad o los hechos en litigio…”</w:t>
      </w:r>
      <w:r w:rsidR="00624BB5" w:rsidRPr="00033E65">
        <w:rPr>
          <w:rFonts w:cs="ArialMT"/>
          <w:i/>
          <w:iCs/>
        </w:rPr>
        <w:t>.</w:t>
      </w:r>
    </w:p>
    <w:p w14:paraId="485C003B" w14:textId="77777777" w:rsidR="00561903" w:rsidRPr="00033E65" w:rsidRDefault="00561903" w:rsidP="00561903">
      <w:pPr>
        <w:rPr>
          <w:lang w:eastAsia="en-US"/>
        </w:rPr>
      </w:pPr>
      <w:r w:rsidRPr="00033E65">
        <w:rPr>
          <w:lang w:eastAsia="en-US"/>
        </w:rPr>
        <w:t xml:space="preserve">Ante esta situación, la Dirección de Planificación envía al Consejo Superior el Informe 816-PLA-MI-2020, del 1 de junio del 2020, relacionado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 De acuerdo con el acta 6556-2020, el informe fue conocido en sesión 64-2020 del Consejo Superior celebrada el 23 de junio del 2020, donde se acordó lo siguiente: </w:t>
      </w:r>
    </w:p>
    <w:p w14:paraId="0C81B3C0" w14:textId="1E1DBFD1" w:rsidR="00561903" w:rsidRPr="00033E65" w:rsidRDefault="00561903" w:rsidP="00561903">
      <w:pPr>
        <w:ind w:left="709" w:right="333"/>
        <w:rPr>
          <w:i/>
          <w:iCs/>
          <w:lang w:eastAsia="en-US"/>
        </w:rPr>
      </w:pPr>
      <w:r w:rsidRPr="00033E65">
        <w:rPr>
          <w:i/>
          <w:iCs/>
          <w:lang w:eastAsia="en-US"/>
        </w:rPr>
        <w:t>“… 1.) Tener por rendido el Informe N°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entrada en vigencia del nuevo Código Procesal Agrario.” 2.) Avalar las recomendaciones que fueron emitidas en este informe, por consiguiente se debe: a) Solicitar a la Sala 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sidR="00624BB5" w:rsidRPr="00033E65">
        <w:rPr>
          <w:i/>
          <w:iCs/>
          <w:lang w:eastAsia="en-US"/>
        </w:rPr>
        <w:t>.</w:t>
      </w:r>
    </w:p>
    <w:p w14:paraId="66D977D5" w14:textId="7760C698" w:rsidR="00561903" w:rsidRPr="00033E65" w:rsidRDefault="00561903" w:rsidP="00561903">
      <w:pPr>
        <w:rPr>
          <w:lang w:eastAsia="en-US"/>
        </w:rPr>
      </w:pPr>
      <w:r w:rsidRPr="00033E65">
        <w:rPr>
          <w:lang w:eastAsia="en-US"/>
        </w:rPr>
        <w:t>En el oficio 816-PLA-MI-2020</w:t>
      </w:r>
      <w:r w:rsidR="00D15F96" w:rsidRPr="00033E65">
        <w:rPr>
          <w:lang w:eastAsia="en-US"/>
        </w:rPr>
        <w:t xml:space="preserve"> </w:t>
      </w:r>
      <w:r w:rsidR="00D15F96" w:rsidRPr="00033E65">
        <w:rPr>
          <w:i/>
          <w:iCs/>
          <w:lang w:eastAsia="en-US"/>
        </w:rPr>
        <w:t xml:space="preserve">(ver anexo </w:t>
      </w:r>
      <w:r w:rsidR="004A6F20" w:rsidRPr="00033E65">
        <w:rPr>
          <w:i/>
          <w:iCs/>
          <w:lang w:eastAsia="en-US"/>
        </w:rPr>
        <w:t>20</w:t>
      </w:r>
      <w:r w:rsidR="006716C6" w:rsidRPr="00033E65">
        <w:rPr>
          <w:i/>
          <w:iCs/>
          <w:lang w:eastAsia="en-US"/>
        </w:rPr>
        <w:t>)</w:t>
      </w:r>
      <w:r w:rsidRPr="00033E65">
        <w:rPr>
          <w:lang w:eastAsia="en-US"/>
        </w:rPr>
        <w:t xml:space="preserve">, se pone en conocimiento al Consejo </w:t>
      </w:r>
      <w:r w:rsidR="00C4507B" w:rsidRPr="00033E65">
        <w:rPr>
          <w:lang w:eastAsia="en-US"/>
        </w:rPr>
        <w:t>Superior la</w:t>
      </w:r>
      <w:r w:rsidRPr="00033E65">
        <w:rPr>
          <w:lang w:eastAsia="en-US"/>
        </w:rPr>
        <w:t xml:space="preserve">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 Además, se pone de manifiesto la necesidad de que la Dirección de Tecnología de la Información de prioridad en implementar la mejora informática.</w:t>
      </w:r>
    </w:p>
    <w:p w14:paraId="3FD7113A" w14:textId="7976AA60" w:rsidR="00561903" w:rsidRPr="00033E65" w:rsidRDefault="00561903" w:rsidP="00561903">
      <w:pPr>
        <w:rPr>
          <w:lang w:eastAsia="en-US"/>
        </w:rPr>
      </w:pPr>
      <w:r w:rsidRPr="00033E65">
        <w:rPr>
          <w:lang w:eastAsia="en-US"/>
        </w:rPr>
        <w:t xml:space="preserve">Posterior, la Dirección de Planificación en atención al oficio 6556-20, el acuerdo tomado por el Consejo Superior en sesión celebrada el 23 de junio de 2020, artículo LI, el 26 de enero del 2021 remite el informe 104-PLA-ES-MI-2021 </w:t>
      </w:r>
      <w:r w:rsidR="004A6F20" w:rsidRPr="00033E65">
        <w:rPr>
          <w:i/>
          <w:iCs/>
          <w:lang w:eastAsia="en-US"/>
        </w:rPr>
        <w:t>(ver anexo 21</w:t>
      </w:r>
      <w:r w:rsidR="006716C6" w:rsidRPr="00033E65">
        <w:rPr>
          <w:i/>
          <w:iCs/>
          <w:lang w:eastAsia="en-US"/>
        </w:rPr>
        <w:t>)</w:t>
      </w:r>
      <w:r w:rsidR="006716C6" w:rsidRPr="00033E65">
        <w:rPr>
          <w:lang w:eastAsia="en-US"/>
        </w:rPr>
        <w:t xml:space="preserve"> </w:t>
      </w:r>
      <w:r w:rsidRPr="00033E65">
        <w:rPr>
          <w:lang w:eastAsia="en-US"/>
        </w:rPr>
        <w:t>suscrito por La Licda. Ana Ericka Rodríguez Araya, Jefa del Subproceso de Estadística e Ing. Jorge Fernando Rodríguez Salazar, Jefe a.i. de Subproceso de Modernización Institucional, relacionado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w:t>
      </w:r>
    </w:p>
    <w:p w14:paraId="38BCB8A9" w14:textId="1AB9399D" w:rsidR="00561903" w:rsidRPr="00033E65" w:rsidRDefault="00561903" w:rsidP="00561903">
      <w:pPr>
        <w:rPr>
          <w:lang w:eastAsia="en-US"/>
        </w:rPr>
      </w:pPr>
      <w:r w:rsidRPr="00033E65">
        <w:rPr>
          <w:lang w:eastAsia="en-US"/>
        </w:rPr>
        <w:t>Mediante el oficio 7484-2020 de la Secretaría General de la Corte, del 12 de agosto del 2020, artículo XLI, se conoció el oficio 1444-DTI-2020 de 29 de julio de 2020, donde establece que de acuerdo con el oficio 1434-DTI-2020 suscrito por la Máster Vivian Rímola Soto, Jefe</w:t>
      </w:r>
      <w:r w:rsidR="001D1871" w:rsidRPr="00033E65">
        <w:rPr>
          <w:lang w:eastAsia="en-US"/>
        </w:rPr>
        <w:t xml:space="preserve"> </w:t>
      </w:r>
      <w:r w:rsidRPr="00033E65">
        <w:rPr>
          <w:lang w:eastAsia="en-US"/>
        </w:rPr>
        <w:t>a.i. Subproceso Sistemas Jurisdiccionales, señala textualmente:</w:t>
      </w:r>
    </w:p>
    <w:p w14:paraId="3B04F606" w14:textId="77777777" w:rsidR="00561903" w:rsidRPr="00033E65" w:rsidRDefault="00561903" w:rsidP="00561903">
      <w:pPr>
        <w:ind w:left="709" w:right="333"/>
        <w:rPr>
          <w:i/>
          <w:iCs/>
          <w:lang w:eastAsia="en-US"/>
        </w:rPr>
      </w:pPr>
      <w:r w:rsidRPr="00033E65">
        <w:rPr>
          <w:i/>
          <w:iCs/>
          <w:lang w:eastAsia="en-US"/>
        </w:rPr>
        <w:t>“…Se informa que la mejora solicitada, por las cargas de trabajo y proyectos a cargo no es posible atender este año, pero se procederá a incluir dentro de la lista de mejoras para desarrollar en el nuevo sistema de gestión para materia civil y agrario, para ser analizada durante el año 2021.</w:t>
      </w:r>
    </w:p>
    <w:p w14:paraId="485F1AB9" w14:textId="7654762F" w:rsidR="00561903" w:rsidRPr="00033E65" w:rsidRDefault="00561903" w:rsidP="00561903">
      <w:pPr>
        <w:ind w:left="709" w:right="333"/>
        <w:rPr>
          <w:i/>
          <w:iCs/>
          <w:lang w:eastAsia="en-US"/>
        </w:rPr>
      </w:pPr>
      <w:r w:rsidRPr="00033E65">
        <w:rPr>
          <w:i/>
          <w:iCs/>
          <w:lang w:eastAsia="en-US"/>
        </w:rPr>
        <w:t>Luego de desarrollar la mejora, se podrán analizar y confeccionar posibles reportes o indicadores por la Unidad de Inteligencia de Negocios…”</w:t>
      </w:r>
      <w:r w:rsidR="00624BB5" w:rsidRPr="00033E65">
        <w:rPr>
          <w:i/>
          <w:iCs/>
          <w:lang w:eastAsia="en-US"/>
        </w:rPr>
        <w:t>.</w:t>
      </w:r>
    </w:p>
    <w:p w14:paraId="39A3ACC7" w14:textId="77777777" w:rsidR="00624BB5" w:rsidRPr="00033E65" w:rsidRDefault="00624BB5" w:rsidP="00561903">
      <w:pPr>
        <w:rPr>
          <w:rFonts w:eastAsia="Calibri"/>
          <w:lang w:eastAsia="en-US"/>
        </w:rPr>
      </w:pPr>
    </w:p>
    <w:p w14:paraId="0390FD2F" w14:textId="2146F14C" w:rsidR="00561903" w:rsidRPr="00033E65" w:rsidRDefault="00561903" w:rsidP="00561903">
      <w:pPr>
        <w:rPr>
          <w:rFonts w:eastAsia="Calibri"/>
          <w:lang w:eastAsia="en-US"/>
        </w:rPr>
      </w:pPr>
      <w:r w:rsidRPr="00033E65">
        <w:rPr>
          <w:rFonts w:eastAsia="Calibri"/>
          <w:lang w:eastAsia="en-US"/>
        </w:rPr>
        <w:t>Además, se acuerda:</w:t>
      </w:r>
    </w:p>
    <w:p w14:paraId="6C4D9C9C" w14:textId="77777777" w:rsidR="00561903" w:rsidRPr="00033E65" w:rsidRDefault="00561903" w:rsidP="00561903">
      <w:pPr>
        <w:ind w:left="709" w:right="333"/>
        <w:rPr>
          <w:i/>
          <w:iCs/>
          <w:lang w:eastAsia="en-US"/>
        </w:rPr>
      </w:pPr>
      <w:r w:rsidRPr="00033E65">
        <w:rPr>
          <w:i/>
          <w:iCs/>
          <w:lang w:eastAsia="en-US"/>
        </w:rPr>
        <w:t>“… 1.) Tener por rendido el oficio N° 1444-DTI-2020 de 29 de julio de 2020 de la licenciada Kattia Morales Navarro, Directora de Tecnología de Información, en el que trasladó el oficio 1434-DTI-2020, suscrito por la máster Vivian Rímola Soto, Jefa interina del Subproceso de Sistemas Jurisdiccionales. 2.) Tomar nota que la implementación de la mejora requerida se incluirá dentro de la lista de mejoras para desarrollar en el nuevo sistema de gestión para materia civil y agrario, para ser analizada durante el año 2021.</w:t>
      </w:r>
    </w:p>
    <w:p w14:paraId="1346F78E" w14:textId="072DE4C2" w:rsidR="00624BB5" w:rsidRPr="00554C4E" w:rsidRDefault="00561903" w:rsidP="00554C4E">
      <w:pPr>
        <w:ind w:left="709" w:right="333"/>
        <w:rPr>
          <w:i/>
          <w:iCs/>
          <w:lang w:eastAsia="en-US"/>
        </w:rPr>
      </w:pPr>
      <w:r w:rsidRPr="00033E65">
        <w:rPr>
          <w:i/>
          <w:iCs/>
          <w:lang w:eastAsia="en-US"/>
        </w:rPr>
        <w:tab/>
        <w:t>La Dirección de Planificación y la Dirección de Tecnología de la Información, tomarán nota para lo que corresponda…”</w:t>
      </w:r>
      <w:r w:rsidR="00624BB5" w:rsidRPr="00033E65">
        <w:rPr>
          <w:i/>
          <w:iCs/>
          <w:lang w:eastAsia="en-US"/>
        </w:rPr>
        <w:t>.</w:t>
      </w:r>
    </w:p>
    <w:p w14:paraId="128ACF8C" w14:textId="39C69B77" w:rsidR="00561903" w:rsidRPr="00033E65" w:rsidRDefault="00561903" w:rsidP="00561903">
      <w:pPr>
        <w:rPr>
          <w:lang w:eastAsia="en-US"/>
        </w:rPr>
      </w:pPr>
      <w:r w:rsidRPr="00033E65">
        <w:rPr>
          <w:lang w:eastAsia="en-US"/>
        </w:rPr>
        <w:t xml:space="preserve">Por lo anterior, al no contar con la mejora a nivel de los sistemas para determinar los solicitado, no se podrá realizar el muestreo para definir una posible proyección de carga de trabajo en los Juzgados Agrarios. </w:t>
      </w:r>
    </w:p>
    <w:p w14:paraId="31B4109A" w14:textId="28FBCB2E" w:rsidR="00CE6DE9" w:rsidRPr="00033E65" w:rsidRDefault="00CE6DE9" w:rsidP="00561903">
      <w:pPr>
        <w:rPr>
          <w:szCs w:val="22"/>
        </w:rPr>
      </w:pPr>
      <w:r w:rsidRPr="00033E65">
        <w:rPr>
          <w:lang w:eastAsia="en-US"/>
        </w:rPr>
        <w:t xml:space="preserve">Por otro lado, la gestoría del Proyecto de implementación del Proyecto del Código procesal Agrario, en su informe de Avance del Proyecto del 18 de diciembre del 2020 </w:t>
      </w:r>
      <w:r w:rsidR="00C11615" w:rsidRPr="00033E65">
        <w:rPr>
          <w:i/>
          <w:iCs/>
          <w:lang w:eastAsia="en-US"/>
        </w:rPr>
        <w:t>(ver anexo 2</w:t>
      </w:r>
      <w:r w:rsidR="009367DB" w:rsidRPr="00033E65">
        <w:rPr>
          <w:i/>
          <w:iCs/>
          <w:lang w:eastAsia="en-US"/>
        </w:rPr>
        <w:t>3</w:t>
      </w:r>
      <w:r w:rsidRPr="00033E65">
        <w:rPr>
          <w:i/>
          <w:iCs/>
          <w:lang w:eastAsia="en-US"/>
        </w:rPr>
        <w:t xml:space="preserve"> </w:t>
      </w:r>
      <w:r w:rsidRPr="00033E65">
        <w:rPr>
          <w:i/>
          <w:iCs/>
          <w:szCs w:val="22"/>
        </w:rPr>
        <w:t xml:space="preserve">Informe de Avance del Proyecto del 18 de diciembre del 2020, Comisión Agraria), </w:t>
      </w:r>
      <w:r w:rsidRPr="00033E65">
        <w:rPr>
          <w:szCs w:val="22"/>
        </w:rPr>
        <w:t xml:space="preserve">mencionan entre otros puntos: </w:t>
      </w:r>
    </w:p>
    <w:p w14:paraId="2B156E63" w14:textId="2FB404FB" w:rsidR="00CE6DE9" w:rsidRPr="00033E65" w:rsidRDefault="00CE6DE9" w:rsidP="00F91CFF">
      <w:pPr>
        <w:pStyle w:val="Prrafodelista"/>
        <w:numPr>
          <w:ilvl w:val="0"/>
          <w:numId w:val="12"/>
        </w:numPr>
        <w:ind w:left="714" w:hanging="357"/>
        <w:contextualSpacing w:val="0"/>
        <w:rPr>
          <w:lang w:eastAsia="en-US"/>
        </w:rPr>
      </w:pPr>
      <w:r w:rsidRPr="00033E65">
        <w:rPr>
          <w:lang w:eastAsia="en-US"/>
        </w:rPr>
        <w:t>El proyecto se está ejecutando con recursos ordinarios de la Institución, por lo que las oficinas administrativas colaboradoras, no tienen equipo especializado que se dedique a su ejecución, esto hace que las acciones que realizan sean un recargo en sus funciones.</w:t>
      </w:r>
    </w:p>
    <w:p w14:paraId="282FDED0" w14:textId="4F7AB603" w:rsidR="00CE6DE9" w:rsidRPr="00033E65" w:rsidRDefault="00CE6DE9" w:rsidP="00F91CFF">
      <w:pPr>
        <w:pStyle w:val="Prrafodelista"/>
        <w:numPr>
          <w:ilvl w:val="0"/>
          <w:numId w:val="12"/>
        </w:numPr>
        <w:ind w:left="714" w:hanging="357"/>
        <w:contextualSpacing w:val="0"/>
        <w:rPr>
          <w:lang w:eastAsia="en-US"/>
        </w:rPr>
      </w:pPr>
      <w:r w:rsidRPr="00033E65">
        <w:rPr>
          <w:lang w:eastAsia="en-US"/>
        </w:rPr>
        <w:t>Los problemas presupuestarios de la Institución, así como la falta de recurso humano hacen que no se puedan priorizar las tareas del proyecto o bien, se desarrolle con la rapidez y forma esperada.</w:t>
      </w:r>
    </w:p>
    <w:p w14:paraId="31A578A4" w14:textId="4989F9A0" w:rsidR="00CE6DE9" w:rsidRPr="00033E65" w:rsidRDefault="00CE6DE9" w:rsidP="00F91CFF">
      <w:pPr>
        <w:pStyle w:val="Prrafodelista"/>
        <w:numPr>
          <w:ilvl w:val="0"/>
          <w:numId w:val="12"/>
        </w:numPr>
        <w:ind w:left="714" w:hanging="357"/>
        <w:contextualSpacing w:val="0"/>
        <w:rPr>
          <w:lang w:eastAsia="en-US"/>
        </w:rPr>
      </w:pPr>
      <w:r w:rsidRPr="00033E65">
        <w:rPr>
          <w:lang w:eastAsia="en-US"/>
        </w:rPr>
        <w:t>El proyecto estuvo sin persona Coordinadora a su cargo por más de ocho meses, lo cual fue clave en su retraso, pues durante todo ese período no se pudo trabajar ni avanzar en la forma requerida, ya se ha podido nivelar en gran forma la labor de la Coordinadora a partir del momento que asumió el cargo.</w:t>
      </w:r>
    </w:p>
    <w:p w14:paraId="4D3A497D" w14:textId="08182A8A" w:rsidR="00CE6DE9" w:rsidRPr="00033E65" w:rsidRDefault="00CE6DE9" w:rsidP="00F91CFF">
      <w:pPr>
        <w:pStyle w:val="Prrafodelista"/>
        <w:numPr>
          <w:ilvl w:val="0"/>
          <w:numId w:val="12"/>
        </w:numPr>
        <w:ind w:left="714" w:hanging="357"/>
        <w:contextualSpacing w:val="0"/>
        <w:rPr>
          <w:lang w:eastAsia="en-US"/>
        </w:rPr>
      </w:pPr>
      <w:r w:rsidRPr="00033E65">
        <w:rPr>
          <w:lang w:eastAsia="en-US"/>
        </w:rPr>
        <w:t>Se ha requerido de una inversión de tiempo en aprendizaje y capacitación para poder ejecutar las labores propias de una coordinación en la forma que corresponde.</w:t>
      </w:r>
    </w:p>
    <w:p w14:paraId="7248EBD3" w14:textId="2482B8B4" w:rsidR="00220EFE" w:rsidRPr="00033E65" w:rsidRDefault="00554C4E" w:rsidP="00554C4E">
      <w:pPr>
        <w:pStyle w:val="Ttulo2"/>
        <w:numPr>
          <w:ilvl w:val="0"/>
          <w:numId w:val="0"/>
        </w:numPr>
      </w:pPr>
      <w:bookmarkStart w:id="211" w:name="_Toc132639561"/>
      <w:r>
        <w:t xml:space="preserve">12. </w:t>
      </w:r>
      <w:r w:rsidR="00220EFE" w:rsidRPr="00033E65">
        <w:t xml:space="preserve">Planes de Trabajo </w:t>
      </w:r>
      <w:r w:rsidR="007F0F1C" w:rsidRPr="00033E65">
        <w:t>Realizados</w:t>
      </w:r>
      <w:bookmarkEnd w:id="211"/>
    </w:p>
    <w:p w14:paraId="728BDFCE" w14:textId="13924081" w:rsidR="001D3AB7" w:rsidRPr="00033E65" w:rsidRDefault="005F3423" w:rsidP="0006292A">
      <w:pPr>
        <w:rPr>
          <w:lang w:val="es-MX"/>
        </w:rPr>
      </w:pPr>
      <w:r w:rsidRPr="00033E65">
        <w:rPr>
          <w:lang w:val="es-MX"/>
        </w:rPr>
        <w:t>De acuerdo con la información remitida por parte del Centro de Apoyo, Coordinación y Mejoramiento de la Función Jurisdiccional</w:t>
      </w:r>
      <w:r w:rsidR="007F6A0F" w:rsidRPr="00033E65">
        <w:rPr>
          <w:lang w:val="es-MX"/>
        </w:rPr>
        <w:t>,</w:t>
      </w:r>
      <w:r w:rsidR="00BE7791" w:rsidRPr="00033E65">
        <w:rPr>
          <w:lang w:val="es-MX"/>
        </w:rPr>
        <w:t xml:space="preserve"> se presentan los planes de trabajo ejecutados tanto en los Juzgados Agrarios y Tribunal Agrario </w:t>
      </w:r>
      <w:r w:rsidR="00FE0229" w:rsidRPr="00033E65">
        <w:rPr>
          <w:lang w:val="es-MX"/>
        </w:rPr>
        <w:t>en el año 202</w:t>
      </w:r>
      <w:r w:rsidR="00B94AD3" w:rsidRPr="00033E65">
        <w:rPr>
          <w:lang w:val="es-MX"/>
        </w:rPr>
        <w:t>2</w:t>
      </w:r>
      <w:r w:rsidR="00BE7791" w:rsidRPr="00033E65">
        <w:rPr>
          <w:lang w:val="es-MX"/>
        </w:rPr>
        <w:t xml:space="preserve">. </w:t>
      </w:r>
    </w:p>
    <w:p w14:paraId="7B15E03D" w14:textId="6B2AC96A" w:rsidR="001D3AB7" w:rsidRPr="00033E65" w:rsidRDefault="00554C4E" w:rsidP="00951D3E">
      <w:pPr>
        <w:pStyle w:val="Ttulo3"/>
      </w:pPr>
      <w:bookmarkStart w:id="212" w:name="_Toc132639562"/>
      <w:r>
        <w:t>12</w:t>
      </w:r>
      <w:r w:rsidR="003161F5" w:rsidRPr="00033E65">
        <w:t xml:space="preserve">.1 </w:t>
      </w:r>
      <w:r w:rsidR="001D3AB7" w:rsidRPr="00033E65">
        <w:t>Planes de Trabajos para el Descongestionamiento en los Juzgados Agrarios</w:t>
      </w:r>
      <w:bookmarkEnd w:id="212"/>
      <w:r w:rsidR="001D3AB7" w:rsidRPr="00033E65">
        <w:t xml:space="preserve"> </w:t>
      </w:r>
    </w:p>
    <w:p w14:paraId="2AF5CD9A" w14:textId="2AD2C207" w:rsidR="00335B0D" w:rsidRPr="00033E65" w:rsidRDefault="00335B0D" w:rsidP="00335B0D">
      <w:pPr>
        <w:rPr>
          <w:lang w:val="es-MX"/>
        </w:rPr>
      </w:pPr>
      <w:r w:rsidRPr="00033E65">
        <w:rPr>
          <w:lang w:val="es-MX"/>
        </w:rPr>
        <w:t>De conformidad con los acuerdos del Consejo Superior tomados en sesiones 23-2022 del 15 de marzo de 2022, artículo XXXIX, 74-2022 del 30 de agosto de 2022, artículo LXXIX, 85-2022 del 29 de septiembre de 2022, artículo LIII y 102-2022 del 22 de noviembre de 2022, artículo XLIII, se aprobaron planes de descongestionamiento en la materia agraria para el año 2022.</w:t>
      </w:r>
    </w:p>
    <w:p w14:paraId="679955C0" w14:textId="637DE9A8" w:rsidR="00805330" w:rsidRPr="00033E65" w:rsidRDefault="00335B0D" w:rsidP="00335B0D">
      <w:pPr>
        <w:rPr>
          <w:lang w:val="es-MX"/>
        </w:rPr>
      </w:pPr>
      <w:r w:rsidRPr="00033E65">
        <w:rPr>
          <w:lang w:val="es-MX"/>
        </w:rPr>
        <w:t>A continuación, se detallan los resultados obtenidos en los planes de descongestionamiento ejecutados</w:t>
      </w:r>
      <w:r w:rsidR="00805330" w:rsidRPr="00033E65">
        <w:rPr>
          <w:lang w:val="es-MX"/>
        </w:rPr>
        <w:t>:</w:t>
      </w:r>
    </w:p>
    <w:p w14:paraId="7F51F6B7" w14:textId="1212DDBA" w:rsidR="00805330" w:rsidRPr="00033E65" w:rsidRDefault="00805330" w:rsidP="00805330">
      <w:pPr>
        <w:spacing w:after="0"/>
        <w:rPr>
          <w:b/>
          <w:color w:val="244061" w:themeColor="accent1" w:themeShade="80"/>
          <w:szCs w:val="22"/>
          <w:lang w:val="es-MX"/>
        </w:rPr>
      </w:pPr>
      <w:r w:rsidRPr="00033E65">
        <w:rPr>
          <w:b/>
          <w:color w:val="244061" w:themeColor="accent1" w:themeShade="80"/>
          <w:szCs w:val="22"/>
          <w:lang w:val="es-MX"/>
        </w:rPr>
        <w:t>Juzgado Agrario del I Circuito Judicial de la Zona Atlántica (Limón)</w:t>
      </w:r>
    </w:p>
    <w:p w14:paraId="77AE1D6A" w14:textId="05EA30F6" w:rsidR="00805330" w:rsidRPr="00033E65" w:rsidRDefault="00805330" w:rsidP="00805330">
      <w:pPr>
        <w:spacing w:after="0"/>
        <w:rPr>
          <w:szCs w:val="22"/>
          <w:lang w:val="es-MX"/>
        </w:rPr>
      </w:pPr>
      <w:r w:rsidRPr="00033E65">
        <w:rPr>
          <w:szCs w:val="22"/>
          <w:lang w:val="es-MX"/>
        </w:rPr>
        <w:t>En este despacho se aplicaron permisos con goce de salario a dos plazas de persona juzgadora 3, específicamente a los puestos N°57164 y 102241, durante el periodo de setiembre a diciembre de 2022 para atender el fallo de asuntos.  En el siguiente cuadro se muestra el detalle de la cantidad de resoluciones dictadas por ambas personas juzgadora</w:t>
      </w:r>
      <w:r w:rsidR="000C553D" w:rsidRPr="00033E65">
        <w:rPr>
          <w:szCs w:val="22"/>
          <w:lang w:val="es-MX"/>
        </w:rPr>
        <w:t>s.</w:t>
      </w:r>
    </w:p>
    <w:p w14:paraId="6F8DA8B7" w14:textId="77777777" w:rsidR="00805330" w:rsidRPr="00033E65" w:rsidRDefault="00805330" w:rsidP="004154D7">
      <w:pPr>
        <w:pStyle w:val="Ttulo"/>
        <w:spacing w:before="0" w:after="0" w:line="240" w:lineRule="auto"/>
        <w:rPr>
          <w:rFonts w:eastAsia="Times New Roman" w:cs="Arial"/>
          <w:iCs/>
          <w:spacing w:val="0"/>
          <w:sz w:val="22"/>
          <w:szCs w:val="22"/>
          <w:lang w:val="es-CR" w:eastAsia="es-ES"/>
        </w:rPr>
      </w:pPr>
    </w:p>
    <w:p w14:paraId="288E7522" w14:textId="77777777" w:rsidR="00805330" w:rsidRPr="00033E65" w:rsidRDefault="00805330" w:rsidP="00805330">
      <w:pPr>
        <w:pStyle w:val="Ttulo"/>
        <w:spacing w:before="0" w:after="0" w:line="240" w:lineRule="auto"/>
        <w:ind w:left="720"/>
        <w:jc w:val="center"/>
        <w:rPr>
          <w:rFonts w:eastAsia="Times New Roman" w:cs="Arial"/>
          <w:iCs/>
          <w:spacing w:val="0"/>
          <w:sz w:val="22"/>
          <w:szCs w:val="22"/>
          <w:lang w:val="es-CR" w:eastAsia="es-ES"/>
        </w:rPr>
      </w:pPr>
    </w:p>
    <w:p w14:paraId="7C306E8B" w14:textId="3B643EB0" w:rsidR="00805330" w:rsidRPr="00033E65" w:rsidRDefault="00805330" w:rsidP="00805330">
      <w:pPr>
        <w:pStyle w:val="Ttulo"/>
        <w:spacing w:before="0" w:after="0" w:line="240" w:lineRule="auto"/>
        <w:ind w:left="720"/>
        <w:jc w:val="center"/>
        <w:rPr>
          <w:rFonts w:eastAsia="Times New Roman" w:cs="Arial"/>
          <w:iCs/>
          <w:spacing w:val="0"/>
          <w:sz w:val="22"/>
          <w:szCs w:val="22"/>
          <w:lang w:val="es-CR" w:eastAsia="es-ES"/>
        </w:rPr>
      </w:pPr>
      <w:r w:rsidRPr="00033E65">
        <w:rPr>
          <w:rFonts w:eastAsia="Times New Roman" w:cs="Arial"/>
          <w:iCs/>
          <w:spacing w:val="0"/>
          <w:sz w:val="22"/>
          <w:szCs w:val="22"/>
          <w:lang w:val="es-CR" w:eastAsia="es-ES"/>
        </w:rPr>
        <w:t>Cuadro</w:t>
      </w:r>
      <w:r w:rsidR="00376462" w:rsidRPr="00033E65">
        <w:rPr>
          <w:rFonts w:eastAsia="Times New Roman" w:cs="Arial"/>
          <w:iCs/>
          <w:spacing w:val="0"/>
          <w:sz w:val="22"/>
          <w:szCs w:val="22"/>
          <w:lang w:val="es-CR" w:eastAsia="es-ES"/>
        </w:rPr>
        <w:t xml:space="preserve"> 18</w:t>
      </w:r>
    </w:p>
    <w:p w14:paraId="690DB87D" w14:textId="77777777" w:rsidR="00805330" w:rsidRPr="00033E65" w:rsidRDefault="00805330" w:rsidP="00805330">
      <w:pPr>
        <w:pStyle w:val="Ttulo"/>
        <w:spacing w:before="0" w:after="0" w:line="240" w:lineRule="auto"/>
        <w:ind w:left="284" w:hanging="142"/>
        <w:jc w:val="center"/>
        <w:rPr>
          <w:rFonts w:eastAsia="Times New Roman" w:cs="Arial"/>
          <w:iCs/>
          <w:spacing w:val="0"/>
          <w:sz w:val="22"/>
          <w:szCs w:val="22"/>
          <w:lang w:val="es-CR" w:eastAsia="es-ES"/>
        </w:rPr>
      </w:pPr>
      <w:r w:rsidRPr="00033E65">
        <w:rPr>
          <w:rFonts w:eastAsia="Times New Roman" w:cs="Arial"/>
          <w:iCs/>
          <w:spacing w:val="0"/>
          <w:sz w:val="22"/>
          <w:szCs w:val="22"/>
          <w:lang w:val="es-CR" w:eastAsia="es-ES"/>
        </w:rPr>
        <w:t>Resoluciones Dictadas en el Plan de Descongestionamiento Ejecutado en el Juzgado Agrario del I Circuito Judicial de la Zona Atlántica (Limón)</w:t>
      </w:r>
    </w:p>
    <w:tbl>
      <w:tblPr>
        <w:tblpPr w:leftFromText="141" w:rightFromText="141" w:vertAnchor="text" w:tblpXSpec="center" w:tblpY="47"/>
        <w:tblW w:w="7230"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60"/>
        <w:gridCol w:w="433"/>
        <w:gridCol w:w="483"/>
        <w:gridCol w:w="568"/>
        <w:gridCol w:w="1386"/>
      </w:tblGrid>
      <w:tr w:rsidR="00805330" w:rsidRPr="00033E65" w14:paraId="4129DE31" w14:textId="77777777" w:rsidTr="0060735A">
        <w:trPr>
          <w:trHeight w:val="580"/>
        </w:trPr>
        <w:tc>
          <w:tcPr>
            <w:tcW w:w="4360" w:type="dxa"/>
            <w:shd w:val="clear" w:color="000000" w:fill="305496"/>
            <w:vAlign w:val="center"/>
            <w:hideMark/>
          </w:tcPr>
          <w:p w14:paraId="4E6B8620" w14:textId="77777777" w:rsidR="00805330" w:rsidRPr="00033E65" w:rsidRDefault="00805330" w:rsidP="0060735A">
            <w:pPr>
              <w:spacing w:before="0" w:after="0"/>
              <w:jc w:val="center"/>
              <w:rPr>
                <w:rFonts w:cs="Calibri"/>
                <w:color w:val="FFFFFF"/>
                <w:szCs w:val="22"/>
                <w:lang w:eastAsia="es-CR"/>
              </w:rPr>
            </w:pPr>
            <w:r w:rsidRPr="00033E65">
              <w:rPr>
                <w:rFonts w:cs="Calibri"/>
                <w:color w:val="FFFFFF"/>
                <w:szCs w:val="22"/>
                <w:lang w:eastAsia="es-CR"/>
              </w:rPr>
              <w:t>Despacho</w:t>
            </w:r>
          </w:p>
        </w:tc>
        <w:tc>
          <w:tcPr>
            <w:tcW w:w="433" w:type="dxa"/>
            <w:shd w:val="clear" w:color="000000" w:fill="305496"/>
            <w:vAlign w:val="center"/>
            <w:hideMark/>
          </w:tcPr>
          <w:p w14:paraId="0E0556FD" w14:textId="77777777" w:rsidR="00805330" w:rsidRPr="00033E65" w:rsidRDefault="00805330" w:rsidP="0060735A">
            <w:pPr>
              <w:spacing w:before="0" w:after="0"/>
              <w:jc w:val="center"/>
              <w:rPr>
                <w:rFonts w:cs="Calibri"/>
                <w:color w:val="FFFFFF"/>
                <w:szCs w:val="22"/>
                <w:lang w:eastAsia="es-CR"/>
              </w:rPr>
            </w:pPr>
            <w:r w:rsidRPr="00033E65">
              <w:rPr>
                <w:rFonts w:cs="Calibri"/>
                <w:color w:val="FFFFFF"/>
                <w:szCs w:val="22"/>
                <w:lang w:eastAsia="es-CR"/>
              </w:rPr>
              <w:t>Set</w:t>
            </w:r>
          </w:p>
        </w:tc>
        <w:tc>
          <w:tcPr>
            <w:tcW w:w="483" w:type="dxa"/>
            <w:shd w:val="clear" w:color="000000" w:fill="305496"/>
            <w:vAlign w:val="center"/>
            <w:hideMark/>
          </w:tcPr>
          <w:p w14:paraId="7DE6E7D2" w14:textId="77777777" w:rsidR="00805330" w:rsidRPr="00033E65" w:rsidRDefault="00805330" w:rsidP="0060735A">
            <w:pPr>
              <w:spacing w:before="0" w:after="0"/>
              <w:jc w:val="center"/>
              <w:rPr>
                <w:rFonts w:cs="Calibri"/>
                <w:color w:val="FFFFFF"/>
                <w:szCs w:val="22"/>
                <w:lang w:eastAsia="es-CR"/>
              </w:rPr>
            </w:pPr>
            <w:r w:rsidRPr="00033E65">
              <w:rPr>
                <w:rFonts w:cs="Calibri"/>
                <w:color w:val="FFFFFF"/>
                <w:szCs w:val="22"/>
                <w:lang w:eastAsia="es-CR"/>
              </w:rPr>
              <w:t>Oct</w:t>
            </w:r>
          </w:p>
        </w:tc>
        <w:tc>
          <w:tcPr>
            <w:tcW w:w="568" w:type="dxa"/>
            <w:shd w:val="clear" w:color="000000" w:fill="305496"/>
            <w:vAlign w:val="center"/>
            <w:hideMark/>
          </w:tcPr>
          <w:p w14:paraId="1E58612C" w14:textId="77777777" w:rsidR="00805330" w:rsidRPr="00033E65" w:rsidRDefault="00805330" w:rsidP="0060735A">
            <w:pPr>
              <w:spacing w:before="0" w:after="0"/>
              <w:jc w:val="center"/>
              <w:rPr>
                <w:rFonts w:cs="Calibri"/>
                <w:color w:val="FFFFFF"/>
                <w:szCs w:val="22"/>
                <w:lang w:eastAsia="es-CR"/>
              </w:rPr>
            </w:pPr>
            <w:r w:rsidRPr="00033E65">
              <w:rPr>
                <w:rFonts w:cs="Calibri"/>
                <w:color w:val="FFFFFF"/>
                <w:szCs w:val="22"/>
                <w:lang w:eastAsia="es-CR"/>
              </w:rPr>
              <w:t>Nov</w:t>
            </w:r>
          </w:p>
        </w:tc>
        <w:tc>
          <w:tcPr>
            <w:tcW w:w="1386" w:type="dxa"/>
            <w:shd w:val="clear" w:color="000000" w:fill="375623"/>
            <w:vAlign w:val="center"/>
            <w:hideMark/>
          </w:tcPr>
          <w:p w14:paraId="3F948E74" w14:textId="77777777" w:rsidR="00805330" w:rsidRPr="00033E65" w:rsidRDefault="00805330" w:rsidP="0060735A">
            <w:pPr>
              <w:spacing w:before="0" w:after="0"/>
              <w:jc w:val="center"/>
              <w:rPr>
                <w:rFonts w:cs="Calibri"/>
                <w:color w:val="FFFFFF"/>
                <w:szCs w:val="22"/>
                <w:lang w:eastAsia="es-CR"/>
              </w:rPr>
            </w:pPr>
            <w:r w:rsidRPr="00033E65">
              <w:rPr>
                <w:rFonts w:cs="Calibri"/>
                <w:color w:val="FFFFFF"/>
                <w:szCs w:val="22"/>
                <w:lang w:eastAsia="es-CR"/>
              </w:rPr>
              <w:t xml:space="preserve">Total, de resoluciones dictadas </w:t>
            </w:r>
          </w:p>
        </w:tc>
      </w:tr>
      <w:tr w:rsidR="00805330" w:rsidRPr="00033E65" w14:paraId="7D21D2EE" w14:textId="77777777" w:rsidTr="0060735A">
        <w:trPr>
          <w:trHeight w:val="794"/>
        </w:trPr>
        <w:tc>
          <w:tcPr>
            <w:tcW w:w="4360" w:type="dxa"/>
            <w:shd w:val="clear" w:color="auto" w:fill="auto"/>
            <w:vAlign w:val="center"/>
            <w:hideMark/>
          </w:tcPr>
          <w:p w14:paraId="7E3DE6C6" w14:textId="77777777" w:rsidR="00805330" w:rsidRPr="00033E65" w:rsidRDefault="00805330" w:rsidP="0060735A">
            <w:pPr>
              <w:spacing w:before="0" w:after="0"/>
              <w:jc w:val="left"/>
              <w:rPr>
                <w:rFonts w:cs="Calibri"/>
                <w:color w:val="000000"/>
                <w:szCs w:val="22"/>
                <w:lang w:eastAsia="es-CR"/>
              </w:rPr>
            </w:pPr>
            <w:r w:rsidRPr="00033E65">
              <w:rPr>
                <w:rFonts w:cs="Calibri"/>
                <w:color w:val="000000"/>
                <w:szCs w:val="22"/>
                <w:lang w:eastAsia="es-CR"/>
              </w:rPr>
              <w:t>Juzgado Agrario I Circuito Judicial de la Zona Atlántica (Limón)</w:t>
            </w:r>
          </w:p>
        </w:tc>
        <w:tc>
          <w:tcPr>
            <w:tcW w:w="433" w:type="dxa"/>
            <w:shd w:val="clear" w:color="auto" w:fill="auto"/>
            <w:vAlign w:val="center"/>
            <w:hideMark/>
          </w:tcPr>
          <w:p w14:paraId="27CB2621" w14:textId="77777777" w:rsidR="00805330" w:rsidRPr="00033E65" w:rsidRDefault="00805330" w:rsidP="0060735A">
            <w:pPr>
              <w:spacing w:before="0" w:after="0"/>
              <w:jc w:val="center"/>
              <w:rPr>
                <w:rFonts w:cs="Calibri"/>
                <w:color w:val="000000"/>
                <w:szCs w:val="22"/>
                <w:lang w:eastAsia="es-CR"/>
              </w:rPr>
            </w:pPr>
            <w:r w:rsidRPr="00033E65">
              <w:rPr>
                <w:rFonts w:cs="Calibri"/>
                <w:color w:val="000000"/>
                <w:szCs w:val="22"/>
                <w:lang w:eastAsia="es-CR"/>
              </w:rPr>
              <w:t> 24</w:t>
            </w:r>
          </w:p>
        </w:tc>
        <w:tc>
          <w:tcPr>
            <w:tcW w:w="483" w:type="dxa"/>
            <w:shd w:val="clear" w:color="auto" w:fill="auto"/>
            <w:vAlign w:val="center"/>
            <w:hideMark/>
          </w:tcPr>
          <w:p w14:paraId="37827E8E" w14:textId="77777777" w:rsidR="00805330" w:rsidRPr="00033E65" w:rsidRDefault="00805330" w:rsidP="0060735A">
            <w:pPr>
              <w:spacing w:before="0" w:after="0"/>
              <w:jc w:val="center"/>
              <w:rPr>
                <w:rFonts w:cs="Calibri"/>
                <w:color w:val="000000"/>
                <w:szCs w:val="22"/>
                <w:lang w:eastAsia="es-CR"/>
              </w:rPr>
            </w:pPr>
            <w:r w:rsidRPr="00033E65">
              <w:rPr>
                <w:rFonts w:cs="Calibri"/>
                <w:color w:val="000000"/>
                <w:szCs w:val="22"/>
                <w:lang w:eastAsia="es-CR"/>
              </w:rPr>
              <w:t>25 </w:t>
            </w:r>
          </w:p>
        </w:tc>
        <w:tc>
          <w:tcPr>
            <w:tcW w:w="568" w:type="dxa"/>
            <w:shd w:val="clear" w:color="auto" w:fill="auto"/>
            <w:vAlign w:val="center"/>
            <w:hideMark/>
          </w:tcPr>
          <w:p w14:paraId="243DDAC4" w14:textId="77777777" w:rsidR="00805330" w:rsidRPr="00033E65" w:rsidRDefault="00805330" w:rsidP="0060735A">
            <w:pPr>
              <w:spacing w:before="0" w:after="0"/>
              <w:jc w:val="center"/>
              <w:rPr>
                <w:rFonts w:cs="Calibri"/>
                <w:color w:val="000000"/>
                <w:szCs w:val="22"/>
                <w:lang w:eastAsia="es-CR"/>
              </w:rPr>
            </w:pPr>
            <w:r w:rsidRPr="00033E65">
              <w:rPr>
                <w:rFonts w:cs="Calibri"/>
                <w:color w:val="000000"/>
                <w:szCs w:val="22"/>
                <w:lang w:eastAsia="es-CR"/>
              </w:rPr>
              <w:t>25 </w:t>
            </w:r>
          </w:p>
        </w:tc>
        <w:tc>
          <w:tcPr>
            <w:tcW w:w="1386" w:type="dxa"/>
            <w:shd w:val="clear" w:color="auto" w:fill="auto"/>
            <w:vAlign w:val="center"/>
            <w:hideMark/>
          </w:tcPr>
          <w:p w14:paraId="73FE481F" w14:textId="77777777" w:rsidR="00805330" w:rsidRPr="00033E65" w:rsidRDefault="00805330" w:rsidP="0060735A">
            <w:pPr>
              <w:spacing w:before="0" w:after="0"/>
              <w:jc w:val="center"/>
              <w:rPr>
                <w:rFonts w:cs="Calibri"/>
                <w:b/>
                <w:bCs/>
                <w:color w:val="375623"/>
                <w:szCs w:val="22"/>
                <w:lang w:eastAsia="es-CR"/>
              </w:rPr>
            </w:pPr>
            <w:r w:rsidRPr="00033E65">
              <w:rPr>
                <w:rFonts w:cs="Calibri"/>
                <w:b/>
                <w:bCs/>
                <w:color w:val="375623"/>
                <w:szCs w:val="22"/>
                <w:lang w:eastAsia="es-CR"/>
              </w:rPr>
              <w:t>74</w:t>
            </w:r>
          </w:p>
        </w:tc>
      </w:tr>
      <w:tr w:rsidR="00805330" w:rsidRPr="00033E65" w14:paraId="0D6F6B84" w14:textId="77777777" w:rsidTr="0060735A">
        <w:trPr>
          <w:trHeight w:val="70"/>
        </w:trPr>
        <w:tc>
          <w:tcPr>
            <w:tcW w:w="4360" w:type="dxa"/>
            <w:shd w:val="clear" w:color="000000" w:fill="D9E1F2"/>
            <w:vAlign w:val="center"/>
            <w:hideMark/>
          </w:tcPr>
          <w:p w14:paraId="15A5F677" w14:textId="77777777" w:rsidR="00805330" w:rsidRPr="00033E65" w:rsidRDefault="00805330" w:rsidP="0060735A">
            <w:pPr>
              <w:spacing w:before="0" w:after="0"/>
              <w:jc w:val="left"/>
              <w:rPr>
                <w:rFonts w:cs="Calibri"/>
                <w:color w:val="000000"/>
                <w:szCs w:val="22"/>
                <w:lang w:eastAsia="es-CR"/>
              </w:rPr>
            </w:pPr>
            <w:r w:rsidRPr="00033E65">
              <w:rPr>
                <w:rFonts w:cs="Calibri"/>
                <w:color w:val="000000"/>
                <w:szCs w:val="22"/>
                <w:lang w:eastAsia="es-CR"/>
              </w:rPr>
              <w:t>Total, por mes</w:t>
            </w:r>
          </w:p>
        </w:tc>
        <w:tc>
          <w:tcPr>
            <w:tcW w:w="433" w:type="dxa"/>
            <w:shd w:val="clear" w:color="000000" w:fill="D9E1F2"/>
            <w:vAlign w:val="center"/>
            <w:hideMark/>
          </w:tcPr>
          <w:p w14:paraId="1AECEC67" w14:textId="77777777" w:rsidR="00805330" w:rsidRPr="00033E65" w:rsidRDefault="00805330" w:rsidP="0060735A">
            <w:pPr>
              <w:spacing w:before="0" w:after="0"/>
              <w:jc w:val="center"/>
              <w:rPr>
                <w:rFonts w:cs="Calibri"/>
                <w:b/>
                <w:bCs/>
                <w:color w:val="203764"/>
                <w:szCs w:val="22"/>
                <w:lang w:eastAsia="es-CR"/>
              </w:rPr>
            </w:pPr>
            <w:r w:rsidRPr="00033E65">
              <w:rPr>
                <w:rFonts w:cs="Calibri"/>
                <w:b/>
                <w:bCs/>
                <w:color w:val="203764"/>
                <w:szCs w:val="22"/>
                <w:lang w:eastAsia="es-CR"/>
              </w:rPr>
              <w:t>24</w:t>
            </w:r>
          </w:p>
        </w:tc>
        <w:tc>
          <w:tcPr>
            <w:tcW w:w="483" w:type="dxa"/>
            <w:shd w:val="clear" w:color="000000" w:fill="D9E1F2"/>
            <w:vAlign w:val="center"/>
            <w:hideMark/>
          </w:tcPr>
          <w:p w14:paraId="0E35F59A" w14:textId="77777777" w:rsidR="00805330" w:rsidRPr="00033E65" w:rsidRDefault="00805330" w:rsidP="0060735A">
            <w:pPr>
              <w:spacing w:before="0" w:after="0"/>
              <w:jc w:val="center"/>
              <w:rPr>
                <w:rFonts w:cs="Calibri"/>
                <w:b/>
                <w:bCs/>
                <w:color w:val="203764"/>
                <w:szCs w:val="22"/>
                <w:lang w:eastAsia="es-CR"/>
              </w:rPr>
            </w:pPr>
            <w:r w:rsidRPr="00033E65">
              <w:rPr>
                <w:rFonts w:cs="Calibri"/>
                <w:b/>
                <w:bCs/>
                <w:color w:val="203764"/>
                <w:szCs w:val="22"/>
                <w:lang w:eastAsia="es-CR"/>
              </w:rPr>
              <w:t>25</w:t>
            </w:r>
          </w:p>
        </w:tc>
        <w:tc>
          <w:tcPr>
            <w:tcW w:w="568" w:type="dxa"/>
            <w:shd w:val="clear" w:color="000000" w:fill="D9E1F2"/>
            <w:vAlign w:val="center"/>
            <w:hideMark/>
          </w:tcPr>
          <w:p w14:paraId="471BC1AD" w14:textId="77777777" w:rsidR="00805330" w:rsidRPr="00033E65" w:rsidRDefault="00805330" w:rsidP="0060735A">
            <w:pPr>
              <w:spacing w:before="0" w:after="0"/>
              <w:jc w:val="center"/>
              <w:rPr>
                <w:rFonts w:cs="Calibri"/>
                <w:b/>
                <w:bCs/>
                <w:color w:val="203764"/>
                <w:szCs w:val="22"/>
                <w:lang w:eastAsia="es-CR"/>
              </w:rPr>
            </w:pPr>
            <w:r w:rsidRPr="00033E65">
              <w:rPr>
                <w:rFonts w:cs="Calibri"/>
                <w:b/>
                <w:bCs/>
                <w:color w:val="203764"/>
                <w:szCs w:val="22"/>
                <w:lang w:eastAsia="es-CR"/>
              </w:rPr>
              <w:t>25</w:t>
            </w:r>
          </w:p>
        </w:tc>
        <w:tc>
          <w:tcPr>
            <w:tcW w:w="1386" w:type="dxa"/>
            <w:shd w:val="clear" w:color="000000" w:fill="D9E1F2"/>
            <w:vAlign w:val="center"/>
            <w:hideMark/>
          </w:tcPr>
          <w:p w14:paraId="0EE1F48D" w14:textId="77777777" w:rsidR="00805330" w:rsidRPr="00033E65" w:rsidRDefault="00805330" w:rsidP="0060735A">
            <w:pPr>
              <w:spacing w:before="0" w:after="0"/>
              <w:jc w:val="center"/>
              <w:rPr>
                <w:rFonts w:cs="Calibri"/>
                <w:b/>
                <w:bCs/>
                <w:color w:val="203764"/>
                <w:szCs w:val="22"/>
                <w:lang w:eastAsia="es-CR"/>
              </w:rPr>
            </w:pPr>
            <w:r w:rsidRPr="00033E65">
              <w:rPr>
                <w:rFonts w:cs="Calibri"/>
                <w:b/>
                <w:bCs/>
                <w:color w:val="203764"/>
                <w:szCs w:val="22"/>
                <w:lang w:eastAsia="es-CR"/>
              </w:rPr>
              <w:t>74</w:t>
            </w:r>
          </w:p>
        </w:tc>
      </w:tr>
    </w:tbl>
    <w:p w14:paraId="067C5377" w14:textId="4E3E2DB9" w:rsidR="00805330" w:rsidRPr="00033E65" w:rsidRDefault="00805330" w:rsidP="00805330">
      <w:pPr>
        <w:tabs>
          <w:tab w:val="left" w:pos="7797"/>
        </w:tabs>
        <w:spacing w:after="0"/>
        <w:ind w:left="851" w:right="1041"/>
        <w:rPr>
          <w:rFonts w:cs="Calibri"/>
          <w:iCs/>
          <w:sz w:val="20"/>
          <w:lang w:eastAsia="es-CR"/>
        </w:rPr>
      </w:pPr>
      <w:r w:rsidRPr="00033E65">
        <w:rPr>
          <w:rFonts w:cs="Calibri"/>
          <w:iCs/>
          <w:sz w:val="20"/>
          <w:lang w:eastAsia="es-CR"/>
        </w:rPr>
        <w:t>Fuente: Informe de labores de las personas juzgadoras que asumieron plan de descongestionamiento.</w:t>
      </w:r>
      <w:r w:rsidR="005F3423" w:rsidRPr="00033E65">
        <w:rPr>
          <w:rFonts w:cs="Calibri"/>
          <w:iCs/>
          <w:sz w:val="20"/>
          <w:lang w:eastAsia="es-CR"/>
        </w:rPr>
        <w:t xml:space="preserve"> CACMFJ</w:t>
      </w:r>
    </w:p>
    <w:p w14:paraId="6A9AABA8" w14:textId="77777777" w:rsidR="00805330" w:rsidRPr="00033E65" w:rsidRDefault="00805330" w:rsidP="00805330">
      <w:pPr>
        <w:tabs>
          <w:tab w:val="left" w:pos="7797"/>
        </w:tabs>
        <w:spacing w:after="0"/>
        <w:ind w:left="284" w:right="1041"/>
        <w:rPr>
          <w:rFonts w:cs="Calibri"/>
          <w:iCs/>
          <w:sz w:val="20"/>
          <w:lang w:eastAsia="es-CR"/>
        </w:rPr>
      </w:pPr>
    </w:p>
    <w:p w14:paraId="3C0ABDBA" w14:textId="247A1407" w:rsidR="00805330" w:rsidRDefault="00805330" w:rsidP="004F391E">
      <w:pPr>
        <w:spacing w:after="0"/>
        <w:rPr>
          <w:szCs w:val="22"/>
          <w:lang w:val="es-MX"/>
        </w:rPr>
      </w:pPr>
      <w:r w:rsidRPr="00033E65">
        <w:rPr>
          <w:szCs w:val="22"/>
          <w:lang w:val="es-MX"/>
        </w:rPr>
        <w:t>Conforme se desprende del acuerdo anterior, se dictaron un total de 74 resoluciones durante la ejecución del plan de descongestionamiento.</w:t>
      </w:r>
    </w:p>
    <w:p w14:paraId="7A5F21FD" w14:textId="77777777" w:rsidR="004F391E" w:rsidRPr="004F391E" w:rsidRDefault="004F391E" w:rsidP="004F391E">
      <w:pPr>
        <w:spacing w:before="0" w:after="0"/>
        <w:rPr>
          <w:szCs w:val="22"/>
          <w:lang w:val="es-MX"/>
        </w:rPr>
      </w:pPr>
    </w:p>
    <w:p w14:paraId="398B893A" w14:textId="77777777" w:rsidR="002B70A7" w:rsidRPr="00033E65" w:rsidRDefault="002B70A7" w:rsidP="002B70A7">
      <w:pPr>
        <w:spacing w:after="0"/>
        <w:rPr>
          <w:szCs w:val="22"/>
          <w:lang w:val="es-MX"/>
        </w:rPr>
      </w:pPr>
      <w:r w:rsidRPr="00033E65">
        <w:rPr>
          <w:szCs w:val="22"/>
          <w:lang w:val="es-MX"/>
        </w:rPr>
        <w:t xml:space="preserve">El CACMFJ, mediante oficio N°414-CACM-JEF-2022 comunicó al Consejo Superior la renuncia al plan de descongestionamiento de la Licda. Heilin Rojas Madrigal, a partir del 01 de diciembre de 2022, la cual fue conocida en sesión </w:t>
      </w:r>
      <w:r w:rsidRPr="00033E65">
        <w:rPr>
          <w:bCs/>
          <w:iCs/>
          <w:lang w:val="es-ES_tradnl"/>
        </w:rPr>
        <w:t xml:space="preserve">N°108-2022 del 8 de diciembre de 2022, artículo LII. Posteriormente, en </w:t>
      </w:r>
      <w:r w:rsidRPr="00033E65">
        <w:rPr>
          <w:szCs w:val="22"/>
          <w:lang w:val="es-MX"/>
        </w:rPr>
        <w:t xml:space="preserve">oficio 432-CACM-JEF-2022 el CACMFJ comunicó al órgano superior la renuncia al plan del Lic. Edgar Calvo Solano a partir del 07 de diciembre de 2022, la cual fue conocida por el Consejo Superior en sesión </w:t>
      </w:r>
      <w:r w:rsidRPr="00033E65">
        <w:rPr>
          <w:bCs/>
          <w:iCs/>
          <w:lang w:val="es-ES_tradnl"/>
        </w:rPr>
        <w:t xml:space="preserve">N°1-2023 del 10 de enero de 2023, artículo XXVIII, lo que provocó la suspensión del plan para el mes de diciembre de 2022. </w:t>
      </w:r>
    </w:p>
    <w:p w14:paraId="391C4F89" w14:textId="77777777" w:rsidR="002B70A7" w:rsidRPr="00033E65" w:rsidRDefault="002B70A7" w:rsidP="002B70A7">
      <w:pPr>
        <w:pStyle w:val="Prrafodelista"/>
        <w:spacing w:after="0"/>
        <w:rPr>
          <w:szCs w:val="22"/>
          <w:lang w:val="es-MX"/>
        </w:rPr>
      </w:pPr>
    </w:p>
    <w:p w14:paraId="0E240FF7" w14:textId="77777777" w:rsidR="002B70A7" w:rsidRPr="00033E65" w:rsidRDefault="002B70A7" w:rsidP="004154D7">
      <w:pPr>
        <w:spacing w:after="0"/>
        <w:rPr>
          <w:b/>
          <w:color w:val="244061" w:themeColor="accent1" w:themeShade="80"/>
          <w:szCs w:val="22"/>
          <w:lang w:val="es-MX"/>
        </w:rPr>
      </w:pPr>
      <w:r w:rsidRPr="00033E65">
        <w:rPr>
          <w:b/>
          <w:color w:val="244061" w:themeColor="accent1" w:themeShade="80"/>
          <w:szCs w:val="22"/>
          <w:lang w:val="es-MX"/>
        </w:rPr>
        <w:t xml:space="preserve">Juzgado Civil, Laboral y Familia de Buenos Aires   </w:t>
      </w:r>
    </w:p>
    <w:p w14:paraId="18853E5D" w14:textId="77777777" w:rsidR="002B70A7" w:rsidRPr="00033E65" w:rsidRDefault="002B70A7" w:rsidP="002B70A7">
      <w:pPr>
        <w:spacing w:after="0"/>
        <w:rPr>
          <w:szCs w:val="22"/>
          <w:lang w:val="es-MX"/>
        </w:rPr>
      </w:pPr>
      <w:r w:rsidRPr="00033E65">
        <w:rPr>
          <w:szCs w:val="22"/>
          <w:lang w:val="es-MX"/>
        </w:rPr>
        <w:t>En este juzgado se ejecutaron permisos con goce de salario a dos plazas de técnico judicial 2, puestos N° 359263 y 372021. Lo anterior, de setiembre a diciembre de 2022 para el trámite de asuntos en todas las materias. En el siguiente cuadro se muestra el detalle de la cantidad de asuntos tramitados por las personas técnicas judiciales que asumieron el plan.</w:t>
      </w:r>
    </w:p>
    <w:p w14:paraId="6705B9A8" w14:textId="77777777" w:rsidR="002B70A7" w:rsidRPr="00033E65" w:rsidRDefault="002B70A7" w:rsidP="004154D7">
      <w:pPr>
        <w:pStyle w:val="Ttulo"/>
        <w:spacing w:before="0" w:after="0" w:line="240" w:lineRule="auto"/>
        <w:rPr>
          <w:rFonts w:eastAsia="Times New Roman" w:cs="Arial"/>
          <w:iCs/>
          <w:spacing w:val="0"/>
          <w:sz w:val="22"/>
          <w:szCs w:val="22"/>
          <w:lang w:val="es-CR" w:eastAsia="es-ES"/>
        </w:rPr>
      </w:pPr>
    </w:p>
    <w:p w14:paraId="61B03D5E" w14:textId="77777777" w:rsidR="002B70A7" w:rsidRPr="00033E65" w:rsidRDefault="002B70A7" w:rsidP="002B70A7">
      <w:pPr>
        <w:pStyle w:val="Ttulo"/>
        <w:spacing w:before="0" w:after="0" w:line="240" w:lineRule="auto"/>
        <w:ind w:left="284" w:hanging="284"/>
        <w:jc w:val="center"/>
        <w:rPr>
          <w:rFonts w:eastAsia="Times New Roman" w:cs="Arial"/>
          <w:iCs/>
          <w:spacing w:val="0"/>
          <w:sz w:val="22"/>
          <w:szCs w:val="22"/>
          <w:lang w:val="es-CR" w:eastAsia="es-ES"/>
        </w:rPr>
      </w:pPr>
    </w:p>
    <w:p w14:paraId="412F2919" w14:textId="1D91F359" w:rsidR="002B70A7" w:rsidRPr="00033E65" w:rsidRDefault="002B70A7" w:rsidP="002B70A7">
      <w:pPr>
        <w:pStyle w:val="Ttulo"/>
        <w:spacing w:before="0" w:after="0" w:line="240" w:lineRule="auto"/>
        <w:ind w:left="284" w:hanging="284"/>
        <w:jc w:val="center"/>
        <w:rPr>
          <w:rFonts w:eastAsia="Times New Roman" w:cs="Arial"/>
          <w:iCs/>
          <w:spacing w:val="0"/>
          <w:sz w:val="22"/>
          <w:szCs w:val="22"/>
          <w:lang w:val="es-CR" w:eastAsia="es-ES"/>
        </w:rPr>
      </w:pPr>
      <w:r w:rsidRPr="00033E65">
        <w:rPr>
          <w:rFonts w:eastAsia="Times New Roman" w:cs="Arial"/>
          <w:iCs/>
          <w:spacing w:val="0"/>
          <w:sz w:val="22"/>
          <w:szCs w:val="22"/>
          <w:lang w:val="es-CR" w:eastAsia="es-ES"/>
        </w:rPr>
        <w:t xml:space="preserve">Cuadro </w:t>
      </w:r>
      <w:r w:rsidR="001C6CBF" w:rsidRPr="00033E65">
        <w:rPr>
          <w:rFonts w:eastAsia="Times New Roman" w:cs="Arial"/>
          <w:iCs/>
          <w:spacing w:val="0"/>
          <w:sz w:val="22"/>
          <w:szCs w:val="22"/>
          <w:lang w:val="es-CR" w:eastAsia="es-ES"/>
        </w:rPr>
        <w:t>19</w:t>
      </w:r>
    </w:p>
    <w:p w14:paraId="494877C7" w14:textId="77777777" w:rsidR="002B70A7" w:rsidRPr="00033E65" w:rsidRDefault="002B70A7" w:rsidP="002B70A7">
      <w:pPr>
        <w:pStyle w:val="Ttulo"/>
        <w:spacing w:before="0" w:after="0" w:line="240" w:lineRule="auto"/>
        <w:ind w:left="284" w:hanging="284"/>
        <w:jc w:val="center"/>
        <w:rPr>
          <w:rFonts w:eastAsia="Times New Roman" w:cs="Arial"/>
          <w:iCs/>
          <w:spacing w:val="0"/>
          <w:sz w:val="22"/>
          <w:szCs w:val="22"/>
          <w:lang w:val="es-CR" w:eastAsia="es-ES"/>
        </w:rPr>
      </w:pPr>
      <w:r w:rsidRPr="00033E65">
        <w:rPr>
          <w:rFonts w:eastAsia="Times New Roman" w:cs="Arial"/>
          <w:iCs/>
          <w:spacing w:val="0"/>
          <w:sz w:val="22"/>
          <w:szCs w:val="22"/>
          <w:lang w:val="es-CR" w:eastAsia="es-ES"/>
        </w:rPr>
        <w:t xml:space="preserve">Asuntos Tramitados en el Plan de Descongestionamiento Ejecutado en el Juzgado Civil, </w:t>
      </w:r>
    </w:p>
    <w:p w14:paraId="213CBC23" w14:textId="401CD2D5" w:rsidR="002B70A7" w:rsidRPr="00033E65" w:rsidRDefault="002B70A7" w:rsidP="001C6CBF">
      <w:pPr>
        <w:pStyle w:val="Ttulo"/>
        <w:spacing w:before="0" w:after="0" w:line="240" w:lineRule="auto"/>
        <w:ind w:left="284" w:hanging="284"/>
        <w:jc w:val="center"/>
        <w:rPr>
          <w:rFonts w:eastAsia="Times New Roman" w:cs="Arial"/>
          <w:iCs/>
          <w:spacing w:val="0"/>
          <w:sz w:val="22"/>
          <w:szCs w:val="22"/>
          <w:lang w:val="es-CR" w:eastAsia="es-ES"/>
        </w:rPr>
      </w:pPr>
      <w:r w:rsidRPr="00033E65">
        <w:rPr>
          <w:rFonts w:eastAsia="Times New Roman" w:cs="Arial"/>
          <w:iCs/>
          <w:spacing w:val="0"/>
          <w:sz w:val="22"/>
          <w:szCs w:val="22"/>
          <w:lang w:val="es-CR" w:eastAsia="es-ES"/>
        </w:rPr>
        <w:t xml:space="preserve">Laboral y Familia de Buenos Aires </w:t>
      </w:r>
    </w:p>
    <w:tbl>
      <w:tblPr>
        <w:tblW w:w="8080" w:type="dxa"/>
        <w:jc w:val="center"/>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75"/>
        <w:gridCol w:w="525"/>
        <w:gridCol w:w="525"/>
        <w:gridCol w:w="568"/>
        <w:gridCol w:w="608"/>
        <w:gridCol w:w="1779"/>
      </w:tblGrid>
      <w:tr w:rsidR="002B70A7" w:rsidRPr="00033E65" w14:paraId="6619323B" w14:textId="77777777" w:rsidTr="0060735A">
        <w:trPr>
          <w:trHeight w:val="580"/>
          <w:jc w:val="center"/>
        </w:trPr>
        <w:tc>
          <w:tcPr>
            <w:tcW w:w="4075" w:type="dxa"/>
            <w:shd w:val="clear" w:color="000000" w:fill="305496"/>
            <w:vAlign w:val="center"/>
            <w:hideMark/>
          </w:tcPr>
          <w:p w14:paraId="320A60A9" w14:textId="77777777" w:rsidR="002B70A7" w:rsidRPr="00033E65" w:rsidRDefault="002B70A7" w:rsidP="0060735A">
            <w:pPr>
              <w:spacing w:before="0" w:after="0"/>
              <w:jc w:val="left"/>
              <w:rPr>
                <w:rFonts w:cs="Calibri"/>
                <w:color w:val="FFFFFF"/>
                <w:szCs w:val="22"/>
                <w:lang w:eastAsia="es-CR"/>
              </w:rPr>
            </w:pPr>
            <w:r w:rsidRPr="00033E65">
              <w:rPr>
                <w:rFonts w:cs="Calibri"/>
                <w:color w:val="FFFFFF"/>
                <w:szCs w:val="22"/>
                <w:lang w:eastAsia="es-CR"/>
              </w:rPr>
              <w:t>Despacho</w:t>
            </w:r>
          </w:p>
        </w:tc>
        <w:tc>
          <w:tcPr>
            <w:tcW w:w="525" w:type="dxa"/>
            <w:shd w:val="clear" w:color="000000" w:fill="305496"/>
            <w:vAlign w:val="center"/>
            <w:hideMark/>
          </w:tcPr>
          <w:p w14:paraId="532AF3FB"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Set</w:t>
            </w:r>
          </w:p>
        </w:tc>
        <w:tc>
          <w:tcPr>
            <w:tcW w:w="525" w:type="dxa"/>
            <w:shd w:val="clear" w:color="000000" w:fill="305496"/>
            <w:vAlign w:val="center"/>
            <w:hideMark/>
          </w:tcPr>
          <w:p w14:paraId="31DED40D"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Oct</w:t>
            </w:r>
          </w:p>
        </w:tc>
        <w:tc>
          <w:tcPr>
            <w:tcW w:w="568" w:type="dxa"/>
            <w:shd w:val="clear" w:color="000000" w:fill="305496"/>
            <w:vAlign w:val="center"/>
            <w:hideMark/>
          </w:tcPr>
          <w:p w14:paraId="4C79D7D4"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Nov</w:t>
            </w:r>
          </w:p>
        </w:tc>
        <w:tc>
          <w:tcPr>
            <w:tcW w:w="608" w:type="dxa"/>
            <w:shd w:val="clear" w:color="000000" w:fill="305496"/>
            <w:vAlign w:val="center"/>
            <w:hideMark/>
          </w:tcPr>
          <w:p w14:paraId="7959C970"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Dic</w:t>
            </w:r>
          </w:p>
        </w:tc>
        <w:tc>
          <w:tcPr>
            <w:tcW w:w="1779" w:type="dxa"/>
            <w:shd w:val="clear" w:color="000000" w:fill="375623"/>
            <w:vAlign w:val="center"/>
            <w:hideMark/>
          </w:tcPr>
          <w:p w14:paraId="0491BD56"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Total de asuntos tramitados</w:t>
            </w:r>
          </w:p>
        </w:tc>
      </w:tr>
      <w:tr w:rsidR="002B70A7" w:rsidRPr="00033E65" w14:paraId="184770DD" w14:textId="77777777" w:rsidTr="0060735A">
        <w:trPr>
          <w:trHeight w:val="607"/>
          <w:jc w:val="center"/>
        </w:trPr>
        <w:tc>
          <w:tcPr>
            <w:tcW w:w="4075" w:type="dxa"/>
            <w:shd w:val="clear" w:color="auto" w:fill="auto"/>
            <w:vAlign w:val="center"/>
            <w:hideMark/>
          </w:tcPr>
          <w:p w14:paraId="6FA8DECB" w14:textId="77777777" w:rsidR="002B70A7" w:rsidRPr="00033E65" w:rsidRDefault="002B70A7" w:rsidP="0060735A">
            <w:pPr>
              <w:spacing w:before="0" w:after="0"/>
              <w:jc w:val="left"/>
              <w:rPr>
                <w:rFonts w:cs="Calibri"/>
                <w:color w:val="000000"/>
                <w:szCs w:val="22"/>
                <w:lang w:eastAsia="es-CR"/>
              </w:rPr>
            </w:pPr>
            <w:r w:rsidRPr="00033E65">
              <w:rPr>
                <w:rFonts w:cs="Calibri"/>
                <w:color w:val="000000"/>
                <w:szCs w:val="22"/>
                <w:lang w:eastAsia="es-CR"/>
              </w:rPr>
              <w:t>Juzgado Civil, laboral y Familia de Buenos Aires</w:t>
            </w:r>
          </w:p>
        </w:tc>
        <w:tc>
          <w:tcPr>
            <w:tcW w:w="525" w:type="dxa"/>
            <w:shd w:val="clear" w:color="auto" w:fill="auto"/>
            <w:vAlign w:val="center"/>
            <w:hideMark/>
          </w:tcPr>
          <w:p w14:paraId="3C77F806"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439 </w:t>
            </w:r>
          </w:p>
        </w:tc>
        <w:tc>
          <w:tcPr>
            <w:tcW w:w="525" w:type="dxa"/>
            <w:shd w:val="clear" w:color="auto" w:fill="auto"/>
            <w:vAlign w:val="center"/>
            <w:hideMark/>
          </w:tcPr>
          <w:p w14:paraId="6172D5C5"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322 </w:t>
            </w:r>
          </w:p>
        </w:tc>
        <w:tc>
          <w:tcPr>
            <w:tcW w:w="568" w:type="dxa"/>
            <w:shd w:val="clear" w:color="auto" w:fill="auto"/>
            <w:vAlign w:val="center"/>
            <w:hideMark/>
          </w:tcPr>
          <w:p w14:paraId="0D7FCD5F"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391</w:t>
            </w:r>
          </w:p>
        </w:tc>
        <w:tc>
          <w:tcPr>
            <w:tcW w:w="608" w:type="dxa"/>
            <w:shd w:val="clear" w:color="auto" w:fill="auto"/>
            <w:vAlign w:val="center"/>
            <w:hideMark/>
          </w:tcPr>
          <w:p w14:paraId="7AF67114"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170 </w:t>
            </w:r>
          </w:p>
        </w:tc>
        <w:tc>
          <w:tcPr>
            <w:tcW w:w="1779" w:type="dxa"/>
            <w:shd w:val="clear" w:color="auto" w:fill="auto"/>
            <w:vAlign w:val="center"/>
            <w:hideMark/>
          </w:tcPr>
          <w:p w14:paraId="5B5CF59D" w14:textId="77777777" w:rsidR="002B70A7" w:rsidRPr="00033E65" w:rsidRDefault="002B70A7" w:rsidP="0060735A">
            <w:pPr>
              <w:spacing w:before="0" w:after="0"/>
              <w:jc w:val="center"/>
              <w:rPr>
                <w:rFonts w:cs="Calibri"/>
                <w:b/>
                <w:bCs/>
                <w:color w:val="375623"/>
                <w:szCs w:val="22"/>
                <w:lang w:eastAsia="es-CR"/>
              </w:rPr>
            </w:pPr>
            <w:r w:rsidRPr="00033E65">
              <w:rPr>
                <w:rFonts w:cs="Calibri"/>
                <w:b/>
                <w:bCs/>
                <w:color w:val="375623"/>
                <w:szCs w:val="22"/>
                <w:lang w:eastAsia="es-CR"/>
              </w:rPr>
              <w:t>1322</w:t>
            </w:r>
          </w:p>
        </w:tc>
      </w:tr>
    </w:tbl>
    <w:p w14:paraId="1CF7D9DE" w14:textId="77777777" w:rsidR="002B70A7" w:rsidRPr="00033E65" w:rsidRDefault="002B70A7" w:rsidP="002B70A7">
      <w:pPr>
        <w:spacing w:after="0"/>
        <w:ind w:left="426" w:right="1183"/>
        <w:rPr>
          <w:i/>
          <w:sz w:val="20"/>
        </w:rPr>
      </w:pPr>
      <w:r w:rsidRPr="00033E65">
        <w:rPr>
          <w:rFonts w:cs="Calibri"/>
          <w:i/>
          <w:sz w:val="20"/>
          <w:lang w:eastAsia="es-CR"/>
        </w:rPr>
        <w:t>Fuente: Informe de labores de las personas técnicas judiciales que asumieron el plan de descongestionamiento</w:t>
      </w:r>
    </w:p>
    <w:p w14:paraId="6B6DDE21" w14:textId="77777777" w:rsidR="002B70A7" w:rsidRPr="00033E65" w:rsidRDefault="002B70A7" w:rsidP="002B70A7">
      <w:pPr>
        <w:pStyle w:val="Prrafodelista"/>
        <w:spacing w:after="0"/>
        <w:rPr>
          <w:szCs w:val="22"/>
          <w:lang w:val="es-MX"/>
        </w:rPr>
      </w:pPr>
    </w:p>
    <w:p w14:paraId="70EF98F0" w14:textId="77777777" w:rsidR="002B70A7" w:rsidRPr="00033E65" w:rsidRDefault="002B70A7">
      <w:pPr>
        <w:pStyle w:val="Prrafodelista"/>
        <w:numPr>
          <w:ilvl w:val="0"/>
          <w:numId w:val="40"/>
        </w:numPr>
        <w:rPr>
          <w:i/>
          <w:iCs/>
          <w:szCs w:val="22"/>
          <w:lang w:val="es-MX"/>
        </w:rPr>
      </w:pPr>
      <w:r w:rsidRPr="00033E65">
        <w:rPr>
          <w:szCs w:val="22"/>
          <w:lang w:val="es-MX"/>
        </w:rPr>
        <w:t>Se tramitaron un total de 1322 asuntos en los cuatro meses que se ejecutó el plan.</w:t>
      </w:r>
    </w:p>
    <w:p w14:paraId="32CB2041" w14:textId="77777777" w:rsidR="002B70A7" w:rsidRPr="00033E65" w:rsidRDefault="002B70A7">
      <w:pPr>
        <w:pStyle w:val="Prrafodelista"/>
        <w:numPr>
          <w:ilvl w:val="0"/>
          <w:numId w:val="40"/>
        </w:numPr>
        <w:rPr>
          <w:i/>
          <w:iCs/>
          <w:szCs w:val="22"/>
          <w:lang w:val="es-MX"/>
        </w:rPr>
      </w:pPr>
      <w:r w:rsidRPr="00033E65">
        <w:rPr>
          <w:szCs w:val="22"/>
          <w:lang w:val="es-MX"/>
        </w:rPr>
        <w:t>El mes en el que se tramitaron más asuntos fue en setiembre con 439 trámites, seguido de noviembre con 391.</w:t>
      </w:r>
    </w:p>
    <w:p w14:paraId="48E21A1F" w14:textId="49E1B01D" w:rsidR="009D3791" w:rsidRPr="00033E65" w:rsidRDefault="009D3791">
      <w:pPr>
        <w:pStyle w:val="Prrafodelista"/>
        <w:numPr>
          <w:ilvl w:val="0"/>
          <w:numId w:val="40"/>
        </w:numPr>
        <w:rPr>
          <w:i/>
          <w:iCs/>
          <w:szCs w:val="22"/>
          <w:lang w:val="es-MX"/>
        </w:rPr>
      </w:pPr>
      <w:r w:rsidRPr="00033E65">
        <w:rPr>
          <w:szCs w:val="22"/>
          <w:lang w:val="es-MX"/>
        </w:rPr>
        <w:t xml:space="preserve">Se destaca que este personal </w:t>
      </w:r>
      <w:r w:rsidR="00AE18D7" w:rsidRPr="00033E65">
        <w:rPr>
          <w:szCs w:val="22"/>
          <w:lang w:val="es-MX"/>
        </w:rPr>
        <w:t xml:space="preserve">técnico </w:t>
      </w:r>
      <w:r w:rsidRPr="00033E65">
        <w:rPr>
          <w:szCs w:val="22"/>
          <w:lang w:val="es-MX"/>
        </w:rPr>
        <w:t>de apoyo dentro de su trámite colaboró</w:t>
      </w:r>
      <w:r w:rsidR="005C7A6F" w:rsidRPr="00033E65">
        <w:rPr>
          <w:szCs w:val="22"/>
          <w:lang w:val="es-MX"/>
        </w:rPr>
        <w:t xml:space="preserve"> con </w:t>
      </w:r>
      <w:r w:rsidR="00AE18D7" w:rsidRPr="00033E65">
        <w:rPr>
          <w:szCs w:val="22"/>
          <w:lang w:val="es-MX"/>
        </w:rPr>
        <w:t>la atención de asuntos</w:t>
      </w:r>
      <w:r w:rsidR="005C7A6F" w:rsidRPr="00033E65">
        <w:rPr>
          <w:szCs w:val="22"/>
          <w:lang w:val="es-MX"/>
        </w:rPr>
        <w:t xml:space="preserve"> de la materia Agraria</w:t>
      </w:r>
      <w:r w:rsidR="00AE18D7" w:rsidRPr="00033E65">
        <w:rPr>
          <w:szCs w:val="22"/>
          <w:lang w:val="es-MX"/>
        </w:rPr>
        <w:t xml:space="preserve">, </w:t>
      </w:r>
      <w:r w:rsidRPr="00033E65">
        <w:rPr>
          <w:szCs w:val="22"/>
          <w:lang w:val="es-MX"/>
        </w:rPr>
        <w:t xml:space="preserve">en setiembre con 15 asuntos, en octubre con </w:t>
      </w:r>
      <w:r w:rsidR="005C7A6F" w:rsidRPr="00033E65">
        <w:rPr>
          <w:szCs w:val="22"/>
          <w:lang w:val="es-MX"/>
        </w:rPr>
        <w:t>15, en noviembre con 22 y en diciembre con 16 asuntos</w:t>
      </w:r>
      <w:r w:rsidR="00AE18D7" w:rsidRPr="00033E65">
        <w:rPr>
          <w:szCs w:val="22"/>
          <w:lang w:val="es-MX"/>
        </w:rPr>
        <w:t xml:space="preserve">, para un total de </w:t>
      </w:r>
      <w:r w:rsidR="00157BB1" w:rsidRPr="00033E65">
        <w:rPr>
          <w:szCs w:val="22"/>
          <w:lang w:val="es-MX"/>
        </w:rPr>
        <w:t>68</w:t>
      </w:r>
      <w:r w:rsidR="00AE18D7" w:rsidRPr="00033E65">
        <w:rPr>
          <w:szCs w:val="22"/>
          <w:lang w:val="es-MX"/>
        </w:rPr>
        <w:t xml:space="preserve"> expedientes tramitados en esta materia.</w:t>
      </w:r>
      <w:r w:rsidR="005C7A6F" w:rsidRPr="00033E65">
        <w:rPr>
          <w:szCs w:val="22"/>
          <w:lang w:val="es-MX"/>
        </w:rPr>
        <w:t xml:space="preserve"> </w:t>
      </w:r>
    </w:p>
    <w:p w14:paraId="35A13B33" w14:textId="77777777" w:rsidR="002B70A7" w:rsidRPr="00033E65" w:rsidRDefault="002B70A7" w:rsidP="002B70A7">
      <w:pPr>
        <w:pStyle w:val="Prrafodelista"/>
        <w:rPr>
          <w:i/>
          <w:iCs/>
          <w:szCs w:val="22"/>
          <w:lang w:val="es-MX"/>
        </w:rPr>
      </w:pPr>
    </w:p>
    <w:p w14:paraId="0568E85A" w14:textId="03CCC396" w:rsidR="002B70A7" w:rsidRPr="006250EF" w:rsidRDefault="00554C4E" w:rsidP="00924F24">
      <w:pPr>
        <w:pStyle w:val="Titulo3"/>
        <w:numPr>
          <w:ilvl w:val="0"/>
          <w:numId w:val="0"/>
        </w:numPr>
        <w:ind w:left="720"/>
      </w:pPr>
      <w:bookmarkStart w:id="213" w:name="_Toc132639563"/>
      <w:r>
        <w:t>12</w:t>
      </w:r>
      <w:r w:rsidR="00924F24">
        <w:t xml:space="preserve">.2 </w:t>
      </w:r>
      <w:r w:rsidR="002B70A7" w:rsidRPr="006250EF">
        <w:t>Planes No Ejecutados</w:t>
      </w:r>
      <w:bookmarkEnd w:id="213"/>
      <w:r w:rsidR="002B70A7" w:rsidRPr="006250EF">
        <w:t xml:space="preserve"> </w:t>
      </w:r>
    </w:p>
    <w:p w14:paraId="24A6697D" w14:textId="77777777" w:rsidR="002B70A7" w:rsidRPr="00033E65" w:rsidRDefault="002B70A7" w:rsidP="002B70A7">
      <w:pPr>
        <w:spacing w:after="0"/>
        <w:rPr>
          <w:szCs w:val="22"/>
          <w:lang w:val="es-MX"/>
        </w:rPr>
      </w:pPr>
      <w:r w:rsidRPr="00033E65">
        <w:rPr>
          <w:szCs w:val="22"/>
          <w:lang w:val="es-MX"/>
        </w:rPr>
        <w:t xml:space="preserve">El Consejo Superior en sesión </w:t>
      </w:r>
      <w:r w:rsidRPr="00033E65">
        <w:rPr>
          <w:rFonts w:cs="Arial"/>
        </w:rPr>
        <w:t>23-2022 del 15 de marzo de 2022, artículo XXXIX aprobó</w:t>
      </w:r>
      <w:r w:rsidRPr="00033E65">
        <w:rPr>
          <w:szCs w:val="22"/>
          <w:lang w:val="es-MX"/>
        </w:rPr>
        <w:t xml:space="preserve"> plan de descongestionamiento propuesto por la Dirección de Planificación en el informe 96-PLA-MI-2022, el cual no fue ejecutado</w:t>
      </w:r>
      <w:r w:rsidRPr="00033E65">
        <w:rPr>
          <w:rFonts w:cs="Arial"/>
        </w:rPr>
        <w:t xml:space="preserve"> </w:t>
      </w:r>
      <w:r w:rsidRPr="00033E65">
        <w:rPr>
          <w:szCs w:val="22"/>
          <w:lang w:val="es-MX"/>
        </w:rPr>
        <w:t xml:space="preserve">por las razones que fueron expuestas por parte de este Centro en los siguientes oficios: </w:t>
      </w:r>
    </w:p>
    <w:p w14:paraId="1F299B02" w14:textId="77777777" w:rsidR="002B70A7" w:rsidRPr="00033E65" w:rsidRDefault="002B70A7">
      <w:pPr>
        <w:pStyle w:val="Prrafodelista"/>
        <w:numPr>
          <w:ilvl w:val="0"/>
          <w:numId w:val="39"/>
        </w:numPr>
        <w:spacing w:after="0"/>
      </w:pPr>
      <w:r w:rsidRPr="00033E65">
        <w:t>Oficio 141-CACMFJ- JEF-2022, conocido por el Consejo Superior en sesión 033-2022 del 21 de abril de 2022, artículo XLIX.</w:t>
      </w:r>
    </w:p>
    <w:p w14:paraId="1A2C50DA" w14:textId="77777777" w:rsidR="002B70A7" w:rsidRPr="00033E65" w:rsidRDefault="002B70A7">
      <w:pPr>
        <w:pStyle w:val="Prrafodelista"/>
        <w:numPr>
          <w:ilvl w:val="0"/>
          <w:numId w:val="39"/>
        </w:numPr>
        <w:spacing w:after="0"/>
      </w:pPr>
      <w:r w:rsidRPr="00033E65">
        <w:t>Oficio 244-CACMFJ-JEF-2022, conocido por el Consejo Superior en sesión 086-2022 del 04 de octubre del2022, artículo LXXI.</w:t>
      </w:r>
    </w:p>
    <w:p w14:paraId="31268CB8" w14:textId="77777777" w:rsidR="002B70A7" w:rsidRPr="00033E65" w:rsidRDefault="002B70A7">
      <w:pPr>
        <w:pStyle w:val="Prrafodelista"/>
        <w:numPr>
          <w:ilvl w:val="0"/>
          <w:numId w:val="39"/>
        </w:numPr>
        <w:spacing w:after="0"/>
      </w:pPr>
      <w:r w:rsidRPr="00033E65">
        <w:t>Oficio 356-CACMFJ-JEF-2022, conocido por el Consejo Superior en sesión 102-2022 del 22 de noviembre del2022, artículo XLIII.</w:t>
      </w:r>
    </w:p>
    <w:p w14:paraId="2EF13A4C" w14:textId="77777777" w:rsidR="002B70A7" w:rsidRPr="00033E65" w:rsidRDefault="002B70A7" w:rsidP="002B70A7">
      <w:pPr>
        <w:spacing w:after="0"/>
      </w:pPr>
      <w:r w:rsidRPr="00033E65">
        <w:t>En sesión 102-2022 del 22 de noviembre de 2022, articulo XLIII, el Consejo Superior aprobó plan de descongestionamiento para el periodo del 01 de noviembre al 23 de diciembre de 2022 pero no fue posible ejecutarlo y</w:t>
      </w:r>
      <w:r w:rsidRPr="00033E65">
        <w:rPr>
          <w:szCs w:val="22"/>
          <w:lang w:val="es-MX"/>
        </w:rPr>
        <w:t xml:space="preserve">a que fue comunicado al CACMFJ hasta el 13 de diciembre de 2022. </w:t>
      </w:r>
    </w:p>
    <w:p w14:paraId="77564C13" w14:textId="0C2872F0" w:rsidR="002B70A7" w:rsidRPr="00033E65" w:rsidRDefault="00554C4E" w:rsidP="00274042">
      <w:pPr>
        <w:pStyle w:val="Ttulo3"/>
      </w:pPr>
      <w:bookmarkStart w:id="214" w:name="_Toc132639564"/>
      <w:r>
        <w:t>12</w:t>
      </w:r>
      <w:r w:rsidR="003161F5" w:rsidRPr="00033E65">
        <w:t>.3</w:t>
      </w:r>
      <w:r w:rsidR="002B70A7" w:rsidRPr="00033E65">
        <w:t xml:space="preserve"> Planes de Trabajos en Juzgados Agrarios con Personal Juzgador del CACMFJ</w:t>
      </w:r>
      <w:bookmarkEnd w:id="214"/>
      <w:r w:rsidR="002B70A7" w:rsidRPr="00033E65">
        <w:t xml:space="preserve"> </w:t>
      </w:r>
    </w:p>
    <w:p w14:paraId="44B16645" w14:textId="77777777" w:rsidR="002B70A7" w:rsidRPr="00033E65" w:rsidRDefault="002B70A7" w:rsidP="002B70A7">
      <w:pPr>
        <w:spacing w:after="0"/>
        <w:rPr>
          <w:szCs w:val="22"/>
          <w:lang w:val="es-MX"/>
        </w:rPr>
      </w:pPr>
      <w:r w:rsidRPr="00033E65">
        <w:rPr>
          <w:szCs w:val="22"/>
          <w:lang w:val="es-MX"/>
        </w:rPr>
        <w:t>En virtud de que el Centro de Apoyo Coordinación y Mejoramiento de la Función Jurisdiccional (CACMFJ) cuenta con 3 personas juzgadoras que atienden la materia agraria, se ejecutaron planes de trabajo para atender la cantidad de expedientes pendientes de fallo en cinco despachos.</w:t>
      </w:r>
    </w:p>
    <w:p w14:paraId="64506797" w14:textId="77777777" w:rsidR="002B70A7" w:rsidRPr="00033E65" w:rsidRDefault="002B70A7" w:rsidP="002B70A7">
      <w:pPr>
        <w:spacing w:after="0"/>
        <w:rPr>
          <w:szCs w:val="22"/>
          <w:lang w:val="es-MX"/>
        </w:rPr>
      </w:pPr>
    </w:p>
    <w:p w14:paraId="7BA2FEDE" w14:textId="77777777" w:rsidR="002B70A7" w:rsidRPr="00033E65" w:rsidRDefault="002B70A7" w:rsidP="002B70A7">
      <w:pPr>
        <w:spacing w:after="0"/>
        <w:rPr>
          <w:szCs w:val="22"/>
          <w:lang w:val="es-MX"/>
        </w:rPr>
      </w:pPr>
      <w:r w:rsidRPr="00033E65">
        <w:rPr>
          <w:szCs w:val="22"/>
          <w:lang w:val="es-MX"/>
        </w:rPr>
        <w:t>En el siguiente cuadro se detallan los resultados obtenidos:</w:t>
      </w:r>
    </w:p>
    <w:p w14:paraId="42884B0B" w14:textId="77777777" w:rsidR="002B70A7" w:rsidRPr="00033E65" w:rsidRDefault="002B70A7" w:rsidP="002B70A7">
      <w:pPr>
        <w:spacing w:after="0"/>
        <w:rPr>
          <w:szCs w:val="22"/>
          <w:lang w:val="es-MX"/>
        </w:rPr>
      </w:pPr>
    </w:p>
    <w:p w14:paraId="01B3CBF4" w14:textId="439C3E46" w:rsidR="002B70A7" w:rsidRPr="00033E65" w:rsidRDefault="002B70A7" w:rsidP="002B70A7">
      <w:pPr>
        <w:pStyle w:val="Ttulo"/>
        <w:spacing w:before="0" w:after="0" w:line="240" w:lineRule="auto"/>
        <w:ind w:left="284" w:hanging="284"/>
        <w:jc w:val="center"/>
        <w:rPr>
          <w:rFonts w:eastAsia="Times New Roman" w:cs="Arial"/>
          <w:iCs/>
          <w:spacing w:val="0"/>
          <w:sz w:val="22"/>
          <w:szCs w:val="22"/>
          <w:lang w:val="es-CR" w:eastAsia="es-ES"/>
        </w:rPr>
      </w:pPr>
      <w:r w:rsidRPr="00033E65">
        <w:rPr>
          <w:rFonts w:eastAsia="Times New Roman" w:cs="Arial"/>
          <w:iCs/>
          <w:spacing w:val="0"/>
          <w:sz w:val="22"/>
          <w:szCs w:val="22"/>
          <w:lang w:val="es-CR" w:eastAsia="es-ES"/>
        </w:rPr>
        <w:t xml:space="preserve">Cuadro </w:t>
      </w:r>
      <w:r w:rsidR="00033383" w:rsidRPr="00033E65">
        <w:rPr>
          <w:rFonts w:eastAsia="Times New Roman" w:cs="Arial"/>
          <w:iCs/>
          <w:spacing w:val="0"/>
          <w:sz w:val="22"/>
          <w:szCs w:val="22"/>
          <w:lang w:val="es-CR" w:eastAsia="es-ES"/>
        </w:rPr>
        <w:t>20</w:t>
      </w:r>
    </w:p>
    <w:p w14:paraId="69A3F2C8" w14:textId="77777777" w:rsidR="002B70A7" w:rsidRPr="00033E65" w:rsidRDefault="002B70A7" w:rsidP="002B70A7">
      <w:pPr>
        <w:pStyle w:val="Ttulo"/>
        <w:spacing w:before="0" w:after="0" w:line="240" w:lineRule="auto"/>
        <w:jc w:val="center"/>
        <w:rPr>
          <w:rFonts w:eastAsia="Times New Roman" w:cs="Arial"/>
          <w:iCs/>
          <w:spacing w:val="0"/>
          <w:sz w:val="22"/>
          <w:szCs w:val="22"/>
          <w:lang w:val="es-CR" w:eastAsia="es-ES"/>
        </w:rPr>
      </w:pPr>
      <w:r w:rsidRPr="00033E65">
        <w:rPr>
          <w:rFonts w:eastAsia="Times New Roman" w:cs="Arial"/>
          <w:iCs/>
          <w:spacing w:val="0"/>
          <w:sz w:val="22"/>
          <w:szCs w:val="22"/>
          <w:lang w:val="es-CR" w:eastAsia="es-ES"/>
        </w:rPr>
        <w:t xml:space="preserve">Colaboración Brindada en el Fallo de Asuntos por parte del Personal Juzgador </w:t>
      </w:r>
    </w:p>
    <w:p w14:paraId="51A5C3C4" w14:textId="77777777" w:rsidR="002B70A7" w:rsidRPr="00033E65" w:rsidRDefault="002B70A7" w:rsidP="002B70A7">
      <w:pPr>
        <w:pStyle w:val="Ttulo"/>
        <w:spacing w:before="0" w:after="0" w:line="240" w:lineRule="auto"/>
        <w:jc w:val="center"/>
        <w:rPr>
          <w:rFonts w:eastAsia="Times New Roman" w:cs="Arial"/>
          <w:iCs/>
          <w:spacing w:val="0"/>
          <w:sz w:val="22"/>
          <w:szCs w:val="22"/>
          <w:lang w:val="es-CR" w:eastAsia="es-ES"/>
        </w:rPr>
      </w:pPr>
      <w:r w:rsidRPr="00033E65">
        <w:rPr>
          <w:rFonts w:eastAsia="Times New Roman" w:cs="Arial"/>
          <w:iCs/>
          <w:spacing w:val="0"/>
          <w:sz w:val="22"/>
          <w:szCs w:val="22"/>
          <w:lang w:val="es-CR" w:eastAsia="es-ES"/>
        </w:rPr>
        <w:t>Agrario del CACMFJ en el año 2022</w:t>
      </w:r>
    </w:p>
    <w:tbl>
      <w:tblPr>
        <w:tblpPr w:leftFromText="141" w:rightFromText="141" w:vertAnchor="text" w:horzAnchor="margin" w:tblpY="531"/>
        <w:tblW w:w="8931"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7"/>
        <w:gridCol w:w="508"/>
        <w:gridCol w:w="490"/>
        <w:gridCol w:w="545"/>
        <w:gridCol w:w="520"/>
        <w:gridCol w:w="581"/>
        <w:gridCol w:w="474"/>
        <w:gridCol w:w="410"/>
        <w:gridCol w:w="554"/>
        <w:gridCol w:w="494"/>
        <w:gridCol w:w="483"/>
        <w:gridCol w:w="568"/>
        <w:gridCol w:w="472"/>
        <w:gridCol w:w="1155"/>
      </w:tblGrid>
      <w:tr w:rsidR="002B70A7" w:rsidRPr="00033E65" w14:paraId="63907FED" w14:textId="77777777" w:rsidTr="0060735A">
        <w:trPr>
          <w:trHeight w:val="580"/>
        </w:trPr>
        <w:tc>
          <w:tcPr>
            <w:tcW w:w="1677" w:type="dxa"/>
            <w:shd w:val="clear" w:color="000000" w:fill="305496"/>
            <w:vAlign w:val="center"/>
            <w:hideMark/>
          </w:tcPr>
          <w:p w14:paraId="5F541044" w14:textId="77777777" w:rsidR="002B70A7" w:rsidRPr="00033E65" w:rsidRDefault="002B70A7" w:rsidP="0060735A">
            <w:pPr>
              <w:spacing w:before="0" w:after="0"/>
              <w:jc w:val="left"/>
              <w:rPr>
                <w:rFonts w:cs="Calibri"/>
                <w:color w:val="FFFFFF"/>
                <w:sz w:val="20"/>
                <w:lang w:eastAsia="es-CR"/>
              </w:rPr>
            </w:pPr>
            <w:r w:rsidRPr="00033E65">
              <w:rPr>
                <w:rFonts w:cs="Calibri"/>
                <w:color w:val="FFFFFF"/>
                <w:sz w:val="20"/>
                <w:lang w:eastAsia="es-CR"/>
              </w:rPr>
              <w:t>Despacho</w:t>
            </w:r>
          </w:p>
        </w:tc>
        <w:tc>
          <w:tcPr>
            <w:tcW w:w="508" w:type="dxa"/>
            <w:shd w:val="clear" w:color="000000" w:fill="305496"/>
            <w:vAlign w:val="center"/>
            <w:hideMark/>
          </w:tcPr>
          <w:p w14:paraId="3700E748" w14:textId="77777777" w:rsidR="002B70A7" w:rsidRPr="00033E65" w:rsidRDefault="002B70A7" w:rsidP="0060735A">
            <w:pPr>
              <w:spacing w:before="0" w:after="0"/>
              <w:jc w:val="center"/>
              <w:rPr>
                <w:rFonts w:cs="Calibri"/>
                <w:color w:val="FFFFFF"/>
                <w:sz w:val="20"/>
                <w:lang w:eastAsia="es-CR"/>
              </w:rPr>
            </w:pPr>
            <w:r w:rsidRPr="00033E65">
              <w:rPr>
                <w:rFonts w:cs="Calibri"/>
                <w:color w:val="FFFFFF"/>
                <w:sz w:val="20"/>
                <w:lang w:eastAsia="es-CR"/>
              </w:rPr>
              <w:t>Ene</w:t>
            </w:r>
          </w:p>
        </w:tc>
        <w:tc>
          <w:tcPr>
            <w:tcW w:w="490" w:type="dxa"/>
            <w:shd w:val="clear" w:color="000000" w:fill="305496"/>
            <w:vAlign w:val="center"/>
            <w:hideMark/>
          </w:tcPr>
          <w:p w14:paraId="38B5822F" w14:textId="77777777" w:rsidR="002B70A7" w:rsidRPr="00033E65" w:rsidRDefault="002B70A7" w:rsidP="0060735A">
            <w:pPr>
              <w:spacing w:before="0" w:after="0"/>
              <w:jc w:val="center"/>
              <w:rPr>
                <w:rFonts w:cs="Calibri"/>
                <w:color w:val="FFFFFF"/>
                <w:sz w:val="20"/>
                <w:lang w:eastAsia="es-CR"/>
              </w:rPr>
            </w:pPr>
            <w:r w:rsidRPr="00033E65">
              <w:rPr>
                <w:rFonts w:cs="Calibri"/>
                <w:color w:val="FFFFFF"/>
                <w:sz w:val="20"/>
                <w:lang w:eastAsia="es-CR"/>
              </w:rPr>
              <w:t>Feb</w:t>
            </w:r>
          </w:p>
        </w:tc>
        <w:tc>
          <w:tcPr>
            <w:tcW w:w="545" w:type="dxa"/>
            <w:shd w:val="clear" w:color="000000" w:fill="305496"/>
            <w:vAlign w:val="center"/>
            <w:hideMark/>
          </w:tcPr>
          <w:p w14:paraId="2650146D" w14:textId="77777777" w:rsidR="002B70A7" w:rsidRPr="00033E65" w:rsidRDefault="002B70A7" w:rsidP="0060735A">
            <w:pPr>
              <w:spacing w:before="0" w:after="0"/>
              <w:jc w:val="center"/>
              <w:rPr>
                <w:rFonts w:cs="Calibri"/>
                <w:color w:val="FFFFFF"/>
                <w:sz w:val="20"/>
                <w:lang w:eastAsia="es-CR"/>
              </w:rPr>
            </w:pPr>
            <w:r w:rsidRPr="00033E65">
              <w:rPr>
                <w:rFonts w:cs="Calibri"/>
                <w:color w:val="FFFFFF"/>
                <w:sz w:val="20"/>
                <w:lang w:eastAsia="es-CR"/>
              </w:rPr>
              <w:t>Mar</w:t>
            </w:r>
          </w:p>
        </w:tc>
        <w:tc>
          <w:tcPr>
            <w:tcW w:w="520" w:type="dxa"/>
            <w:shd w:val="clear" w:color="000000" w:fill="305496"/>
            <w:vAlign w:val="center"/>
            <w:hideMark/>
          </w:tcPr>
          <w:p w14:paraId="692C5AC8" w14:textId="77777777" w:rsidR="002B70A7" w:rsidRPr="00033E65" w:rsidRDefault="002B70A7" w:rsidP="0060735A">
            <w:pPr>
              <w:spacing w:before="0" w:after="0"/>
              <w:jc w:val="center"/>
              <w:rPr>
                <w:rFonts w:cs="Calibri"/>
                <w:color w:val="FFFFFF"/>
                <w:sz w:val="20"/>
                <w:lang w:eastAsia="es-CR"/>
              </w:rPr>
            </w:pPr>
            <w:r w:rsidRPr="00033E65">
              <w:rPr>
                <w:rFonts w:cs="Calibri"/>
                <w:color w:val="FFFFFF"/>
                <w:sz w:val="20"/>
                <w:lang w:eastAsia="es-CR"/>
              </w:rPr>
              <w:t>Abr</w:t>
            </w:r>
          </w:p>
        </w:tc>
        <w:tc>
          <w:tcPr>
            <w:tcW w:w="581" w:type="dxa"/>
            <w:shd w:val="clear" w:color="000000" w:fill="305496"/>
            <w:vAlign w:val="center"/>
            <w:hideMark/>
          </w:tcPr>
          <w:p w14:paraId="65A3ABE8" w14:textId="77777777" w:rsidR="002B70A7" w:rsidRPr="00033E65" w:rsidRDefault="002B70A7" w:rsidP="0060735A">
            <w:pPr>
              <w:spacing w:before="0" w:after="0"/>
              <w:jc w:val="center"/>
              <w:rPr>
                <w:rFonts w:cs="Calibri"/>
                <w:color w:val="FFFFFF"/>
                <w:sz w:val="20"/>
                <w:lang w:eastAsia="es-CR"/>
              </w:rPr>
            </w:pPr>
            <w:r w:rsidRPr="00033E65">
              <w:rPr>
                <w:rFonts w:cs="Calibri"/>
                <w:color w:val="FFFFFF"/>
                <w:sz w:val="20"/>
                <w:lang w:eastAsia="es-CR"/>
              </w:rPr>
              <w:t>May</w:t>
            </w:r>
          </w:p>
        </w:tc>
        <w:tc>
          <w:tcPr>
            <w:tcW w:w="474" w:type="dxa"/>
            <w:shd w:val="clear" w:color="000000" w:fill="305496"/>
            <w:vAlign w:val="center"/>
            <w:hideMark/>
          </w:tcPr>
          <w:p w14:paraId="5306C9C8" w14:textId="77777777" w:rsidR="002B70A7" w:rsidRPr="00033E65" w:rsidRDefault="002B70A7" w:rsidP="0060735A">
            <w:pPr>
              <w:spacing w:before="0" w:after="0"/>
              <w:jc w:val="center"/>
              <w:rPr>
                <w:rFonts w:cs="Calibri"/>
                <w:color w:val="FFFFFF"/>
                <w:sz w:val="20"/>
                <w:lang w:eastAsia="es-CR"/>
              </w:rPr>
            </w:pPr>
            <w:r w:rsidRPr="00033E65">
              <w:rPr>
                <w:rFonts w:cs="Calibri"/>
                <w:color w:val="FFFFFF"/>
                <w:sz w:val="20"/>
                <w:lang w:eastAsia="es-CR"/>
              </w:rPr>
              <w:t>Jun</w:t>
            </w:r>
          </w:p>
        </w:tc>
        <w:tc>
          <w:tcPr>
            <w:tcW w:w="410" w:type="dxa"/>
            <w:shd w:val="clear" w:color="000000" w:fill="305496"/>
            <w:vAlign w:val="center"/>
            <w:hideMark/>
          </w:tcPr>
          <w:p w14:paraId="4677EA14" w14:textId="77777777" w:rsidR="002B70A7" w:rsidRPr="00033E65" w:rsidRDefault="002B70A7" w:rsidP="0060735A">
            <w:pPr>
              <w:spacing w:before="0" w:after="0"/>
              <w:jc w:val="center"/>
              <w:rPr>
                <w:rFonts w:cs="Calibri"/>
                <w:color w:val="FFFFFF"/>
                <w:sz w:val="20"/>
                <w:lang w:eastAsia="es-CR"/>
              </w:rPr>
            </w:pPr>
            <w:r w:rsidRPr="00033E65">
              <w:rPr>
                <w:rFonts w:cs="Calibri"/>
                <w:color w:val="FFFFFF"/>
                <w:sz w:val="20"/>
                <w:lang w:eastAsia="es-CR"/>
              </w:rPr>
              <w:t>Jul</w:t>
            </w:r>
          </w:p>
        </w:tc>
        <w:tc>
          <w:tcPr>
            <w:tcW w:w="554" w:type="dxa"/>
            <w:shd w:val="clear" w:color="000000" w:fill="305496"/>
            <w:vAlign w:val="center"/>
            <w:hideMark/>
          </w:tcPr>
          <w:p w14:paraId="015BD4BD" w14:textId="77777777" w:rsidR="002B70A7" w:rsidRPr="00033E65" w:rsidRDefault="002B70A7" w:rsidP="0060735A">
            <w:pPr>
              <w:spacing w:before="0" w:after="0"/>
              <w:jc w:val="center"/>
              <w:rPr>
                <w:rFonts w:cs="Calibri"/>
                <w:color w:val="FFFFFF"/>
                <w:sz w:val="20"/>
                <w:lang w:eastAsia="es-CR"/>
              </w:rPr>
            </w:pPr>
            <w:r w:rsidRPr="00033E65">
              <w:rPr>
                <w:rFonts w:cs="Calibri"/>
                <w:color w:val="FFFFFF"/>
                <w:sz w:val="20"/>
                <w:lang w:eastAsia="es-CR"/>
              </w:rPr>
              <w:t>Ago</w:t>
            </w:r>
          </w:p>
        </w:tc>
        <w:tc>
          <w:tcPr>
            <w:tcW w:w="494" w:type="dxa"/>
            <w:shd w:val="clear" w:color="000000" w:fill="305496"/>
            <w:vAlign w:val="center"/>
            <w:hideMark/>
          </w:tcPr>
          <w:p w14:paraId="3AFD1779" w14:textId="77777777" w:rsidR="002B70A7" w:rsidRPr="00033E65" w:rsidRDefault="002B70A7" w:rsidP="0060735A">
            <w:pPr>
              <w:spacing w:before="0" w:after="0"/>
              <w:jc w:val="center"/>
              <w:rPr>
                <w:rFonts w:cs="Calibri"/>
                <w:color w:val="FFFFFF"/>
                <w:sz w:val="20"/>
                <w:lang w:eastAsia="es-CR"/>
              </w:rPr>
            </w:pPr>
            <w:r w:rsidRPr="00033E65">
              <w:rPr>
                <w:rFonts w:cs="Calibri"/>
                <w:color w:val="FFFFFF"/>
                <w:sz w:val="20"/>
                <w:lang w:eastAsia="es-CR"/>
              </w:rPr>
              <w:t>Sep</w:t>
            </w:r>
          </w:p>
        </w:tc>
        <w:tc>
          <w:tcPr>
            <w:tcW w:w="483" w:type="dxa"/>
            <w:shd w:val="clear" w:color="000000" w:fill="305496"/>
            <w:vAlign w:val="center"/>
            <w:hideMark/>
          </w:tcPr>
          <w:p w14:paraId="1A7A5B5F" w14:textId="77777777" w:rsidR="002B70A7" w:rsidRPr="00033E65" w:rsidRDefault="002B70A7" w:rsidP="0060735A">
            <w:pPr>
              <w:spacing w:before="0" w:after="0"/>
              <w:jc w:val="center"/>
              <w:rPr>
                <w:rFonts w:cs="Calibri"/>
                <w:color w:val="FFFFFF"/>
                <w:sz w:val="20"/>
                <w:lang w:eastAsia="es-CR"/>
              </w:rPr>
            </w:pPr>
            <w:r w:rsidRPr="00033E65">
              <w:rPr>
                <w:rFonts w:cs="Calibri"/>
                <w:color w:val="FFFFFF"/>
                <w:sz w:val="20"/>
                <w:lang w:eastAsia="es-CR"/>
              </w:rPr>
              <w:t>Oct</w:t>
            </w:r>
          </w:p>
        </w:tc>
        <w:tc>
          <w:tcPr>
            <w:tcW w:w="568" w:type="dxa"/>
            <w:shd w:val="clear" w:color="000000" w:fill="305496"/>
            <w:vAlign w:val="center"/>
            <w:hideMark/>
          </w:tcPr>
          <w:p w14:paraId="6310055B" w14:textId="77777777" w:rsidR="002B70A7" w:rsidRPr="00033E65" w:rsidRDefault="002B70A7" w:rsidP="0060735A">
            <w:pPr>
              <w:spacing w:before="0" w:after="0"/>
              <w:jc w:val="center"/>
              <w:rPr>
                <w:rFonts w:cs="Calibri"/>
                <w:color w:val="FFFFFF"/>
                <w:sz w:val="20"/>
                <w:lang w:eastAsia="es-CR"/>
              </w:rPr>
            </w:pPr>
            <w:r w:rsidRPr="00033E65">
              <w:rPr>
                <w:rFonts w:cs="Calibri"/>
                <w:color w:val="FFFFFF"/>
                <w:sz w:val="20"/>
                <w:lang w:eastAsia="es-CR"/>
              </w:rPr>
              <w:t>Nov</w:t>
            </w:r>
          </w:p>
        </w:tc>
        <w:tc>
          <w:tcPr>
            <w:tcW w:w="472" w:type="dxa"/>
            <w:shd w:val="clear" w:color="000000" w:fill="305496"/>
            <w:vAlign w:val="center"/>
            <w:hideMark/>
          </w:tcPr>
          <w:p w14:paraId="78AA5696" w14:textId="77777777" w:rsidR="002B70A7" w:rsidRPr="00033E65" w:rsidRDefault="002B70A7" w:rsidP="0060735A">
            <w:pPr>
              <w:spacing w:before="0" w:after="0"/>
              <w:jc w:val="center"/>
              <w:rPr>
                <w:rFonts w:cs="Calibri"/>
                <w:color w:val="FFFFFF"/>
                <w:sz w:val="20"/>
                <w:lang w:eastAsia="es-CR"/>
              </w:rPr>
            </w:pPr>
            <w:r w:rsidRPr="00033E65">
              <w:rPr>
                <w:rFonts w:cs="Calibri"/>
                <w:color w:val="FFFFFF"/>
                <w:sz w:val="20"/>
                <w:lang w:eastAsia="es-CR"/>
              </w:rPr>
              <w:t>Dic</w:t>
            </w:r>
          </w:p>
        </w:tc>
        <w:tc>
          <w:tcPr>
            <w:tcW w:w="1155" w:type="dxa"/>
            <w:shd w:val="clear" w:color="000000" w:fill="375623"/>
            <w:vAlign w:val="center"/>
            <w:hideMark/>
          </w:tcPr>
          <w:p w14:paraId="39C8B33A" w14:textId="77777777" w:rsidR="002B70A7" w:rsidRPr="00033E65" w:rsidRDefault="002B70A7" w:rsidP="0060735A">
            <w:pPr>
              <w:spacing w:before="0" w:after="0"/>
              <w:jc w:val="center"/>
              <w:rPr>
                <w:rFonts w:cs="Calibri"/>
                <w:color w:val="FFFFFF"/>
                <w:sz w:val="20"/>
                <w:lang w:eastAsia="es-CR"/>
              </w:rPr>
            </w:pPr>
            <w:r w:rsidRPr="00033E65">
              <w:rPr>
                <w:rFonts w:cs="Calibri"/>
                <w:color w:val="FFFFFF"/>
                <w:sz w:val="20"/>
                <w:lang w:eastAsia="es-CR"/>
              </w:rPr>
              <w:t>Total, por despacho</w:t>
            </w:r>
          </w:p>
        </w:tc>
      </w:tr>
      <w:tr w:rsidR="002B70A7" w:rsidRPr="00033E65" w14:paraId="2B5AAF08" w14:textId="77777777" w:rsidTr="0060735A">
        <w:trPr>
          <w:trHeight w:val="697"/>
        </w:trPr>
        <w:tc>
          <w:tcPr>
            <w:tcW w:w="1677" w:type="dxa"/>
            <w:shd w:val="clear" w:color="auto" w:fill="auto"/>
            <w:vAlign w:val="center"/>
            <w:hideMark/>
          </w:tcPr>
          <w:p w14:paraId="3988885B" w14:textId="77777777" w:rsidR="002B70A7" w:rsidRPr="00033E65" w:rsidRDefault="002B70A7" w:rsidP="0060735A">
            <w:pPr>
              <w:spacing w:before="0" w:after="0"/>
              <w:jc w:val="left"/>
              <w:rPr>
                <w:rFonts w:cs="Calibri"/>
                <w:color w:val="000000"/>
                <w:sz w:val="20"/>
                <w:lang w:eastAsia="es-CR"/>
              </w:rPr>
            </w:pPr>
            <w:r w:rsidRPr="00033E65">
              <w:rPr>
                <w:rFonts w:cs="Calibri"/>
                <w:color w:val="000000"/>
                <w:sz w:val="20"/>
                <w:lang w:eastAsia="es-CR"/>
              </w:rPr>
              <w:t>Juzgado Agrario II Circuito Judicial de la Zona Atlántica (Pococí)</w:t>
            </w:r>
          </w:p>
        </w:tc>
        <w:tc>
          <w:tcPr>
            <w:tcW w:w="508" w:type="dxa"/>
            <w:shd w:val="clear" w:color="auto" w:fill="auto"/>
            <w:vAlign w:val="center"/>
          </w:tcPr>
          <w:p w14:paraId="45E3DC0E"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90" w:type="dxa"/>
            <w:shd w:val="clear" w:color="auto" w:fill="auto"/>
            <w:vAlign w:val="center"/>
          </w:tcPr>
          <w:p w14:paraId="517DEC7C"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45" w:type="dxa"/>
            <w:shd w:val="clear" w:color="auto" w:fill="auto"/>
            <w:vAlign w:val="center"/>
          </w:tcPr>
          <w:p w14:paraId="66E6445C"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20" w:type="dxa"/>
            <w:shd w:val="clear" w:color="auto" w:fill="auto"/>
            <w:vAlign w:val="center"/>
          </w:tcPr>
          <w:p w14:paraId="2AD96C2B"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81" w:type="dxa"/>
            <w:shd w:val="clear" w:color="auto" w:fill="auto"/>
            <w:vAlign w:val="center"/>
          </w:tcPr>
          <w:p w14:paraId="721772ED"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74" w:type="dxa"/>
            <w:shd w:val="clear" w:color="000000" w:fill="FFFFFF"/>
            <w:vAlign w:val="center"/>
          </w:tcPr>
          <w:p w14:paraId="08A0EEFA"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10" w:type="dxa"/>
            <w:shd w:val="clear" w:color="auto" w:fill="auto"/>
            <w:vAlign w:val="center"/>
          </w:tcPr>
          <w:p w14:paraId="20FCB07C"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54" w:type="dxa"/>
            <w:shd w:val="clear" w:color="auto" w:fill="auto"/>
            <w:vAlign w:val="center"/>
          </w:tcPr>
          <w:p w14:paraId="190B3959"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94" w:type="dxa"/>
            <w:shd w:val="clear" w:color="auto" w:fill="auto"/>
            <w:vAlign w:val="center"/>
          </w:tcPr>
          <w:p w14:paraId="5EA3DCED"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83" w:type="dxa"/>
            <w:shd w:val="clear" w:color="auto" w:fill="auto"/>
            <w:vAlign w:val="center"/>
          </w:tcPr>
          <w:p w14:paraId="4F5F68E2"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68" w:type="dxa"/>
            <w:shd w:val="clear" w:color="auto" w:fill="auto"/>
            <w:vAlign w:val="center"/>
          </w:tcPr>
          <w:p w14:paraId="1A477873"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6</w:t>
            </w:r>
          </w:p>
        </w:tc>
        <w:tc>
          <w:tcPr>
            <w:tcW w:w="472" w:type="dxa"/>
            <w:shd w:val="clear" w:color="auto" w:fill="auto"/>
            <w:vAlign w:val="center"/>
          </w:tcPr>
          <w:p w14:paraId="42E49F28"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1155" w:type="dxa"/>
            <w:shd w:val="clear" w:color="auto" w:fill="F2F2F2" w:themeFill="background1" w:themeFillShade="F2"/>
            <w:vAlign w:val="center"/>
          </w:tcPr>
          <w:p w14:paraId="57BA9107" w14:textId="77777777" w:rsidR="002B70A7" w:rsidRPr="00033E65" w:rsidRDefault="002B70A7" w:rsidP="0060735A">
            <w:pPr>
              <w:spacing w:before="0" w:after="0"/>
              <w:jc w:val="center"/>
              <w:rPr>
                <w:rFonts w:cs="Calibri"/>
                <w:b/>
                <w:bCs/>
                <w:color w:val="375623"/>
                <w:sz w:val="20"/>
                <w:lang w:eastAsia="es-CR"/>
              </w:rPr>
            </w:pPr>
            <w:r w:rsidRPr="00033E65">
              <w:rPr>
                <w:rFonts w:cs="Calibri"/>
                <w:b/>
                <w:bCs/>
                <w:color w:val="375623"/>
                <w:sz w:val="20"/>
                <w:lang w:eastAsia="es-CR"/>
              </w:rPr>
              <w:t>6</w:t>
            </w:r>
          </w:p>
        </w:tc>
      </w:tr>
      <w:tr w:rsidR="002B70A7" w:rsidRPr="00033E65" w14:paraId="4E9C3744" w14:textId="77777777" w:rsidTr="0060735A">
        <w:trPr>
          <w:trHeight w:val="580"/>
        </w:trPr>
        <w:tc>
          <w:tcPr>
            <w:tcW w:w="1677" w:type="dxa"/>
            <w:shd w:val="clear" w:color="auto" w:fill="auto"/>
            <w:vAlign w:val="center"/>
            <w:hideMark/>
          </w:tcPr>
          <w:p w14:paraId="50F9988D" w14:textId="77777777" w:rsidR="002B70A7" w:rsidRPr="00033E65" w:rsidRDefault="002B70A7" w:rsidP="0060735A">
            <w:pPr>
              <w:spacing w:before="0" w:after="0"/>
              <w:jc w:val="left"/>
              <w:rPr>
                <w:rFonts w:cs="Calibri"/>
                <w:color w:val="000000"/>
                <w:sz w:val="20"/>
                <w:lang w:eastAsia="es-CR"/>
              </w:rPr>
            </w:pPr>
            <w:r w:rsidRPr="00033E65">
              <w:rPr>
                <w:rFonts w:cs="Calibri"/>
                <w:color w:val="000000"/>
                <w:sz w:val="20"/>
                <w:lang w:eastAsia="es-CR"/>
              </w:rPr>
              <w:t>Juzgado Civil y Laboral del II Circuito Judicial de Alajuela (sede Upala)</w:t>
            </w:r>
          </w:p>
        </w:tc>
        <w:tc>
          <w:tcPr>
            <w:tcW w:w="508" w:type="dxa"/>
            <w:shd w:val="clear" w:color="auto" w:fill="auto"/>
            <w:vAlign w:val="center"/>
          </w:tcPr>
          <w:p w14:paraId="125E407A"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12</w:t>
            </w:r>
          </w:p>
        </w:tc>
        <w:tc>
          <w:tcPr>
            <w:tcW w:w="490" w:type="dxa"/>
            <w:shd w:val="clear" w:color="auto" w:fill="auto"/>
            <w:vAlign w:val="center"/>
          </w:tcPr>
          <w:p w14:paraId="44DC4756"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6</w:t>
            </w:r>
          </w:p>
        </w:tc>
        <w:tc>
          <w:tcPr>
            <w:tcW w:w="545" w:type="dxa"/>
            <w:shd w:val="clear" w:color="auto" w:fill="auto"/>
            <w:vAlign w:val="center"/>
          </w:tcPr>
          <w:p w14:paraId="51A97EDD"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5</w:t>
            </w:r>
          </w:p>
        </w:tc>
        <w:tc>
          <w:tcPr>
            <w:tcW w:w="520" w:type="dxa"/>
            <w:shd w:val="clear" w:color="auto" w:fill="auto"/>
            <w:vAlign w:val="center"/>
          </w:tcPr>
          <w:p w14:paraId="6E74CF35"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9</w:t>
            </w:r>
          </w:p>
        </w:tc>
        <w:tc>
          <w:tcPr>
            <w:tcW w:w="581" w:type="dxa"/>
            <w:shd w:val="clear" w:color="auto" w:fill="auto"/>
            <w:vAlign w:val="center"/>
          </w:tcPr>
          <w:p w14:paraId="123E05D0"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8</w:t>
            </w:r>
          </w:p>
        </w:tc>
        <w:tc>
          <w:tcPr>
            <w:tcW w:w="474" w:type="dxa"/>
            <w:shd w:val="clear" w:color="auto" w:fill="auto"/>
            <w:vAlign w:val="center"/>
          </w:tcPr>
          <w:p w14:paraId="7071C338"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8</w:t>
            </w:r>
          </w:p>
        </w:tc>
        <w:tc>
          <w:tcPr>
            <w:tcW w:w="410" w:type="dxa"/>
            <w:shd w:val="clear" w:color="auto" w:fill="auto"/>
            <w:vAlign w:val="center"/>
          </w:tcPr>
          <w:p w14:paraId="575B2032"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3</w:t>
            </w:r>
          </w:p>
        </w:tc>
        <w:tc>
          <w:tcPr>
            <w:tcW w:w="554" w:type="dxa"/>
            <w:shd w:val="clear" w:color="auto" w:fill="auto"/>
            <w:vAlign w:val="center"/>
          </w:tcPr>
          <w:p w14:paraId="5DEF0AE2"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11</w:t>
            </w:r>
          </w:p>
        </w:tc>
        <w:tc>
          <w:tcPr>
            <w:tcW w:w="494" w:type="dxa"/>
            <w:shd w:val="clear" w:color="auto" w:fill="auto"/>
            <w:vAlign w:val="center"/>
          </w:tcPr>
          <w:p w14:paraId="36816F72"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83" w:type="dxa"/>
            <w:shd w:val="clear" w:color="auto" w:fill="auto"/>
            <w:vAlign w:val="center"/>
          </w:tcPr>
          <w:p w14:paraId="1E9D3F1C"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5</w:t>
            </w:r>
          </w:p>
        </w:tc>
        <w:tc>
          <w:tcPr>
            <w:tcW w:w="568" w:type="dxa"/>
            <w:shd w:val="clear" w:color="auto" w:fill="auto"/>
            <w:vAlign w:val="center"/>
          </w:tcPr>
          <w:p w14:paraId="118ACEB8"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72" w:type="dxa"/>
            <w:shd w:val="clear" w:color="auto" w:fill="auto"/>
            <w:vAlign w:val="center"/>
          </w:tcPr>
          <w:p w14:paraId="15292F81"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1155" w:type="dxa"/>
            <w:shd w:val="clear" w:color="auto" w:fill="F2F2F2" w:themeFill="background1" w:themeFillShade="F2"/>
            <w:vAlign w:val="center"/>
          </w:tcPr>
          <w:p w14:paraId="6810265A" w14:textId="77777777" w:rsidR="002B70A7" w:rsidRPr="00033E65" w:rsidRDefault="002B70A7" w:rsidP="0060735A">
            <w:pPr>
              <w:spacing w:before="0" w:after="0"/>
              <w:jc w:val="center"/>
              <w:rPr>
                <w:rFonts w:cs="Calibri"/>
                <w:b/>
                <w:bCs/>
                <w:color w:val="375623"/>
                <w:sz w:val="20"/>
                <w:lang w:eastAsia="es-CR"/>
              </w:rPr>
            </w:pPr>
            <w:r w:rsidRPr="00033E65">
              <w:rPr>
                <w:rFonts w:cs="Calibri"/>
                <w:b/>
                <w:bCs/>
                <w:color w:val="375623"/>
                <w:sz w:val="20"/>
                <w:lang w:eastAsia="es-CR"/>
              </w:rPr>
              <w:t>67</w:t>
            </w:r>
          </w:p>
        </w:tc>
      </w:tr>
      <w:tr w:rsidR="002B70A7" w:rsidRPr="00033E65" w14:paraId="36CA5506" w14:textId="77777777" w:rsidTr="0060735A">
        <w:trPr>
          <w:trHeight w:val="1160"/>
        </w:trPr>
        <w:tc>
          <w:tcPr>
            <w:tcW w:w="1677" w:type="dxa"/>
            <w:shd w:val="clear" w:color="auto" w:fill="auto"/>
            <w:vAlign w:val="center"/>
            <w:hideMark/>
          </w:tcPr>
          <w:p w14:paraId="5A010D1C" w14:textId="77777777" w:rsidR="002B70A7" w:rsidRPr="00033E65" w:rsidRDefault="002B70A7" w:rsidP="0060735A">
            <w:pPr>
              <w:spacing w:before="0" w:after="0"/>
              <w:jc w:val="left"/>
              <w:rPr>
                <w:rFonts w:cs="Calibri"/>
                <w:color w:val="000000"/>
                <w:sz w:val="20"/>
                <w:lang w:eastAsia="es-CR"/>
              </w:rPr>
            </w:pPr>
            <w:r w:rsidRPr="00033E65">
              <w:rPr>
                <w:rFonts w:cs="Calibri"/>
                <w:color w:val="000000"/>
                <w:sz w:val="20"/>
                <w:lang w:eastAsia="es-CR"/>
              </w:rPr>
              <w:t>Juzgado Agrario II Circuito Judicial de la Zona Sur (Corredores)</w:t>
            </w:r>
          </w:p>
        </w:tc>
        <w:tc>
          <w:tcPr>
            <w:tcW w:w="508" w:type="dxa"/>
            <w:shd w:val="clear" w:color="auto" w:fill="auto"/>
            <w:vAlign w:val="center"/>
          </w:tcPr>
          <w:p w14:paraId="7560CA1A"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90" w:type="dxa"/>
            <w:shd w:val="clear" w:color="auto" w:fill="auto"/>
            <w:vAlign w:val="center"/>
          </w:tcPr>
          <w:p w14:paraId="1D364CF8"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45" w:type="dxa"/>
            <w:shd w:val="clear" w:color="auto" w:fill="auto"/>
            <w:vAlign w:val="center"/>
          </w:tcPr>
          <w:p w14:paraId="473393F2"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20" w:type="dxa"/>
            <w:shd w:val="clear" w:color="auto" w:fill="auto"/>
            <w:vAlign w:val="center"/>
          </w:tcPr>
          <w:p w14:paraId="20BF7A31"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81" w:type="dxa"/>
            <w:shd w:val="clear" w:color="auto" w:fill="auto"/>
            <w:vAlign w:val="center"/>
          </w:tcPr>
          <w:p w14:paraId="6CBF6405"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74" w:type="dxa"/>
            <w:shd w:val="clear" w:color="auto" w:fill="auto"/>
            <w:vAlign w:val="center"/>
          </w:tcPr>
          <w:p w14:paraId="056CF2D4"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10" w:type="dxa"/>
            <w:shd w:val="clear" w:color="auto" w:fill="auto"/>
            <w:vAlign w:val="center"/>
          </w:tcPr>
          <w:p w14:paraId="3FAC6EC8"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54" w:type="dxa"/>
            <w:shd w:val="clear" w:color="auto" w:fill="auto"/>
            <w:vAlign w:val="center"/>
          </w:tcPr>
          <w:p w14:paraId="5522B83C"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94" w:type="dxa"/>
            <w:shd w:val="clear" w:color="auto" w:fill="auto"/>
            <w:vAlign w:val="center"/>
          </w:tcPr>
          <w:p w14:paraId="3002BDE0"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83" w:type="dxa"/>
            <w:shd w:val="clear" w:color="auto" w:fill="auto"/>
            <w:vAlign w:val="center"/>
          </w:tcPr>
          <w:p w14:paraId="743AF950"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68" w:type="dxa"/>
            <w:shd w:val="clear" w:color="auto" w:fill="auto"/>
            <w:vAlign w:val="center"/>
          </w:tcPr>
          <w:p w14:paraId="157B6215"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72" w:type="dxa"/>
            <w:shd w:val="clear" w:color="auto" w:fill="auto"/>
            <w:vAlign w:val="center"/>
          </w:tcPr>
          <w:p w14:paraId="396E8863"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10</w:t>
            </w:r>
          </w:p>
        </w:tc>
        <w:tc>
          <w:tcPr>
            <w:tcW w:w="1155" w:type="dxa"/>
            <w:shd w:val="clear" w:color="auto" w:fill="F2F2F2" w:themeFill="background1" w:themeFillShade="F2"/>
            <w:vAlign w:val="center"/>
          </w:tcPr>
          <w:p w14:paraId="6072FFC0" w14:textId="77777777" w:rsidR="002B70A7" w:rsidRPr="00033E65" w:rsidRDefault="002B70A7" w:rsidP="0060735A">
            <w:pPr>
              <w:spacing w:before="0" w:after="0"/>
              <w:jc w:val="center"/>
              <w:rPr>
                <w:rFonts w:cs="Calibri"/>
                <w:b/>
                <w:bCs/>
                <w:color w:val="375623"/>
                <w:sz w:val="20"/>
                <w:lang w:eastAsia="es-CR"/>
              </w:rPr>
            </w:pPr>
            <w:r w:rsidRPr="00033E65">
              <w:rPr>
                <w:rFonts w:cs="Calibri"/>
                <w:b/>
                <w:bCs/>
                <w:color w:val="375623"/>
                <w:sz w:val="20"/>
                <w:lang w:eastAsia="es-CR"/>
              </w:rPr>
              <w:t>10</w:t>
            </w:r>
          </w:p>
        </w:tc>
      </w:tr>
      <w:tr w:rsidR="002B70A7" w:rsidRPr="00033E65" w14:paraId="4437DFAD" w14:textId="77777777" w:rsidTr="0060735A">
        <w:trPr>
          <w:trHeight w:val="870"/>
        </w:trPr>
        <w:tc>
          <w:tcPr>
            <w:tcW w:w="1677" w:type="dxa"/>
            <w:shd w:val="clear" w:color="auto" w:fill="auto"/>
            <w:vAlign w:val="center"/>
            <w:hideMark/>
          </w:tcPr>
          <w:p w14:paraId="0B2C8CB7" w14:textId="77777777" w:rsidR="002B70A7" w:rsidRPr="00033E65" w:rsidRDefault="002B70A7" w:rsidP="0060735A">
            <w:pPr>
              <w:spacing w:before="0" w:after="0"/>
              <w:jc w:val="left"/>
              <w:rPr>
                <w:rFonts w:cs="Calibri"/>
                <w:color w:val="000000"/>
                <w:sz w:val="20"/>
                <w:lang w:eastAsia="es-CR"/>
              </w:rPr>
            </w:pPr>
            <w:r w:rsidRPr="00033E65">
              <w:rPr>
                <w:rFonts w:cs="Calibri"/>
                <w:color w:val="000000"/>
                <w:sz w:val="20"/>
                <w:lang w:eastAsia="es-CR"/>
              </w:rPr>
              <w:t>Juzgado Agrario de Cartago</w:t>
            </w:r>
          </w:p>
        </w:tc>
        <w:tc>
          <w:tcPr>
            <w:tcW w:w="508" w:type="dxa"/>
            <w:shd w:val="clear" w:color="auto" w:fill="auto"/>
            <w:vAlign w:val="center"/>
          </w:tcPr>
          <w:p w14:paraId="471F1189"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90" w:type="dxa"/>
            <w:shd w:val="clear" w:color="auto" w:fill="auto"/>
            <w:vAlign w:val="center"/>
          </w:tcPr>
          <w:p w14:paraId="0DF0926F"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45" w:type="dxa"/>
            <w:shd w:val="clear" w:color="auto" w:fill="auto"/>
            <w:vAlign w:val="center"/>
          </w:tcPr>
          <w:p w14:paraId="612E61BF"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20" w:type="dxa"/>
            <w:shd w:val="clear" w:color="auto" w:fill="auto"/>
            <w:vAlign w:val="center"/>
          </w:tcPr>
          <w:p w14:paraId="4B68C9C8"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81" w:type="dxa"/>
            <w:shd w:val="clear" w:color="auto" w:fill="auto"/>
            <w:vAlign w:val="center"/>
          </w:tcPr>
          <w:p w14:paraId="0E11DEFE"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74" w:type="dxa"/>
            <w:shd w:val="clear" w:color="auto" w:fill="auto"/>
            <w:vAlign w:val="center"/>
          </w:tcPr>
          <w:p w14:paraId="5EA467E0"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10" w:type="dxa"/>
            <w:shd w:val="clear" w:color="auto" w:fill="auto"/>
            <w:vAlign w:val="center"/>
          </w:tcPr>
          <w:p w14:paraId="6431DFA7"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54" w:type="dxa"/>
            <w:shd w:val="clear" w:color="auto" w:fill="auto"/>
            <w:vAlign w:val="center"/>
          </w:tcPr>
          <w:p w14:paraId="685DFD5B"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94" w:type="dxa"/>
            <w:shd w:val="clear" w:color="auto" w:fill="auto"/>
            <w:vAlign w:val="center"/>
          </w:tcPr>
          <w:p w14:paraId="78CD7747"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13</w:t>
            </w:r>
          </w:p>
        </w:tc>
        <w:tc>
          <w:tcPr>
            <w:tcW w:w="483" w:type="dxa"/>
            <w:shd w:val="clear" w:color="auto" w:fill="auto"/>
            <w:vAlign w:val="center"/>
          </w:tcPr>
          <w:p w14:paraId="7D65DC38"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68" w:type="dxa"/>
            <w:shd w:val="clear" w:color="auto" w:fill="auto"/>
            <w:vAlign w:val="center"/>
          </w:tcPr>
          <w:p w14:paraId="47BE533E"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5</w:t>
            </w:r>
          </w:p>
        </w:tc>
        <w:tc>
          <w:tcPr>
            <w:tcW w:w="472" w:type="dxa"/>
            <w:shd w:val="clear" w:color="auto" w:fill="auto"/>
            <w:vAlign w:val="center"/>
          </w:tcPr>
          <w:p w14:paraId="6B8C57F3"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1</w:t>
            </w:r>
          </w:p>
        </w:tc>
        <w:tc>
          <w:tcPr>
            <w:tcW w:w="1155" w:type="dxa"/>
            <w:shd w:val="clear" w:color="auto" w:fill="F2F2F2" w:themeFill="background1" w:themeFillShade="F2"/>
            <w:vAlign w:val="center"/>
          </w:tcPr>
          <w:p w14:paraId="0216EABC" w14:textId="77777777" w:rsidR="002B70A7" w:rsidRPr="00033E65" w:rsidRDefault="002B70A7" w:rsidP="0060735A">
            <w:pPr>
              <w:spacing w:before="0" w:after="0"/>
              <w:jc w:val="center"/>
              <w:rPr>
                <w:rFonts w:cs="Calibri"/>
                <w:b/>
                <w:bCs/>
                <w:color w:val="375623"/>
                <w:sz w:val="20"/>
                <w:lang w:eastAsia="es-CR"/>
              </w:rPr>
            </w:pPr>
            <w:r w:rsidRPr="00033E65">
              <w:rPr>
                <w:rFonts w:cs="Calibri"/>
                <w:b/>
                <w:bCs/>
                <w:color w:val="375623"/>
                <w:sz w:val="20"/>
                <w:lang w:eastAsia="es-CR"/>
              </w:rPr>
              <w:t>19</w:t>
            </w:r>
          </w:p>
        </w:tc>
      </w:tr>
      <w:tr w:rsidR="002B70A7" w:rsidRPr="00033E65" w14:paraId="1C73F51A" w14:textId="77777777" w:rsidTr="0060735A">
        <w:trPr>
          <w:trHeight w:val="870"/>
        </w:trPr>
        <w:tc>
          <w:tcPr>
            <w:tcW w:w="1677" w:type="dxa"/>
            <w:shd w:val="clear" w:color="auto" w:fill="auto"/>
            <w:vAlign w:val="center"/>
            <w:hideMark/>
          </w:tcPr>
          <w:p w14:paraId="2E8CBE3A" w14:textId="77777777" w:rsidR="002B70A7" w:rsidRPr="00033E65" w:rsidRDefault="002B70A7" w:rsidP="0060735A">
            <w:pPr>
              <w:spacing w:before="0" w:after="0"/>
              <w:jc w:val="left"/>
              <w:rPr>
                <w:rFonts w:cs="Calibri"/>
                <w:color w:val="000000"/>
                <w:sz w:val="20"/>
                <w:lang w:eastAsia="es-CR"/>
              </w:rPr>
            </w:pPr>
            <w:r w:rsidRPr="00033E65">
              <w:rPr>
                <w:rFonts w:cs="Calibri"/>
                <w:color w:val="000000"/>
                <w:sz w:val="20"/>
                <w:lang w:eastAsia="es-CR"/>
              </w:rPr>
              <w:t>Juzgado Agrario I Circuito Judicial de la Zona Atlántica (Limón)</w:t>
            </w:r>
          </w:p>
        </w:tc>
        <w:tc>
          <w:tcPr>
            <w:tcW w:w="508" w:type="dxa"/>
            <w:shd w:val="clear" w:color="auto" w:fill="auto"/>
            <w:vAlign w:val="center"/>
          </w:tcPr>
          <w:p w14:paraId="686A8166"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90" w:type="dxa"/>
            <w:shd w:val="clear" w:color="auto" w:fill="auto"/>
            <w:vAlign w:val="center"/>
          </w:tcPr>
          <w:p w14:paraId="58F30716"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45" w:type="dxa"/>
            <w:shd w:val="clear" w:color="auto" w:fill="auto"/>
            <w:vAlign w:val="center"/>
          </w:tcPr>
          <w:p w14:paraId="7E63B972"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20" w:type="dxa"/>
            <w:shd w:val="clear" w:color="auto" w:fill="auto"/>
            <w:vAlign w:val="center"/>
          </w:tcPr>
          <w:p w14:paraId="52CE3E2D"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81" w:type="dxa"/>
            <w:shd w:val="clear" w:color="auto" w:fill="auto"/>
            <w:vAlign w:val="center"/>
          </w:tcPr>
          <w:p w14:paraId="4D34369D"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14</w:t>
            </w:r>
          </w:p>
        </w:tc>
        <w:tc>
          <w:tcPr>
            <w:tcW w:w="474" w:type="dxa"/>
            <w:shd w:val="clear" w:color="auto" w:fill="auto"/>
            <w:vAlign w:val="center"/>
          </w:tcPr>
          <w:p w14:paraId="671FFEF2"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6</w:t>
            </w:r>
          </w:p>
        </w:tc>
        <w:tc>
          <w:tcPr>
            <w:tcW w:w="410" w:type="dxa"/>
            <w:shd w:val="clear" w:color="auto" w:fill="auto"/>
            <w:vAlign w:val="center"/>
          </w:tcPr>
          <w:p w14:paraId="518488EB"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54" w:type="dxa"/>
            <w:shd w:val="clear" w:color="auto" w:fill="auto"/>
            <w:vAlign w:val="center"/>
          </w:tcPr>
          <w:p w14:paraId="648574A3"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94" w:type="dxa"/>
            <w:shd w:val="clear" w:color="auto" w:fill="auto"/>
            <w:vAlign w:val="center"/>
          </w:tcPr>
          <w:p w14:paraId="6ED8862D"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1</w:t>
            </w:r>
          </w:p>
        </w:tc>
        <w:tc>
          <w:tcPr>
            <w:tcW w:w="483" w:type="dxa"/>
            <w:shd w:val="clear" w:color="auto" w:fill="auto"/>
            <w:vAlign w:val="center"/>
          </w:tcPr>
          <w:p w14:paraId="03A05AF2"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568" w:type="dxa"/>
            <w:shd w:val="clear" w:color="auto" w:fill="auto"/>
            <w:vAlign w:val="center"/>
          </w:tcPr>
          <w:p w14:paraId="39CDAD49"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472" w:type="dxa"/>
            <w:shd w:val="clear" w:color="auto" w:fill="auto"/>
            <w:vAlign w:val="center"/>
          </w:tcPr>
          <w:p w14:paraId="227DAC47" w14:textId="77777777" w:rsidR="002B70A7" w:rsidRPr="00033E65" w:rsidRDefault="002B70A7" w:rsidP="0060735A">
            <w:pPr>
              <w:spacing w:before="0" w:after="0"/>
              <w:jc w:val="center"/>
              <w:rPr>
                <w:rFonts w:cs="Calibri"/>
                <w:color w:val="000000"/>
                <w:sz w:val="20"/>
                <w:lang w:eastAsia="es-CR"/>
              </w:rPr>
            </w:pPr>
            <w:r w:rsidRPr="00033E65">
              <w:rPr>
                <w:rFonts w:cs="Calibri"/>
                <w:color w:val="000000"/>
                <w:sz w:val="20"/>
                <w:lang w:eastAsia="es-CR"/>
              </w:rPr>
              <w:t>-</w:t>
            </w:r>
          </w:p>
        </w:tc>
        <w:tc>
          <w:tcPr>
            <w:tcW w:w="1155" w:type="dxa"/>
            <w:shd w:val="clear" w:color="auto" w:fill="F2F2F2" w:themeFill="background1" w:themeFillShade="F2"/>
            <w:vAlign w:val="center"/>
          </w:tcPr>
          <w:p w14:paraId="4A46E2B4" w14:textId="77777777" w:rsidR="002B70A7" w:rsidRPr="00033E65" w:rsidRDefault="002B70A7" w:rsidP="0060735A">
            <w:pPr>
              <w:spacing w:before="0" w:after="0"/>
              <w:jc w:val="center"/>
              <w:rPr>
                <w:rFonts w:cs="Calibri"/>
                <w:b/>
                <w:bCs/>
                <w:color w:val="375623"/>
                <w:sz w:val="20"/>
                <w:lang w:eastAsia="es-CR"/>
              </w:rPr>
            </w:pPr>
            <w:r w:rsidRPr="00033E65">
              <w:rPr>
                <w:rFonts w:cs="Calibri"/>
                <w:b/>
                <w:bCs/>
                <w:color w:val="375623"/>
                <w:sz w:val="20"/>
                <w:lang w:eastAsia="es-CR"/>
              </w:rPr>
              <w:t>21</w:t>
            </w:r>
          </w:p>
        </w:tc>
      </w:tr>
      <w:tr w:rsidR="002B70A7" w:rsidRPr="00033E65" w14:paraId="67B0C654" w14:textId="77777777" w:rsidTr="0060735A">
        <w:trPr>
          <w:trHeight w:val="74"/>
        </w:trPr>
        <w:tc>
          <w:tcPr>
            <w:tcW w:w="1677" w:type="dxa"/>
            <w:shd w:val="clear" w:color="000000" w:fill="D9E1F2"/>
            <w:vAlign w:val="center"/>
            <w:hideMark/>
          </w:tcPr>
          <w:p w14:paraId="278E9487" w14:textId="77777777" w:rsidR="002B70A7" w:rsidRPr="00033E65" w:rsidRDefault="002B70A7" w:rsidP="0060735A">
            <w:pPr>
              <w:spacing w:before="0" w:after="0"/>
              <w:jc w:val="left"/>
              <w:rPr>
                <w:rFonts w:cs="Calibri"/>
                <w:color w:val="000000"/>
                <w:sz w:val="20"/>
                <w:lang w:eastAsia="es-CR"/>
              </w:rPr>
            </w:pPr>
            <w:r w:rsidRPr="00033E65">
              <w:rPr>
                <w:rFonts w:cs="Calibri"/>
                <w:color w:val="000000"/>
                <w:sz w:val="20"/>
                <w:lang w:eastAsia="es-CR"/>
              </w:rPr>
              <w:t>Total por mes</w:t>
            </w:r>
          </w:p>
        </w:tc>
        <w:tc>
          <w:tcPr>
            <w:tcW w:w="508" w:type="dxa"/>
            <w:shd w:val="clear" w:color="000000" w:fill="D9E1F2"/>
            <w:vAlign w:val="center"/>
          </w:tcPr>
          <w:p w14:paraId="23E4CDB8" w14:textId="77777777" w:rsidR="002B70A7" w:rsidRPr="00033E65" w:rsidRDefault="002B70A7" w:rsidP="0060735A">
            <w:pPr>
              <w:spacing w:before="0" w:after="0"/>
              <w:jc w:val="center"/>
              <w:rPr>
                <w:rFonts w:cs="Calibri"/>
                <w:b/>
                <w:bCs/>
                <w:color w:val="203764"/>
                <w:sz w:val="20"/>
                <w:lang w:eastAsia="es-CR"/>
              </w:rPr>
            </w:pPr>
            <w:r w:rsidRPr="00033E65">
              <w:rPr>
                <w:rFonts w:cs="Calibri"/>
                <w:b/>
                <w:bCs/>
                <w:color w:val="203764"/>
                <w:sz w:val="20"/>
                <w:lang w:eastAsia="es-CR"/>
              </w:rPr>
              <w:t>12</w:t>
            </w:r>
          </w:p>
        </w:tc>
        <w:tc>
          <w:tcPr>
            <w:tcW w:w="490" w:type="dxa"/>
            <w:shd w:val="clear" w:color="000000" w:fill="D9E1F2"/>
            <w:vAlign w:val="center"/>
          </w:tcPr>
          <w:p w14:paraId="1BB4DB0C" w14:textId="77777777" w:rsidR="002B70A7" w:rsidRPr="00033E65" w:rsidRDefault="002B70A7" w:rsidP="0060735A">
            <w:pPr>
              <w:spacing w:before="0" w:after="0"/>
              <w:jc w:val="center"/>
              <w:rPr>
                <w:rFonts w:cs="Calibri"/>
                <w:b/>
                <w:bCs/>
                <w:color w:val="203764"/>
                <w:sz w:val="20"/>
                <w:lang w:eastAsia="es-CR"/>
              </w:rPr>
            </w:pPr>
            <w:r w:rsidRPr="00033E65">
              <w:rPr>
                <w:rFonts w:cs="Calibri"/>
                <w:b/>
                <w:bCs/>
                <w:color w:val="203764"/>
                <w:sz w:val="20"/>
                <w:lang w:eastAsia="es-CR"/>
              </w:rPr>
              <w:t>6</w:t>
            </w:r>
          </w:p>
        </w:tc>
        <w:tc>
          <w:tcPr>
            <w:tcW w:w="545" w:type="dxa"/>
            <w:shd w:val="clear" w:color="000000" w:fill="D9E1F2"/>
            <w:vAlign w:val="center"/>
          </w:tcPr>
          <w:p w14:paraId="04440E9D" w14:textId="77777777" w:rsidR="002B70A7" w:rsidRPr="00033E65" w:rsidRDefault="002B70A7" w:rsidP="0060735A">
            <w:pPr>
              <w:spacing w:before="0" w:after="0"/>
              <w:jc w:val="center"/>
              <w:rPr>
                <w:rFonts w:cs="Calibri"/>
                <w:b/>
                <w:bCs/>
                <w:color w:val="203764"/>
                <w:sz w:val="20"/>
                <w:lang w:eastAsia="es-CR"/>
              </w:rPr>
            </w:pPr>
            <w:r w:rsidRPr="00033E65">
              <w:rPr>
                <w:rFonts w:cs="Calibri"/>
                <w:b/>
                <w:bCs/>
                <w:color w:val="203764"/>
                <w:sz w:val="20"/>
                <w:lang w:eastAsia="es-CR"/>
              </w:rPr>
              <w:t>5</w:t>
            </w:r>
          </w:p>
        </w:tc>
        <w:tc>
          <w:tcPr>
            <w:tcW w:w="520" w:type="dxa"/>
            <w:shd w:val="clear" w:color="000000" w:fill="D9E1F2"/>
            <w:vAlign w:val="center"/>
          </w:tcPr>
          <w:p w14:paraId="41F159CD" w14:textId="77777777" w:rsidR="002B70A7" w:rsidRPr="00033E65" w:rsidRDefault="002B70A7" w:rsidP="0060735A">
            <w:pPr>
              <w:spacing w:before="0" w:after="0"/>
              <w:jc w:val="center"/>
              <w:rPr>
                <w:rFonts w:cs="Calibri"/>
                <w:b/>
                <w:bCs/>
                <w:color w:val="203764"/>
                <w:sz w:val="20"/>
                <w:lang w:eastAsia="es-CR"/>
              </w:rPr>
            </w:pPr>
            <w:r w:rsidRPr="00033E65">
              <w:rPr>
                <w:rFonts w:cs="Calibri"/>
                <w:b/>
                <w:bCs/>
                <w:color w:val="203764"/>
                <w:sz w:val="20"/>
                <w:lang w:eastAsia="es-CR"/>
              </w:rPr>
              <w:t>9</w:t>
            </w:r>
          </w:p>
        </w:tc>
        <w:tc>
          <w:tcPr>
            <w:tcW w:w="581" w:type="dxa"/>
            <w:shd w:val="clear" w:color="000000" w:fill="D9E1F2"/>
            <w:vAlign w:val="center"/>
          </w:tcPr>
          <w:p w14:paraId="630EF339" w14:textId="77777777" w:rsidR="002B70A7" w:rsidRPr="00033E65" w:rsidRDefault="002B70A7" w:rsidP="0060735A">
            <w:pPr>
              <w:spacing w:before="0" w:after="0"/>
              <w:jc w:val="center"/>
              <w:rPr>
                <w:rFonts w:cs="Calibri"/>
                <w:b/>
                <w:bCs/>
                <w:color w:val="203764"/>
                <w:sz w:val="20"/>
                <w:lang w:eastAsia="es-CR"/>
              </w:rPr>
            </w:pPr>
            <w:r w:rsidRPr="00033E65">
              <w:rPr>
                <w:rFonts w:cs="Calibri"/>
                <w:b/>
                <w:bCs/>
                <w:color w:val="203764"/>
                <w:sz w:val="20"/>
                <w:lang w:eastAsia="es-CR"/>
              </w:rPr>
              <w:t>22</w:t>
            </w:r>
          </w:p>
        </w:tc>
        <w:tc>
          <w:tcPr>
            <w:tcW w:w="474" w:type="dxa"/>
            <w:shd w:val="clear" w:color="000000" w:fill="D9E1F2"/>
            <w:vAlign w:val="center"/>
          </w:tcPr>
          <w:p w14:paraId="4F95C52C" w14:textId="77777777" w:rsidR="002B70A7" w:rsidRPr="00033E65" w:rsidRDefault="002B70A7" w:rsidP="0060735A">
            <w:pPr>
              <w:spacing w:before="0" w:after="0"/>
              <w:jc w:val="center"/>
              <w:rPr>
                <w:rFonts w:cs="Calibri"/>
                <w:b/>
                <w:bCs/>
                <w:color w:val="203764"/>
                <w:sz w:val="20"/>
                <w:lang w:eastAsia="es-CR"/>
              </w:rPr>
            </w:pPr>
            <w:r w:rsidRPr="00033E65">
              <w:rPr>
                <w:rFonts w:cs="Calibri"/>
                <w:b/>
                <w:bCs/>
                <w:color w:val="203764"/>
                <w:sz w:val="20"/>
                <w:lang w:eastAsia="es-CR"/>
              </w:rPr>
              <w:t>14</w:t>
            </w:r>
          </w:p>
        </w:tc>
        <w:tc>
          <w:tcPr>
            <w:tcW w:w="410" w:type="dxa"/>
            <w:shd w:val="clear" w:color="000000" w:fill="D9E1F2"/>
            <w:vAlign w:val="center"/>
          </w:tcPr>
          <w:p w14:paraId="3FB9FF4D" w14:textId="77777777" w:rsidR="002B70A7" w:rsidRPr="00033E65" w:rsidRDefault="002B70A7" w:rsidP="0060735A">
            <w:pPr>
              <w:spacing w:before="0" w:after="0"/>
              <w:jc w:val="center"/>
              <w:rPr>
                <w:rFonts w:cs="Calibri"/>
                <w:b/>
                <w:bCs/>
                <w:color w:val="203764"/>
                <w:sz w:val="20"/>
                <w:lang w:eastAsia="es-CR"/>
              </w:rPr>
            </w:pPr>
            <w:r w:rsidRPr="00033E65">
              <w:rPr>
                <w:rFonts w:cs="Calibri"/>
                <w:b/>
                <w:bCs/>
                <w:color w:val="203764"/>
                <w:sz w:val="20"/>
                <w:lang w:eastAsia="es-CR"/>
              </w:rPr>
              <w:t>3</w:t>
            </w:r>
          </w:p>
        </w:tc>
        <w:tc>
          <w:tcPr>
            <w:tcW w:w="554" w:type="dxa"/>
            <w:shd w:val="clear" w:color="000000" w:fill="D9E1F2"/>
            <w:vAlign w:val="center"/>
          </w:tcPr>
          <w:p w14:paraId="5D841067" w14:textId="77777777" w:rsidR="002B70A7" w:rsidRPr="00033E65" w:rsidRDefault="002B70A7" w:rsidP="0060735A">
            <w:pPr>
              <w:spacing w:before="0" w:after="0"/>
              <w:jc w:val="center"/>
              <w:rPr>
                <w:rFonts w:cs="Calibri"/>
                <w:b/>
                <w:bCs/>
                <w:color w:val="203764"/>
                <w:sz w:val="20"/>
                <w:lang w:eastAsia="es-CR"/>
              </w:rPr>
            </w:pPr>
            <w:r w:rsidRPr="00033E65">
              <w:rPr>
                <w:rFonts w:cs="Calibri"/>
                <w:b/>
                <w:bCs/>
                <w:color w:val="203764"/>
                <w:sz w:val="20"/>
                <w:lang w:eastAsia="es-CR"/>
              </w:rPr>
              <w:t>11</w:t>
            </w:r>
          </w:p>
        </w:tc>
        <w:tc>
          <w:tcPr>
            <w:tcW w:w="494" w:type="dxa"/>
            <w:shd w:val="clear" w:color="000000" w:fill="D9E1F2"/>
            <w:vAlign w:val="center"/>
          </w:tcPr>
          <w:p w14:paraId="2E761AAF" w14:textId="77777777" w:rsidR="002B70A7" w:rsidRPr="00033E65" w:rsidRDefault="002B70A7" w:rsidP="0060735A">
            <w:pPr>
              <w:spacing w:before="0" w:after="0"/>
              <w:jc w:val="center"/>
              <w:rPr>
                <w:rFonts w:cs="Calibri"/>
                <w:b/>
                <w:bCs/>
                <w:color w:val="203764"/>
                <w:sz w:val="20"/>
                <w:lang w:eastAsia="es-CR"/>
              </w:rPr>
            </w:pPr>
            <w:r w:rsidRPr="00033E65">
              <w:rPr>
                <w:rFonts w:cs="Calibri"/>
                <w:b/>
                <w:bCs/>
                <w:color w:val="203764"/>
                <w:sz w:val="20"/>
                <w:lang w:eastAsia="es-CR"/>
              </w:rPr>
              <w:t>14</w:t>
            </w:r>
          </w:p>
        </w:tc>
        <w:tc>
          <w:tcPr>
            <w:tcW w:w="483" w:type="dxa"/>
            <w:shd w:val="clear" w:color="000000" w:fill="D9E1F2"/>
            <w:vAlign w:val="center"/>
          </w:tcPr>
          <w:p w14:paraId="03EA6832" w14:textId="77777777" w:rsidR="002B70A7" w:rsidRPr="00033E65" w:rsidRDefault="002B70A7" w:rsidP="0060735A">
            <w:pPr>
              <w:spacing w:before="0" w:after="0"/>
              <w:jc w:val="center"/>
              <w:rPr>
                <w:rFonts w:cs="Calibri"/>
                <w:b/>
                <w:bCs/>
                <w:color w:val="203764"/>
                <w:sz w:val="20"/>
                <w:lang w:eastAsia="es-CR"/>
              </w:rPr>
            </w:pPr>
            <w:r w:rsidRPr="00033E65">
              <w:rPr>
                <w:rFonts w:cs="Calibri"/>
                <w:b/>
                <w:bCs/>
                <w:color w:val="203764"/>
                <w:sz w:val="20"/>
                <w:lang w:eastAsia="es-CR"/>
              </w:rPr>
              <w:t>4</w:t>
            </w:r>
          </w:p>
        </w:tc>
        <w:tc>
          <w:tcPr>
            <w:tcW w:w="568" w:type="dxa"/>
            <w:shd w:val="clear" w:color="000000" w:fill="D9E1F2"/>
            <w:vAlign w:val="center"/>
          </w:tcPr>
          <w:p w14:paraId="52ABF79E" w14:textId="77777777" w:rsidR="002B70A7" w:rsidRPr="00033E65" w:rsidRDefault="002B70A7" w:rsidP="0060735A">
            <w:pPr>
              <w:spacing w:before="0" w:after="0"/>
              <w:jc w:val="center"/>
              <w:rPr>
                <w:rFonts w:cs="Calibri"/>
                <w:b/>
                <w:bCs/>
                <w:color w:val="203764"/>
                <w:sz w:val="20"/>
                <w:lang w:eastAsia="es-CR"/>
              </w:rPr>
            </w:pPr>
            <w:r w:rsidRPr="00033E65">
              <w:rPr>
                <w:rFonts w:cs="Calibri"/>
                <w:b/>
                <w:bCs/>
                <w:color w:val="203764"/>
                <w:sz w:val="20"/>
                <w:lang w:eastAsia="es-CR"/>
              </w:rPr>
              <w:t>11</w:t>
            </w:r>
          </w:p>
        </w:tc>
        <w:tc>
          <w:tcPr>
            <w:tcW w:w="472" w:type="dxa"/>
            <w:shd w:val="clear" w:color="000000" w:fill="D9E1F2"/>
            <w:vAlign w:val="center"/>
          </w:tcPr>
          <w:p w14:paraId="2A473DBE" w14:textId="77777777" w:rsidR="002B70A7" w:rsidRPr="00033E65" w:rsidRDefault="002B70A7" w:rsidP="0060735A">
            <w:pPr>
              <w:spacing w:before="0" w:after="0"/>
              <w:jc w:val="center"/>
              <w:rPr>
                <w:rFonts w:cs="Calibri"/>
                <w:b/>
                <w:bCs/>
                <w:color w:val="203764"/>
                <w:sz w:val="20"/>
                <w:lang w:eastAsia="es-CR"/>
              </w:rPr>
            </w:pPr>
            <w:r w:rsidRPr="00033E65">
              <w:rPr>
                <w:rFonts w:cs="Calibri"/>
                <w:b/>
                <w:bCs/>
                <w:color w:val="203764"/>
                <w:sz w:val="20"/>
                <w:lang w:eastAsia="es-CR"/>
              </w:rPr>
              <w:t>11</w:t>
            </w:r>
          </w:p>
        </w:tc>
        <w:tc>
          <w:tcPr>
            <w:tcW w:w="1155" w:type="dxa"/>
            <w:shd w:val="clear" w:color="auto" w:fill="F2F2F2" w:themeFill="background1" w:themeFillShade="F2"/>
            <w:vAlign w:val="center"/>
          </w:tcPr>
          <w:p w14:paraId="0A187798" w14:textId="77777777" w:rsidR="002B70A7" w:rsidRPr="00033E65" w:rsidRDefault="002B70A7" w:rsidP="0060735A">
            <w:pPr>
              <w:spacing w:before="0" w:after="0"/>
              <w:jc w:val="center"/>
              <w:rPr>
                <w:rFonts w:cs="Calibri"/>
                <w:b/>
                <w:bCs/>
                <w:color w:val="203764"/>
                <w:sz w:val="20"/>
                <w:lang w:eastAsia="es-CR"/>
              </w:rPr>
            </w:pPr>
            <w:r w:rsidRPr="00033E65">
              <w:rPr>
                <w:rFonts w:cs="Calibri"/>
                <w:b/>
                <w:bCs/>
                <w:color w:val="203764"/>
                <w:sz w:val="20"/>
                <w:lang w:eastAsia="es-CR"/>
              </w:rPr>
              <w:t>123</w:t>
            </w:r>
          </w:p>
        </w:tc>
      </w:tr>
    </w:tbl>
    <w:p w14:paraId="03B562A1" w14:textId="77777777" w:rsidR="002B70A7" w:rsidRPr="00033E65" w:rsidRDefault="002B70A7" w:rsidP="002B70A7">
      <w:pPr>
        <w:tabs>
          <w:tab w:val="left" w:pos="7797"/>
        </w:tabs>
        <w:spacing w:after="0"/>
        <w:ind w:right="1041"/>
        <w:rPr>
          <w:rFonts w:cs="Calibri"/>
          <w:iCs/>
          <w:sz w:val="20"/>
          <w:lang w:eastAsia="es-CR"/>
        </w:rPr>
      </w:pPr>
    </w:p>
    <w:p w14:paraId="6095735B" w14:textId="6D37B7BE" w:rsidR="002B70A7" w:rsidRPr="00033E65" w:rsidRDefault="002B70A7" w:rsidP="00CE1721">
      <w:pPr>
        <w:rPr>
          <w:i/>
          <w:sz w:val="20"/>
          <w:lang w:val="es-MX"/>
        </w:rPr>
      </w:pPr>
      <w:r w:rsidRPr="00033E65">
        <w:rPr>
          <w:rFonts w:cs="Calibri"/>
          <w:i/>
          <w:sz w:val="20"/>
          <w:lang w:eastAsia="es-CR"/>
        </w:rPr>
        <w:t>Fuente:</w:t>
      </w:r>
      <w:r w:rsidRPr="00033E65">
        <w:rPr>
          <w:i/>
          <w:sz w:val="20"/>
          <w:lang w:val="es-MX"/>
        </w:rPr>
        <w:t xml:space="preserve"> </w:t>
      </w:r>
      <w:r w:rsidR="00BE347D" w:rsidRPr="00033E65">
        <w:rPr>
          <w:i/>
          <w:sz w:val="20"/>
          <w:lang w:val="es-MX"/>
        </w:rPr>
        <w:t>Centro de Apoyo, Coordinación y Mejoramiento de la Función Jurisdiccional de acuerdo con</w:t>
      </w:r>
      <w:r w:rsidRPr="00033E65">
        <w:rPr>
          <w:rFonts w:cs="Calibri"/>
          <w:i/>
          <w:sz w:val="20"/>
          <w:lang w:eastAsia="es-CR"/>
        </w:rPr>
        <w:t xml:space="preserve"> Informe de labores mensuales de las personas juzgadoras del 2022.</w:t>
      </w:r>
    </w:p>
    <w:p w14:paraId="60776517" w14:textId="77777777" w:rsidR="002B70A7" w:rsidRPr="00033E65" w:rsidRDefault="002B70A7">
      <w:pPr>
        <w:pStyle w:val="Prrafodelista"/>
        <w:numPr>
          <w:ilvl w:val="0"/>
          <w:numId w:val="41"/>
        </w:numPr>
        <w:spacing w:after="0"/>
        <w:rPr>
          <w:szCs w:val="22"/>
          <w:lang w:val="es-MX"/>
        </w:rPr>
      </w:pPr>
      <w:r w:rsidRPr="00033E65">
        <w:rPr>
          <w:szCs w:val="22"/>
          <w:lang w:val="es-MX"/>
        </w:rPr>
        <w:t xml:space="preserve">En el año 2022 el CACMFJ colaboró con el fallo de 123 asuntos. </w:t>
      </w:r>
    </w:p>
    <w:p w14:paraId="5F6E06EF" w14:textId="77777777" w:rsidR="002B70A7" w:rsidRPr="00033E65" w:rsidRDefault="002B70A7">
      <w:pPr>
        <w:pStyle w:val="Prrafodelista"/>
        <w:numPr>
          <w:ilvl w:val="0"/>
          <w:numId w:val="41"/>
        </w:numPr>
        <w:spacing w:after="0"/>
        <w:rPr>
          <w:szCs w:val="22"/>
          <w:lang w:val="es-MX"/>
        </w:rPr>
      </w:pPr>
      <w:r w:rsidRPr="00033E65">
        <w:rPr>
          <w:szCs w:val="22"/>
          <w:lang w:val="es-MX"/>
        </w:rPr>
        <w:t>El despacho que recibió mayor colaboración fue el Juzgado Civil y Laboral del II Circuito Judicial de Alajuela (sede Upala) con 67 procesos fallados, seguido por el Juzgado Agrario del I Circuito Judicial de la Zona Atlántica (Limón) con 21 y el Juzgado Agrario de Cartago con 19.</w:t>
      </w:r>
    </w:p>
    <w:p w14:paraId="16EC807E" w14:textId="515C38B5" w:rsidR="002B70A7" w:rsidRPr="00924F24" w:rsidRDefault="002B70A7" w:rsidP="00924F24">
      <w:pPr>
        <w:pStyle w:val="Prrafodelista"/>
        <w:numPr>
          <w:ilvl w:val="0"/>
          <w:numId w:val="41"/>
        </w:numPr>
        <w:spacing w:after="0"/>
        <w:rPr>
          <w:szCs w:val="22"/>
          <w:lang w:val="es-MX"/>
        </w:rPr>
      </w:pPr>
      <w:r w:rsidRPr="00033E65">
        <w:rPr>
          <w:szCs w:val="22"/>
          <w:lang w:val="es-MX"/>
        </w:rPr>
        <w:t xml:space="preserve">En el mes de mayo de 2022 se falló la mayor cantidad de asuntos, para un total de 22 expedientes, seguido por los meses de junio y setiembre con 14 asuntos, respectivamente. </w:t>
      </w:r>
    </w:p>
    <w:p w14:paraId="0A0A0E22" w14:textId="391B39C1" w:rsidR="002B70A7" w:rsidRPr="00033E65" w:rsidRDefault="00554C4E" w:rsidP="00951D3E">
      <w:pPr>
        <w:pStyle w:val="Ttulo3"/>
      </w:pPr>
      <w:bookmarkStart w:id="215" w:name="_Toc132639565"/>
      <w:r>
        <w:t>12</w:t>
      </w:r>
      <w:r w:rsidR="003161F5" w:rsidRPr="00033E65">
        <w:t xml:space="preserve">.4 </w:t>
      </w:r>
      <w:r w:rsidR="002B70A7" w:rsidRPr="00033E65">
        <w:t>Planes de Trabajos en el Tribunal Agrario con Personal Juzgador del CACMFJ</w:t>
      </w:r>
      <w:bookmarkEnd w:id="215"/>
    </w:p>
    <w:p w14:paraId="580E3082" w14:textId="157C0043" w:rsidR="002B70A7" w:rsidRPr="00033E65" w:rsidRDefault="002B70A7" w:rsidP="002B70A7">
      <w:pPr>
        <w:spacing w:after="0"/>
        <w:rPr>
          <w:szCs w:val="22"/>
          <w:lang w:val="es-MX"/>
        </w:rPr>
      </w:pPr>
      <w:r w:rsidRPr="00033E65">
        <w:rPr>
          <w:szCs w:val="22"/>
          <w:lang w:val="es-MX"/>
        </w:rPr>
        <w:t xml:space="preserve">El CACMFJ asignó en el 2022 una persona juzgadora en el Tribunal Agrario para brindar colaboración en el dictado de resoluciones, lográndose dictar 208, cuyo desglose mensual se detalla a continuación: </w:t>
      </w:r>
    </w:p>
    <w:p w14:paraId="3367E297" w14:textId="5D4D9094" w:rsidR="002B70A7" w:rsidRPr="00033E65" w:rsidRDefault="002B70A7" w:rsidP="002B70A7">
      <w:pPr>
        <w:pStyle w:val="Ttulo"/>
        <w:spacing w:before="0" w:after="0" w:line="240" w:lineRule="auto"/>
        <w:ind w:left="284" w:hanging="284"/>
        <w:jc w:val="center"/>
        <w:rPr>
          <w:rFonts w:eastAsia="Times New Roman" w:cs="Arial"/>
          <w:iCs/>
          <w:spacing w:val="0"/>
          <w:sz w:val="22"/>
          <w:szCs w:val="22"/>
          <w:lang w:val="es-CR" w:eastAsia="es-ES"/>
        </w:rPr>
      </w:pPr>
      <w:r w:rsidRPr="00033E65">
        <w:rPr>
          <w:rFonts w:eastAsia="Times New Roman" w:cs="Arial"/>
          <w:iCs/>
          <w:spacing w:val="0"/>
          <w:sz w:val="22"/>
          <w:szCs w:val="22"/>
          <w:lang w:val="es-CR" w:eastAsia="es-ES"/>
        </w:rPr>
        <w:t xml:space="preserve">Cuadro </w:t>
      </w:r>
      <w:r w:rsidR="00033383" w:rsidRPr="00033E65">
        <w:rPr>
          <w:rFonts w:eastAsia="Times New Roman" w:cs="Arial"/>
          <w:iCs/>
          <w:spacing w:val="0"/>
          <w:sz w:val="22"/>
          <w:szCs w:val="22"/>
          <w:lang w:val="es-CR" w:eastAsia="es-ES"/>
        </w:rPr>
        <w:t>21</w:t>
      </w:r>
    </w:p>
    <w:p w14:paraId="336C7BE5" w14:textId="77777777" w:rsidR="002B70A7" w:rsidRPr="00033E65" w:rsidRDefault="002B70A7" w:rsidP="002B70A7">
      <w:pPr>
        <w:pStyle w:val="Ttulo"/>
        <w:spacing w:before="0" w:after="0" w:line="240" w:lineRule="auto"/>
        <w:ind w:left="720"/>
        <w:jc w:val="center"/>
        <w:rPr>
          <w:rFonts w:eastAsia="Times New Roman" w:cs="Arial"/>
          <w:iCs/>
          <w:spacing w:val="0"/>
          <w:sz w:val="22"/>
          <w:szCs w:val="22"/>
          <w:lang w:val="es-CR" w:eastAsia="es-ES"/>
        </w:rPr>
      </w:pPr>
      <w:r w:rsidRPr="00033E65">
        <w:rPr>
          <w:rFonts w:eastAsia="Times New Roman" w:cs="Arial"/>
          <w:iCs/>
          <w:spacing w:val="0"/>
          <w:sz w:val="22"/>
          <w:szCs w:val="22"/>
          <w:lang w:val="es-CR" w:eastAsia="es-ES"/>
        </w:rPr>
        <w:t xml:space="preserve">Colaboración Brindada en el Dictado de Resoluciones </w:t>
      </w:r>
    </w:p>
    <w:p w14:paraId="63D9CD24" w14:textId="77777777" w:rsidR="002B70A7" w:rsidRPr="00033E65" w:rsidRDefault="002B70A7" w:rsidP="002B70A7">
      <w:pPr>
        <w:pStyle w:val="Ttulo"/>
        <w:spacing w:before="0" w:after="0" w:line="240" w:lineRule="auto"/>
        <w:ind w:left="720"/>
        <w:jc w:val="center"/>
        <w:rPr>
          <w:rFonts w:eastAsia="Times New Roman" w:cs="Arial"/>
          <w:iCs/>
          <w:spacing w:val="0"/>
          <w:sz w:val="22"/>
          <w:szCs w:val="22"/>
          <w:lang w:val="es-CR" w:eastAsia="es-ES"/>
        </w:rPr>
      </w:pPr>
      <w:r w:rsidRPr="00033E65">
        <w:rPr>
          <w:rFonts w:eastAsia="Times New Roman" w:cs="Arial"/>
          <w:iCs/>
          <w:spacing w:val="0"/>
          <w:sz w:val="22"/>
          <w:szCs w:val="22"/>
          <w:lang w:val="es-CR" w:eastAsia="es-ES"/>
        </w:rPr>
        <w:t>por parte del CACMFJ en el año 2022</w:t>
      </w:r>
    </w:p>
    <w:tbl>
      <w:tblPr>
        <w:tblpPr w:leftFromText="141" w:rightFromText="141" w:vertAnchor="text" w:horzAnchor="margin" w:tblpX="-147" w:tblpY="184"/>
        <w:tblW w:w="9078"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53"/>
        <w:gridCol w:w="508"/>
        <w:gridCol w:w="490"/>
        <w:gridCol w:w="545"/>
        <w:gridCol w:w="520"/>
        <w:gridCol w:w="581"/>
        <w:gridCol w:w="474"/>
        <w:gridCol w:w="410"/>
        <w:gridCol w:w="554"/>
        <w:gridCol w:w="494"/>
        <w:gridCol w:w="483"/>
        <w:gridCol w:w="568"/>
        <w:gridCol w:w="472"/>
        <w:gridCol w:w="1126"/>
      </w:tblGrid>
      <w:tr w:rsidR="002B70A7" w:rsidRPr="00033E65" w14:paraId="59349690" w14:textId="77777777" w:rsidTr="0060735A">
        <w:trPr>
          <w:trHeight w:val="580"/>
        </w:trPr>
        <w:tc>
          <w:tcPr>
            <w:tcW w:w="1853" w:type="dxa"/>
            <w:shd w:val="clear" w:color="000000" w:fill="305496"/>
            <w:vAlign w:val="center"/>
            <w:hideMark/>
          </w:tcPr>
          <w:p w14:paraId="359FCCD3" w14:textId="77777777" w:rsidR="002B70A7" w:rsidRPr="00033E65" w:rsidRDefault="002B70A7" w:rsidP="0060735A">
            <w:pPr>
              <w:spacing w:before="0" w:after="0"/>
              <w:jc w:val="left"/>
              <w:rPr>
                <w:rFonts w:cs="Calibri"/>
                <w:color w:val="FFFFFF"/>
                <w:szCs w:val="22"/>
                <w:lang w:eastAsia="es-CR"/>
              </w:rPr>
            </w:pPr>
            <w:r w:rsidRPr="00033E65">
              <w:rPr>
                <w:rFonts w:cs="Calibri"/>
                <w:color w:val="FFFFFF"/>
                <w:szCs w:val="22"/>
                <w:lang w:eastAsia="es-CR"/>
              </w:rPr>
              <w:t>Despacho</w:t>
            </w:r>
          </w:p>
        </w:tc>
        <w:tc>
          <w:tcPr>
            <w:tcW w:w="508" w:type="dxa"/>
            <w:shd w:val="clear" w:color="000000" w:fill="305496"/>
            <w:vAlign w:val="center"/>
            <w:hideMark/>
          </w:tcPr>
          <w:p w14:paraId="4E817FF6"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Ene</w:t>
            </w:r>
          </w:p>
        </w:tc>
        <w:tc>
          <w:tcPr>
            <w:tcW w:w="490" w:type="dxa"/>
            <w:shd w:val="clear" w:color="000000" w:fill="305496"/>
            <w:vAlign w:val="center"/>
            <w:hideMark/>
          </w:tcPr>
          <w:p w14:paraId="5916DAE1"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Feb</w:t>
            </w:r>
          </w:p>
        </w:tc>
        <w:tc>
          <w:tcPr>
            <w:tcW w:w="545" w:type="dxa"/>
            <w:shd w:val="clear" w:color="000000" w:fill="305496"/>
            <w:vAlign w:val="center"/>
            <w:hideMark/>
          </w:tcPr>
          <w:p w14:paraId="5CD7D3C3"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Mar</w:t>
            </w:r>
          </w:p>
        </w:tc>
        <w:tc>
          <w:tcPr>
            <w:tcW w:w="520" w:type="dxa"/>
            <w:shd w:val="clear" w:color="000000" w:fill="305496"/>
            <w:vAlign w:val="center"/>
            <w:hideMark/>
          </w:tcPr>
          <w:p w14:paraId="5EE3BA80"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Abr</w:t>
            </w:r>
          </w:p>
        </w:tc>
        <w:tc>
          <w:tcPr>
            <w:tcW w:w="581" w:type="dxa"/>
            <w:shd w:val="clear" w:color="000000" w:fill="305496"/>
            <w:vAlign w:val="center"/>
            <w:hideMark/>
          </w:tcPr>
          <w:p w14:paraId="6176B875"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May</w:t>
            </w:r>
          </w:p>
        </w:tc>
        <w:tc>
          <w:tcPr>
            <w:tcW w:w="474" w:type="dxa"/>
            <w:shd w:val="clear" w:color="000000" w:fill="305496"/>
            <w:vAlign w:val="center"/>
            <w:hideMark/>
          </w:tcPr>
          <w:p w14:paraId="228F594A"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Jun</w:t>
            </w:r>
          </w:p>
        </w:tc>
        <w:tc>
          <w:tcPr>
            <w:tcW w:w="410" w:type="dxa"/>
            <w:shd w:val="clear" w:color="000000" w:fill="305496"/>
            <w:vAlign w:val="center"/>
            <w:hideMark/>
          </w:tcPr>
          <w:p w14:paraId="70613E3A"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Jul</w:t>
            </w:r>
          </w:p>
        </w:tc>
        <w:tc>
          <w:tcPr>
            <w:tcW w:w="554" w:type="dxa"/>
            <w:shd w:val="clear" w:color="000000" w:fill="305496"/>
            <w:vAlign w:val="center"/>
            <w:hideMark/>
          </w:tcPr>
          <w:p w14:paraId="5D9D28CF"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Ago</w:t>
            </w:r>
          </w:p>
        </w:tc>
        <w:tc>
          <w:tcPr>
            <w:tcW w:w="494" w:type="dxa"/>
            <w:shd w:val="clear" w:color="000000" w:fill="305496"/>
            <w:vAlign w:val="center"/>
            <w:hideMark/>
          </w:tcPr>
          <w:p w14:paraId="71338335"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Sep</w:t>
            </w:r>
          </w:p>
        </w:tc>
        <w:tc>
          <w:tcPr>
            <w:tcW w:w="483" w:type="dxa"/>
            <w:shd w:val="clear" w:color="000000" w:fill="305496"/>
            <w:vAlign w:val="center"/>
            <w:hideMark/>
          </w:tcPr>
          <w:p w14:paraId="603D8BAD"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Oct</w:t>
            </w:r>
          </w:p>
        </w:tc>
        <w:tc>
          <w:tcPr>
            <w:tcW w:w="568" w:type="dxa"/>
            <w:shd w:val="clear" w:color="000000" w:fill="305496"/>
            <w:vAlign w:val="center"/>
            <w:hideMark/>
          </w:tcPr>
          <w:p w14:paraId="34245CC4"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Nov</w:t>
            </w:r>
          </w:p>
        </w:tc>
        <w:tc>
          <w:tcPr>
            <w:tcW w:w="472" w:type="dxa"/>
            <w:shd w:val="clear" w:color="000000" w:fill="305496"/>
            <w:vAlign w:val="center"/>
            <w:hideMark/>
          </w:tcPr>
          <w:p w14:paraId="72079AC6"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Dic</w:t>
            </w:r>
          </w:p>
        </w:tc>
        <w:tc>
          <w:tcPr>
            <w:tcW w:w="1126" w:type="dxa"/>
            <w:shd w:val="clear" w:color="000000" w:fill="375623"/>
            <w:vAlign w:val="center"/>
            <w:hideMark/>
          </w:tcPr>
          <w:p w14:paraId="28C99A63" w14:textId="77777777" w:rsidR="002B70A7" w:rsidRPr="00033E65" w:rsidRDefault="002B70A7" w:rsidP="0060735A">
            <w:pPr>
              <w:spacing w:before="0" w:after="0"/>
              <w:jc w:val="center"/>
              <w:rPr>
                <w:rFonts w:cs="Calibri"/>
                <w:color w:val="FFFFFF"/>
                <w:szCs w:val="22"/>
                <w:lang w:eastAsia="es-CR"/>
              </w:rPr>
            </w:pPr>
            <w:r w:rsidRPr="00033E65">
              <w:rPr>
                <w:rFonts w:cs="Calibri"/>
                <w:color w:val="FFFFFF"/>
                <w:szCs w:val="22"/>
                <w:lang w:eastAsia="es-CR"/>
              </w:rPr>
              <w:t>Total, por despacho</w:t>
            </w:r>
          </w:p>
        </w:tc>
      </w:tr>
      <w:tr w:rsidR="002B70A7" w:rsidRPr="00033E65" w14:paraId="597740F9" w14:textId="77777777" w:rsidTr="0060735A">
        <w:trPr>
          <w:trHeight w:val="697"/>
        </w:trPr>
        <w:tc>
          <w:tcPr>
            <w:tcW w:w="1853" w:type="dxa"/>
            <w:shd w:val="clear" w:color="auto" w:fill="auto"/>
            <w:vAlign w:val="center"/>
            <w:hideMark/>
          </w:tcPr>
          <w:p w14:paraId="518100E8" w14:textId="77777777" w:rsidR="002B70A7" w:rsidRPr="00033E65" w:rsidRDefault="002B70A7" w:rsidP="0060735A">
            <w:pPr>
              <w:spacing w:before="0" w:after="0"/>
              <w:jc w:val="left"/>
              <w:rPr>
                <w:rFonts w:cs="Calibri"/>
                <w:color w:val="000000"/>
                <w:szCs w:val="22"/>
                <w:lang w:eastAsia="es-CR"/>
              </w:rPr>
            </w:pPr>
            <w:r w:rsidRPr="00033E65">
              <w:rPr>
                <w:rFonts w:cs="Calibri"/>
                <w:color w:val="000000"/>
                <w:szCs w:val="22"/>
                <w:lang w:eastAsia="es-CR"/>
              </w:rPr>
              <w:t>Tribunal Agrario</w:t>
            </w:r>
          </w:p>
        </w:tc>
        <w:tc>
          <w:tcPr>
            <w:tcW w:w="508" w:type="dxa"/>
            <w:shd w:val="clear" w:color="auto" w:fill="auto"/>
            <w:vAlign w:val="center"/>
          </w:tcPr>
          <w:p w14:paraId="5D0CA204"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20</w:t>
            </w:r>
          </w:p>
        </w:tc>
        <w:tc>
          <w:tcPr>
            <w:tcW w:w="490" w:type="dxa"/>
            <w:shd w:val="clear" w:color="auto" w:fill="auto"/>
            <w:vAlign w:val="center"/>
          </w:tcPr>
          <w:p w14:paraId="48B05635"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21</w:t>
            </w:r>
          </w:p>
        </w:tc>
        <w:tc>
          <w:tcPr>
            <w:tcW w:w="545" w:type="dxa"/>
            <w:shd w:val="clear" w:color="auto" w:fill="auto"/>
            <w:vAlign w:val="center"/>
          </w:tcPr>
          <w:p w14:paraId="2FE81888"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16</w:t>
            </w:r>
          </w:p>
        </w:tc>
        <w:tc>
          <w:tcPr>
            <w:tcW w:w="520" w:type="dxa"/>
            <w:shd w:val="clear" w:color="auto" w:fill="auto"/>
            <w:vAlign w:val="center"/>
          </w:tcPr>
          <w:p w14:paraId="7601D4BF"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13</w:t>
            </w:r>
          </w:p>
        </w:tc>
        <w:tc>
          <w:tcPr>
            <w:tcW w:w="581" w:type="dxa"/>
            <w:shd w:val="clear" w:color="auto" w:fill="auto"/>
            <w:vAlign w:val="center"/>
          </w:tcPr>
          <w:p w14:paraId="3F4B9E32"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19</w:t>
            </w:r>
          </w:p>
        </w:tc>
        <w:tc>
          <w:tcPr>
            <w:tcW w:w="474" w:type="dxa"/>
            <w:shd w:val="clear" w:color="000000" w:fill="FFFFFF"/>
            <w:vAlign w:val="center"/>
          </w:tcPr>
          <w:p w14:paraId="5300B2EA"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18</w:t>
            </w:r>
          </w:p>
        </w:tc>
        <w:tc>
          <w:tcPr>
            <w:tcW w:w="410" w:type="dxa"/>
            <w:shd w:val="clear" w:color="auto" w:fill="auto"/>
            <w:vAlign w:val="center"/>
          </w:tcPr>
          <w:p w14:paraId="5CDC912D"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18</w:t>
            </w:r>
          </w:p>
        </w:tc>
        <w:tc>
          <w:tcPr>
            <w:tcW w:w="554" w:type="dxa"/>
            <w:shd w:val="clear" w:color="auto" w:fill="auto"/>
            <w:vAlign w:val="center"/>
          </w:tcPr>
          <w:p w14:paraId="14BA40D8"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19</w:t>
            </w:r>
          </w:p>
        </w:tc>
        <w:tc>
          <w:tcPr>
            <w:tcW w:w="494" w:type="dxa"/>
            <w:shd w:val="clear" w:color="auto" w:fill="auto"/>
            <w:vAlign w:val="center"/>
          </w:tcPr>
          <w:p w14:paraId="48565B9C"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17</w:t>
            </w:r>
          </w:p>
        </w:tc>
        <w:tc>
          <w:tcPr>
            <w:tcW w:w="483" w:type="dxa"/>
            <w:shd w:val="clear" w:color="auto" w:fill="auto"/>
            <w:vAlign w:val="center"/>
          </w:tcPr>
          <w:p w14:paraId="340551E7"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18</w:t>
            </w:r>
          </w:p>
        </w:tc>
        <w:tc>
          <w:tcPr>
            <w:tcW w:w="568" w:type="dxa"/>
            <w:shd w:val="clear" w:color="auto" w:fill="auto"/>
            <w:vAlign w:val="center"/>
          </w:tcPr>
          <w:p w14:paraId="4B23E9C7"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18</w:t>
            </w:r>
          </w:p>
        </w:tc>
        <w:tc>
          <w:tcPr>
            <w:tcW w:w="472" w:type="dxa"/>
            <w:shd w:val="clear" w:color="auto" w:fill="auto"/>
            <w:vAlign w:val="center"/>
          </w:tcPr>
          <w:p w14:paraId="3BCC4F7C" w14:textId="77777777" w:rsidR="002B70A7" w:rsidRPr="00033E65" w:rsidRDefault="002B70A7" w:rsidP="0060735A">
            <w:pPr>
              <w:spacing w:before="0" w:after="0"/>
              <w:jc w:val="center"/>
              <w:rPr>
                <w:rFonts w:cs="Calibri"/>
                <w:color w:val="000000"/>
                <w:szCs w:val="22"/>
                <w:lang w:eastAsia="es-CR"/>
              </w:rPr>
            </w:pPr>
            <w:r w:rsidRPr="00033E65">
              <w:rPr>
                <w:rFonts w:cs="Calibri"/>
                <w:color w:val="000000"/>
                <w:szCs w:val="22"/>
                <w:lang w:eastAsia="es-CR"/>
              </w:rPr>
              <w:t>11</w:t>
            </w:r>
          </w:p>
        </w:tc>
        <w:tc>
          <w:tcPr>
            <w:tcW w:w="1126" w:type="dxa"/>
            <w:shd w:val="clear" w:color="auto" w:fill="F2F2F2" w:themeFill="background1" w:themeFillShade="F2"/>
            <w:vAlign w:val="center"/>
          </w:tcPr>
          <w:p w14:paraId="281219DF" w14:textId="77777777" w:rsidR="002B70A7" w:rsidRPr="00033E65" w:rsidRDefault="002B70A7" w:rsidP="0060735A">
            <w:pPr>
              <w:spacing w:before="0" w:after="0"/>
              <w:jc w:val="center"/>
              <w:rPr>
                <w:rFonts w:cs="Calibri"/>
                <w:b/>
                <w:bCs/>
                <w:color w:val="375623"/>
                <w:szCs w:val="22"/>
                <w:lang w:eastAsia="es-CR"/>
              </w:rPr>
            </w:pPr>
            <w:r w:rsidRPr="00033E65">
              <w:rPr>
                <w:rFonts w:cs="Calibri"/>
                <w:b/>
                <w:bCs/>
                <w:color w:val="375623"/>
                <w:szCs w:val="22"/>
                <w:lang w:eastAsia="es-CR"/>
              </w:rPr>
              <w:t>208</w:t>
            </w:r>
          </w:p>
        </w:tc>
      </w:tr>
    </w:tbl>
    <w:p w14:paraId="3D94ADCD" w14:textId="16DF2C21" w:rsidR="00EE5AE3" w:rsidRPr="00033E65" w:rsidRDefault="00E42B4C" w:rsidP="00885BD0">
      <w:pPr>
        <w:rPr>
          <w:lang w:val="es-MX"/>
        </w:rPr>
      </w:pPr>
      <w:r w:rsidRPr="00033E65">
        <w:rPr>
          <w:i/>
          <w:iCs/>
          <w:sz w:val="20"/>
          <w:lang w:val="es-MX"/>
        </w:rPr>
        <w:t>Fuente:</w:t>
      </w:r>
      <w:r w:rsidR="003161F5" w:rsidRPr="00033E65">
        <w:rPr>
          <w:i/>
          <w:iCs/>
          <w:sz w:val="20"/>
          <w:lang w:val="es-MX"/>
        </w:rPr>
        <w:t xml:space="preserve"> </w:t>
      </w:r>
      <w:r w:rsidR="00B12532" w:rsidRPr="00033E65">
        <w:rPr>
          <w:i/>
          <w:iCs/>
          <w:sz w:val="20"/>
          <w:lang w:val="es-MX"/>
        </w:rPr>
        <w:t>Centro de Apoyo, Coordinación y Mejoramiento de la Función Jurisdiccional</w:t>
      </w:r>
      <w:r w:rsidR="001C3FE4" w:rsidRPr="00033E65">
        <w:rPr>
          <w:lang w:val="es-MX"/>
        </w:rPr>
        <w:t>.</w:t>
      </w:r>
    </w:p>
    <w:p w14:paraId="2CE96A6C" w14:textId="7B2099A3" w:rsidR="00E87E9D" w:rsidRPr="00033E65" w:rsidRDefault="00E87E9D" w:rsidP="00E87E9D">
      <w:pPr>
        <w:rPr>
          <w:lang w:val="es-MX"/>
        </w:rPr>
      </w:pPr>
    </w:p>
    <w:p w14:paraId="3CEA0B97" w14:textId="58F43DF7" w:rsidR="00170CD1" w:rsidRPr="00033E65" w:rsidRDefault="00554C4E" w:rsidP="00554C4E">
      <w:pPr>
        <w:pStyle w:val="Ttulo2"/>
        <w:numPr>
          <w:ilvl w:val="0"/>
          <w:numId w:val="0"/>
        </w:numPr>
      </w:pPr>
      <w:bookmarkStart w:id="216" w:name="_Toc132639566"/>
      <w:r>
        <w:t>13.</w:t>
      </w:r>
      <w:r w:rsidR="00170CD1" w:rsidRPr="00033E65">
        <w:t xml:space="preserve"> Planes de trabajo a proponer</w:t>
      </w:r>
      <w:bookmarkEnd w:id="216"/>
    </w:p>
    <w:p w14:paraId="599F7B59" w14:textId="2CFA00BA" w:rsidR="00170CD1" w:rsidRPr="00033E65" w:rsidRDefault="00170CD1" w:rsidP="00170CD1">
      <w:pPr>
        <w:spacing w:line="276" w:lineRule="auto"/>
        <w:rPr>
          <w:lang w:val="es-MX"/>
        </w:rPr>
      </w:pPr>
      <w:r w:rsidRPr="00033E65">
        <w:rPr>
          <w:lang w:val="es-MX"/>
        </w:rPr>
        <w:t>Tal y como se ha observado a lo largo del presente informe las áreas más críticas que presentan los despachos que atienden materia Agraria corresponden a:</w:t>
      </w:r>
    </w:p>
    <w:p w14:paraId="38CE805F" w14:textId="5C058397" w:rsidR="00170CD1" w:rsidRPr="00033E65" w:rsidRDefault="00170CD1">
      <w:pPr>
        <w:pStyle w:val="Prrafodelista"/>
        <w:numPr>
          <w:ilvl w:val="0"/>
          <w:numId w:val="42"/>
        </w:numPr>
        <w:spacing w:line="276" w:lineRule="auto"/>
        <w:rPr>
          <w:lang w:val="es-MX"/>
        </w:rPr>
      </w:pPr>
      <w:r w:rsidRPr="00033E65">
        <w:rPr>
          <w:lang w:val="es-MX"/>
        </w:rPr>
        <w:t>Plazo para realización de audiencias (giras)</w:t>
      </w:r>
    </w:p>
    <w:p w14:paraId="5A960ED9" w14:textId="50D15860" w:rsidR="00170CD1" w:rsidRPr="00033E65" w:rsidRDefault="00170CD1">
      <w:pPr>
        <w:pStyle w:val="Prrafodelista"/>
        <w:numPr>
          <w:ilvl w:val="0"/>
          <w:numId w:val="42"/>
        </w:numPr>
        <w:spacing w:line="276" w:lineRule="auto"/>
        <w:rPr>
          <w:lang w:val="es-MX"/>
        </w:rPr>
      </w:pPr>
      <w:r w:rsidRPr="00033E65">
        <w:rPr>
          <w:lang w:val="es-MX"/>
        </w:rPr>
        <w:t>Cantidad de audiencias pendientes de realización</w:t>
      </w:r>
    </w:p>
    <w:p w14:paraId="09844A71" w14:textId="43C43CF0" w:rsidR="00170CD1" w:rsidRPr="00033E65" w:rsidRDefault="00170CD1">
      <w:pPr>
        <w:pStyle w:val="Prrafodelista"/>
        <w:numPr>
          <w:ilvl w:val="0"/>
          <w:numId w:val="42"/>
        </w:numPr>
        <w:spacing w:line="276" w:lineRule="auto"/>
        <w:rPr>
          <w:lang w:val="es-MX"/>
        </w:rPr>
      </w:pPr>
      <w:r w:rsidRPr="00033E65">
        <w:rPr>
          <w:lang w:val="es-MX"/>
        </w:rPr>
        <w:t>Plazo para dictado de sentencia</w:t>
      </w:r>
    </w:p>
    <w:p w14:paraId="5A62990E" w14:textId="066D3CBA" w:rsidR="00820A19" w:rsidRPr="00033E65" w:rsidRDefault="00820A19">
      <w:pPr>
        <w:pStyle w:val="Prrafodelista"/>
        <w:numPr>
          <w:ilvl w:val="0"/>
          <w:numId w:val="42"/>
        </w:numPr>
        <w:spacing w:line="276" w:lineRule="auto"/>
        <w:rPr>
          <w:lang w:val="es-MX"/>
        </w:rPr>
      </w:pPr>
      <w:r w:rsidRPr="00033E65">
        <w:rPr>
          <w:lang w:val="es-MX"/>
        </w:rPr>
        <w:t>Cantidad de expedientes pendientes de fallo</w:t>
      </w:r>
    </w:p>
    <w:p w14:paraId="27BF633E" w14:textId="017C32A3" w:rsidR="00820A19" w:rsidRPr="00033E65" w:rsidRDefault="00820A19" w:rsidP="00820A19">
      <w:pPr>
        <w:spacing w:line="276" w:lineRule="auto"/>
        <w:rPr>
          <w:lang w:val="es-MX"/>
        </w:rPr>
      </w:pPr>
    </w:p>
    <w:p w14:paraId="14AF3830" w14:textId="77ADECC6" w:rsidR="00820A19" w:rsidRPr="00033E65" w:rsidRDefault="00820A19" w:rsidP="00820A19">
      <w:pPr>
        <w:spacing w:line="276" w:lineRule="auto"/>
        <w:rPr>
          <w:lang w:val="es-MX"/>
        </w:rPr>
      </w:pPr>
      <w:r w:rsidRPr="00033E65">
        <w:rPr>
          <w:lang w:val="es-MX"/>
        </w:rPr>
        <w:t>Se presenta el detalle de la cantidad de oficinas que presentan criticidad en las áreas mencionadas:</w:t>
      </w:r>
    </w:p>
    <w:p w14:paraId="2854724D" w14:textId="4FBD84AE" w:rsidR="00033383" w:rsidRPr="00033E65" w:rsidRDefault="00033383" w:rsidP="00033383">
      <w:pPr>
        <w:pStyle w:val="Ttulo"/>
        <w:spacing w:before="0" w:after="0" w:line="240" w:lineRule="auto"/>
        <w:ind w:left="851"/>
        <w:jc w:val="center"/>
        <w:rPr>
          <w:rFonts w:eastAsia="Times New Roman" w:cs="Arial"/>
          <w:iCs/>
          <w:spacing w:val="0"/>
          <w:sz w:val="22"/>
          <w:szCs w:val="22"/>
          <w:lang w:val="es-CR" w:eastAsia="es-ES"/>
        </w:rPr>
      </w:pPr>
      <w:r w:rsidRPr="00033E65">
        <w:rPr>
          <w:rFonts w:eastAsia="Times New Roman" w:cs="Arial"/>
          <w:iCs/>
          <w:spacing w:val="0"/>
          <w:sz w:val="22"/>
          <w:szCs w:val="22"/>
          <w:lang w:val="es-CR" w:eastAsia="es-ES"/>
        </w:rPr>
        <w:t>Cuadro 22</w:t>
      </w:r>
    </w:p>
    <w:p w14:paraId="4AB1C379" w14:textId="5E918787" w:rsidR="00033383" w:rsidRPr="00033E65" w:rsidRDefault="00033383" w:rsidP="00033383">
      <w:pPr>
        <w:pStyle w:val="Ttulo"/>
        <w:spacing w:before="0" w:after="0" w:line="240" w:lineRule="auto"/>
        <w:ind w:left="720"/>
        <w:jc w:val="center"/>
        <w:rPr>
          <w:rFonts w:eastAsia="Times New Roman" w:cs="Arial"/>
          <w:iCs/>
          <w:spacing w:val="0"/>
          <w:sz w:val="22"/>
          <w:szCs w:val="22"/>
          <w:lang w:val="es-CR" w:eastAsia="es-ES"/>
        </w:rPr>
      </w:pPr>
      <w:r w:rsidRPr="00033E65">
        <w:rPr>
          <w:rFonts w:eastAsia="Times New Roman" w:cs="Arial"/>
          <w:iCs/>
          <w:spacing w:val="0"/>
          <w:sz w:val="22"/>
          <w:szCs w:val="22"/>
          <w:lang w:val="es-CR" w:eastAsia="es-ES"/>
        </w:rPr>
        <w:t>Cantidad de despachos de materia Agraria con áreas críticas</w:t>
      </w:r>
    </w:p>
    <w:p w14:paraId="66615386" w14:textId="37EB726D" w:rsidR="00820A19" w:rsidRPr="00033E65" w:rsidRDefault="00033383" w:rsidP="00033383">
      <w:pPr>
        <w:pStyle w:val="Ttulo"/>
        <w:spacing w:before="0" w:after="0" w:line="240" w:lineRule="auto"/>
        <w:ind w:left="720"/>
        <w:jc w:val="center"/>
        <w:rPr>
          <w:rFonts w:eastAsia="Times New Roman" w:cs="Arial"/>
          <w:iCs/>
          <w:spacing w:val="0"/>
          <w:sz w:val="22"/>
          <w:szCs w:val="22"/>
          <w:lang w:val="es-CR" w:eastAsia="es-ES"/>
        </w:rPr>
      </w:pPr>
      <w:r w:rsidRPr="00033E65">
        <w:rPr>
          <w:rFonts w:eastAsia="Times New Roman" w:cs="Arial"/>
          <w:iCs/>
          <w:spacing w:val="0"/>
          <w:sz w:val="22"/>
          <w:szCs w:val="22"/>
          <w:lang w:val="es-CR" w:eastAsia="es-ES"/>
        </w:rPr>
        <w:t>2022</w:t>
      </w:r>
    </w:p>
    <w:tbl>
      <w:tblPr>
        <w:tblW w:w="5720" w:type="dxa"/>
        <w:jc w:val="center"/>
        <w:tblCellMar>
          <w:left w:w="70" w:type="dxa"/>
          <w:right w:w="70" w:type="dxa"/>
        </w:tblCellMar>
        <w:tblLook w:val="04A0" w:firstRow="1" w:lastRow="0" w:firstColumn="1" w:lastColumn="0" w:noHBand="0" w:noVBand="1"/>
      </w:tblPr>
      <w:tblGrid>
        <w:gridCol w:w="2520"/>
        <w:gridCol w:w="1640"/>
        <w:gridCol w:w="1560"/>
      </w:tblGrid>
      <w:tr w:rsidR="00820A19" w:rsidRPr="00033E65" w14:paraId="3C6E5972" w14:textId="77777777" w:rsidTr="00820A19">
        <w:trPr>
          <w:trHeight w:val="740"/>
          <w:jc w:val="center"/>
        </w:trPr>
        <w:tc>
          <w:tcPr>
            <w:tcW w:w="2520" w:type="dxa"/>
            <w:tcBorders>
              <w:top w:val="single" w:sz="4" w:space="0" w:color="auto"/>
              <w:left w:val="single" w:sz="4" w:space="0" w:color="auto"/>
              <w:bottom w:val="single" w:sz="4" w:space="0" w:color="auto"/>
              <w:right w:val="single" w:sz="4" w:space="0" w:color="auto"/>
            </w:tcBorders>
            <w:shd w:val="clear" w:color="000000" w:fill="31869B"/>
            <w:vAlign w:val="center"/>
            <w:hideMark/>
          </w:tcPr>
          <w:p w14:paraId="6374266B" w14:textId="77777777" w:rsidR="00820A19" w:rsidRPr="00033E65" w:rsidRDefault="00820A19" w:rsidP="00820A19">
            <w:pPr>
              <w:spacing w:before="0" w:after="0"/>
              <w:jc w:val="center"/>
              <w:rPr>
                <w:rFonts w:cs="Calibri"/>
                <w:b/>
                <w:bCs/>
                <w:color w:val="EEECE1"/>
                <w:sz w:val="18"/>
                <w:szCs w:val="18"/>
                <w:lang w:eastAsia="es-CR"/>
              </w:rPr>
            </w:pPr>
            <w:r w:rsidRPr="00033E65">
              <w:rPr>
                <w:rFonts w:cs="Calibri"/>
                <w:b/>
                <w:bCs/>
                <w:color w:val="EEECE1"/>
                <w:sz w:val="18"/>
                <w:szCs w:val="18"/>
                <w:lang w:val="es-MX" w:eastAsia="es-CR"/>
              </w:rPr>
              <w:t>Indicador</w:t>
            </w:r>
          </w:p>
        </w:tc>
        <w:tc>
          <w:tcPr>
            <w:tcW w:w="1640" w:type="dxa"/>
            <w:tcBorders>
              <w:top w:val="single" w:sz="4" w:space="0" w:color="auto"/>
              <w:left w:val="nil"/>
              <w:bottom w:val="single" w:sz="4" w:space="0" w:color="auto"/>
              <w:right w:val="single" w:sz="4" w:space="0" w:color="auto"/>
            </w:tcBorders>
            <w:shd w:val="clear" w:color="000000" w:fill="31869B"/>
            <w:vAlign w:val="center"/>
            <w:hideMark/>
          </w:tcPr>
          <w:p w14:paraId="79F2D340" w14:textId="77777777" w:rsidR="00820A19" w:rsidRPr="00033E65" w:rsidRDefault="00820A19" w:rsidP="00820A19">
            <w:pPr>
              <w:spacing w:before="0" w:after="0"/>
              <w:jc w:val="center"/>
              <w:rPr>
                <w:rFonts w:cs="Calibri"/>
                <w:b/>
                <w:bCs/>
                <w:color w:val="EEECE1"/>
                <w:sz w:val="18"/>
                <w:szCs w:val="18"/>
                <w:lang w:eastAsia="es-CR"/>
              </w:rPr>
            </w:pPr>
            <w:r w:rsidRPr="00033E65">
              <w:rPr>
                <w:rFonts w:cs="Calibri"/>
                <w:b/>
                <w:bCs/>
                <w:color w:val="EEECE1"/>
                <w:sz w:val="18"/>
                <w:szCs w:val="18"/>
                <w:lang w:val="es-MX" w:eastAsia="es-CR"/>
              </w:rPr>
              <w:t xml:space="preserve">Cantidad de despachos críticos </w:t>
            </w:r>
          </w:p>
        </w:tc>
        <w:tc>
          <w:tcPr>
            <w:tcW w:w="1560" w:type="dxa"/>
            <w:tcBorders>
              <w:top w:val="single" w:sz="4" w:space="0" w:color="auto"/>
              <w:left w:val="nil"/>
              <w:bottom w:val="single" w:sz="4" w:space="0" w:color="auto"/>
              <w:right w:val="single" w:sz="4" w:space="0" w:color="auto"/>
            </w:tcBorders>
            <w:shd w:val="clear" w:color="000000" w:fill="31869B"/>
            <w:vAlign w:val="center"/>
            <w:hideMark/>
          </w:tcPr>
          <w:p w14:paraId="739F2C2B" w14:textId="77777777" w:rsidR="00820A19" w:rsidRPr="00033E65" w:rsidRDefault="00820A19" w:rsidP="00820A19">
            <w:pPr>
              <w:spacing w:before="0" w:after="0"/>
              <w:jc w:val="center"/>
              <w:rPr>
                <w:rFonts w:cs="Calibri"/>
                <w:b/>
                <w:bCs/>
                <w:color w:val="EEECE1"/>
                <w:sz w:val="18"/>
                <w:szCs w:val="18"/>
                <w:lang w:eastAsia="es-CR"/>
              </w:rPr>
            </w:pPr>
            <w:r w:rsidRPr="00033E65">
              <w:rPr>
                <w:rFonts w:cs="Calibri"/>
                <w:b/>
                <w:bCs/>
                <w:color w:val="EEECE1"/>
                <w:sz w:val="18"/>
                <w:szCs w:val="18"/>
                <w:lang w:eastAsia="es-CR"/>
              </w:rPr>
              <w:t>% despachos con área crítica</w:t>
            </w:r>
          </w:p>
        </w:tc>
      </w:tr>
      <w:tr w:rsidR="00820A19" w:rsidRPr="00033E65" w14:paraId="48F91889" w14:textId="77777777" w:rsidTr="00820A19">
        <w:trPr>
          <w:trHeight w:val="680"/>
          <w:jc w:val="center"/>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706A2C93" w14:textId="77777777" w:rsidR="00820A19" w:rsidRPr="00033E65" w:rsidRDefault="00820A19" w:rsidP="00820A19">
            <w:pPr>
              <w:spacing w:before="0" w:after="0"/>
              <w:jc w:val="left"/>
              <w:rPr>
                <w:rFonts w:cs="Calibri"/>
                <w:color w:val="000000"/>
                <w:sz w:val="20"/>
                <w:lang w:eastAsia="es-CR"/>
              </w:rPr>
            </w:pPr>
            <w:r w:rsidRPr="00033E65">
              <w:rPr>
                <w:rFonts w:cs="Calibri"/>
                <w:color w:val="000000"/>
                <w:sz w:val="20"/>
                <w:lang w:val="es-MX" w:eastAsia="es-CR"/>
              </w:rPr>
              <w:t>Plazo de Dictado sentencia</w:t>
            </w:r>
          </w:p>
        </w:tc>
        <w:tc>
          <w:tcPr>
            <w:tcW w:w="1640" w:type="dxa"/>
            <w:tcBorders>
              <w:top w:val="nil"/>
              <w:left w:val="nil"/>
              <w:bottom w:val="single" w:sz="4" w:space="0" w:color="auto"/>
              <w:right w:val="single" w:sz="4" w:space="0" w:color="auto"/>
            </w:tcBorders>
            <w:shd w:val="clear" w:color="000000" w:fill="FFFFFF"/>
            <w:noWrap/>
            <w:vAlign w:val="center"/>
            <w:hideMark/>
          </w:tcPr>
          <w:p w14:paraId="343CEC27" w14:textId="77777777" w:rsidR="00820A19" w:rsidRPr="00033E65" w:rsidRDefault="00820A19" w:rsidP="00820A19">
            <w:pPr>
              <w:spacing w:before="0" w:after="0"/>
              <w:jc w:val="center"/>
              <w:rPr>
                <w:rFonts w:cs="Calibri"/>
                <w:color w:val="000000"/>
                <w:szCs w:val="22"/>
                <w:lang w:eastAsia="es-CR"/>
              </w:rPr>
            </w:pPr>
            <w:r w:rsidRPr="00033E65">
              <w:rPr>
                <w:rFonts w:cs="Calibri"/>
                <w:color w:val="000000"/>
                <w:szCs w:val="22"/>
                <w:lang w:eastAsia="es-CR"/>
              </w:rPr>
              <w:t>15</w:t>
            </w:r>
          </w:p>
        </w:tc>
        <w:tc>
          <w:tcPr>
            <w:tcW w:w="1560" w:type="dxa"/>
            <w:tcBorders>
              <w:top w:val="nil"/>
              <w:left w:val="nil"/>
              <w:bottom w:val="single" w:sz="4" w:space="0" w:color="auto"/>
              <w:right w:val="single" w:sz="4" w:space="0" w:color="auto"/>
            </w:tcBorders>
            <w:shd w:val="clear" w:color="auto" w:fill="auto"/>
            <w:noWrap/>
            <w:vAlign w:val="center"/>
            <w:hideMark/>
          </w:tcPr>
          <w:p w14:paraId="203C6B9D" w14:textId="77777777" w:rsidR="00820A19" w:rsidRPr="00033E65" w:rsidRDefault="00820A19" w:rsidP="00820A19">
            <w:pPr>
              <w:spacing w:before="0" w:after="0"/>
              <w:jc w:val="center"/>
              <w:rPr>
                <w:rFonts w:cs="Calibri"/>
                <w:color w:val="000000"/>
                <w:szCs w:val="22"/>
                <w:lang w:eastAsia="es-CR"/>
              </w:rPr>
            </w:pPr>
            <w:r w:rsidRPr="00033E65">
              <w:rPr>
                <w:rFonts w:cs="Calibri"/>
                <w:color w:val="000000"/>
                <w:szCs w:val="22"/>
                <w:lang w:eastAsia="es-CR"/>
              </w:rPr>
              <w:t>100%</w:t>
            </w:r>
          </w:p>
        </w:tc>
      </w:tr>
      <w:tr w:rsidR="00820A19" w:rsidRPr="00033E65" w14:paraId="50AAE7D9" w14:textId="77777777" w:rsidTr="00820A19">
        <w:trPr>
          <w:trHeight w:val="680"/>
          <w:jc w:val="center"/>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172F29F2" w14:textId="77777777" w:rsidR="00820A19" w:rsidRPr="00033E65" w:rsidRDefault="00820A19" w:rsidP="00820A19">
            <w:pPr>
              <w:spacing w:before="0" w:after="0"/>
              <w:jc w:val="left"/>
              <w:rPr>
                <w:rFonts w:cs="Calibri"/>
                <w:color w:val="000000"/>
                <w:sz w:val="20"/>
                <w:lang w:eastAsia="es-CR"/>
              </w:rPr>
            </w:pPr>
            <w:r w:rsidRPr="00033E65">
              <w:rPr>
                <w:rFonts w:cs="Calibri"/>
                <w:color w:val="000000"/>
                <w:sz w:val="20"/>
                <w:lang w:val="es-MX" w:eastAsia="es-CR"/>
              </w:rPr>
              <w:t>Cantidad de expedientes pendientes de fallo</w:t>
            </w:r>
          </w:p>
        </w:tc>
        <w:tc>
          <w:tcPr>
            <w:tcW w:w="1640" w:type="dxa"/>
            <w:tcBorders>
              <w:top w:val="nil"/>
              <w:left w:val="nil"/>
              <w:bottom w:val="single" w:sz="4" w:space="0" w:color="auto"/>
              <w:right w:val="single" w:sz="4" w:space="0" w:color="auto"/>
            </w:tcBorders>
            <w:shd w:val="clear" w:color="auto" w:fill="auto"/>
            <w:vAlign w:val="center"/>
            <w:hideMark/>
          </w:tcPr>
          <w:p w14:paraId="0768EB28" w14:textId="77777777" w:rsidR="00820A19" w:rsidRPr="00033E65" w:rsidRDefault="00820A19" w:rsidP="00820A19">
            <w:pPr>
              <w:spacing w:before="0" w:after="0"/>
              <w:jc w:val="center"/>
              <w:rPr>
                <w:rFonts w:cs="Calibri"/>
                <w:color w:val="000000"/>
                <w:szCs w:val="22"/>
                <w:lang w:eastAsia="es-CR"/>
              </w:rPr>
            </w:pPr>
            <w:r w:rsidRPr="00033E65">
              <w:rPr>
                <w:rFonts w:cs="Calibri"/>
                <w:color w:val="000000"/>
                <w:szCs w:val="22"/>
                <w:lang w:eastAsia="es-CR"/>
              </w:rPr>
              <w:t>8</w:t>
            </w:r>
          </w:p>
        </w:tc>
        <w:tc>
          <w:tcPr>
            <w:tcW w:w="1560" w:type="dxa"/>
            <w:tcBorders>
              <w:top w:val="nil"/>
              <w:left w:val="nil"/>
              <w:bottom w:val="single" w:sz="4" w:space="0" w:color="auto"/>
              <w:right w:val="single" w:sz="4" w:space="0" w:color="auto"/>
            </w:tcBorders>
            <w:shd w:val="clear" w:color="auto" w:fill="auto"/>
            <w:noWrap/>
            <w:vAlign w:val="center"/>
            <w:hideMark/>
          </w:tcPr>
          <w:p w14:paraId="5F120085" w14:textId="77777777" w:rsidR="00820A19" w:rsidRPr="00033E65" w:rsidRDefault="00820A19" w:rsidP="00820A19">
            <w:pPr>
              <w:spacing w:before="0" w:after="0"/>
              <w:jc w:val="center"/>
              <w:rPr>
                <w:rFonts w:cs="Calibri"/>
                <w:color w:val="000000"/>
                <w:szCs w:val="22"/>
                <w:lang w:eastAsia="es-CR"/>
              </w:rPr>
            </w:pPr>
            <w:r w:rsidRPr="00033E65">
              <w:rPr>
                <w:rFonts w:cs="Calibri"/>
                <w:color w:val="000000"/>
                <w:szCs w:val="22"/>
                <w:lang w:eastAsia="es-CR"/>
              </w:rPr>
              <w:t>53%</w:t>
            </w:r>
          </w:p>
        </w:tc>
      </w:tr>
      <w:tr w:rsidR="00820A19" w:rsidRPr="00033E65" w14:paraId="7F0DAC70" w14:textId="77777777" w:rsidTr="00820A19">
        <w:trPr>
          <w:trHeight w:val="710"/>
          <w:jc w:val="center"/>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478D6180" w14:textId="77777777" w:rsidR="00820A19" w:rsidRPr="00033E65" w:rsidRDefault="00820A19" w:rsidP="00820A19">
            <w:pPr>
              <w:spacing w:before="0" w:after="0"/>
              <w:jc w:val="left"/>
              <w:rPr>
                <w:rFonts w:cs="Calibri"/>
                <w:color w:val="000000"/>
                <w:sz w:val="20"/>
                <w:lang w:eastAsia="es-CR"/>
              </w:rPr>
            </w:pPr>
            <w:r w:rsidRPr="00033E65">
              <w:rPr>
                <w:rFonts w:cs="Calibri"/>
                <w:color w:val="000000"/>
                <w:sz w:val="20"/>
                <w:lang w:val="es-MX" w:eastAsia="es-CR"/>
              </w:rPr>
              <w:t>Plazo de realización de audiencia</w:t>
            </w:r>
          </w:p>
        </w:tc>
        <w:tc>
          <w:tcPr>
            <w:tcW w:w="1640" w:type="dxa"/>
            <w:tcBorders>
              <w:top w:val="nil"/>
              <w:left w:val="nil"/>
              <w:bottom w:val="single" w:sz="4" w:space="0" w:color="auto"/>
              <w:right w:val="single" w:sz="4" w:space="0" w:color="auto"/>
            </w:tcBorders>
            <w:shd w:val="clear" w:color="000000" w:fill="FFFFFF"/>
            <w:noWrap/>
            <w:vAlign w:val="center"/>
            <w:hideMark/>
          </w:tcPr>
          <w:p w14:paraId="15E23409" w14:textId="77777777" w:rsidR="00820A19" w:rsidRPr="00033E65" w:rsidRDefault="00820A19" w:rsidP="00820A19">
            <w:pPr>
              <w:spacing w:before="0" w:after="0"/>
              <w:jc w:val="center"/>
              <w:rPr>
                <w:rFonts w:cs="Calibri"/>
                <w:color w:val="000000"/>
                <w:szCs w:val="22"/>
                <w:lang w:eastAsia="es-CR"/>
              </w:rPr>
            </w:pPr>
            <w:r w:rsidRPr="00033E65">
              <w:rPr>
                <w:rFonts w:cs="Calibri"/>
                <w:color w:val="000000"/>
                <w:szCs w:val="22"/>
                <w:lang w:eastAsia="es-CR"/>
              </w:rPr>
              <w:t>9</w:t>
            </w:r>
          </w:p>
        </w:tc>
        <w:tc>
          <w:tcPr>
            <w:tcW w:w="1560" w:type="dxa"/>
            <w:tcBorders>
              <w:top w:val="nil"/>
              <w:left w:val="nil"/>
              <w:bottom w:val="single" w:sz="4" w:space="0" w:color="auto"/>
              <w:right w:val="single" w:sz="4" w:space="0" w:color="auto"/>
            </w:tcBorders>
            <w:shd w:val="clear" w:color="auto" w:fill="auto"/>
            <w:noWrap/>
            <w:vAlign w:val="center"/>
            <w:hideMark/>
          </w:tcPr>
          <w:p w14:paraId="21F2EA27" w14:textId="77777777" w:rsidR="00820A19" w:rsidRPr="00033E65" w:rsidRDefault="00820A19" w:rsidP="00820A19">
            <w:pPr>
              <w:spacing w:before="0" w:after="0"/>
              <w:jc w:val="center"/>
              <w:rPr>
                <w:rFonts w:cs="Calibri"/>
                <w:color w:val="000000"/>
                <w:szCs w:val="22"/>
                <w:lang w:eastAsia="es-CR"/>
              </w:rPr>
            </w:pPr>
            <w:r w:rsidRPr="00033E65">
              <w:rPr>
                <w:rFonts w:cs="Calibri"/>
                <w:color w:val="000000"/>
                <w:szCs w:val="22"/>
                <w:lang w:eastAsia="es-CR"/>
              </w:rPr>
              <w:t>60%</w:t>
            </w:r>
          </w:p>
        </w:tc>
      </w:tr>
      <w:tr w:rsidR="00820A19" w:rsidRPr="00033E65" w14:paraId="600283F3" w14:textId="77777777" w:rsidTr="00820A19">
        <w:trPr>
          <w:trHeight w:val="830"/>
          <w:jc w:val="center"/>
        </w:trPr>
        <w:tc>
          <w:tcPr>
            <w:tcW w:w="2520" w:type="dxa"/>
            <w:tcBorders>
              <w:top w:val="nil"/>
              <w:left w:val="single" w:sz="4" w:space="0" w:color="auto"/>
              <w:bottom w:val="single" w:sz="4" w:space="0" w:color="auto"/>
              <w:right w:val="single" w:sz="4" w:space="0" w:color="auto"/>
            </w:tcBorders>
            <w:shd w:val="clear" w:color="auto" w:fill="auto"/>
            <w:vAlign w:val="center"/>
            <w:hideMark/>
          </w:tcPr>
          <w:p w14:paraId="4A9D2F76" w14:textId="77777777" w:rsidR="00820A19" w:rsidRPr="00033E65" w:rsidRDefault="00820A19" w:rsidP="00820A19">
            <w:pPr>
              <w:spacing w:before="0" w:after="0"/>
              <w:jc w:val="left"/>
              <w:rPr>
                <w:rFonts w:cs="Calibri"/>
                <w:color w:val="000000"/>
                <w:sz w:val="20"/>
                <w:lang w:eastAsia="es-CR"/>
              </w:rPr>
            </w:pPr>
            <w:r w:rsidRPr="00033E65">
              <w:rPr>
                <w:rFonts w:cs="Calibri"/>
                <w:color w:val="000000"/>
                <w:sz w:val="20"/>
                <w:lang w:val="es-MX" w:eastAsia="es-CR"/>
              </w:rPr>
              <w:t>Cantidad de audiencias pendientes de realización</w:t>
            </w:r>
          </w:p>
        </w:tc>
        <w:tc>
          <w:tcPr>
            <w:tcW w:w="1640" w:type="dxa"/>
            <w:tcBorders>
              <w:top w:val="nil"/>
              <w:left w:val="nil"/>
              <w:bottom w:val="single" w:sz="4" w:space="0" w:color="auto"/>
              <w:right w:val="single" w:sz="4" w:space="0" w:color="auto"/>
            </w:tcBorders>
            <w:shd w:val="clear" w:color="auto" w:fill="auto"/>
            <w:vAlign w:val="center"/>
            <w:hideMark/>
          </w:tcPr>
          <w:p w14:paraId="0B329591" w14:textId="77777777" w:rsidR="00820A19" w:rsidRPr="00033E65" w:rsidRDefault="00820A19" w:rsidP="00820A19">
            <w:pPr>
              <w:spacing w:before="0" w:after="0"/>
              <w:jc w:val="center"/>
              <w:rPr>
                <w:rFonts w:cs="Calibri"/>
                <w:color w:val="000000"/>
                <w:szCs w:val="22"/>
                <w:lang w:eastAsia="es-CR"/>
              </w:rPr>
            </w:pPr>
            <w:r w:rsidRPr="00033E65">
              <w:rPr>
                <w:rFonts w:cs="Calibri"/>
                <w:color w:val="000000"/>
                <w:szCs w:val="22"/>
                <w:lang w:eastAsia="es-CR"/>
              </w:rPr>
              <w:t>6</w:t>
            </w:r>
          </w:p>
        </w:tc>
        <w:tc>
          <w:tcPr>
            <w:tcW w:w="1560" w:type="dxa"/>
            <w:tcBorders>
              <w:top w:val="nil"/>
              <w:left w:val="nil"/>
              <w:bottom w:val="single" w:sz="4" w:space="0" w:color="auto"/>
              <w:right w:val="single" w:sz="4" w:space="0" w:color="auto"/>
            </w:tcBorders>
            <w:shd w:val="clear" w:color="auto" w:fill="auto"/>
            <w:noWrap/>
            <w:vAlign w:val="center"/>
            <w:hideMark/>
          </w:tcPr>
          <w:p w14:paraId="2EA08B08" w14:textId="77777777" w:rsidR="00820A19" w:rsidRPr="00033E65" w:rsidRDefault="00820A19" w:rsidP="00820A19">
            <w:pPr>
              <w:spacing w:before="0" w:after="0"/>
              <w:jc w:val="center"/>
              <w:rPr>
                <w:rFonts w:cs="Calibri"/>
                <w:color w:val="000000"/>
                <w:szCs w:val="22"/>
                <w:lang w:eastAsia="es-CR"/>
              </w:rPr>
            </w:pPr>
            <w:r w:rsidRPr="00033E65">
              <w:rPr>
                <w:rFonts w:cs="Calibri"/>
                <w:color w:val="000000"/>
                <w:szCs w:val="22"/>
                <w:lang w:eastAsia="es-CR"/>
              </w:rPr>
              <w:t>40%</w:t>
            </w:r>
          </w:p>
        </w:tc>
      </w:tr>
    </w:tbl>
    <w:p w14:paraId="07EAA9A4" w14:textId="36D97F65" w:rsidR="00820A19" w:rsidRPr="00033E65" w:rsidRDefault="00FA7590" w:rsidP="00820A19">
      <w:pPr>
        <w:spacing w:line="276" w:lineRule="auto"/>
        <w:rPr>
          <w:lang w:val="es-MX"/>
        </w:rPr>
      </w:pPr>
      <w:r w:rsidRPr="00033E65">
        <w:rPr>
          <w:i/>
          <w:iCs/>
          <w:sz w:val="20"/>
          <w:lang w:val="es-MX"/>
        </w:rPr>
        <w:t xml:space="preserve">                               Fuente: Subproceso de Modernización Institucional, No Penal</w:t>
      </w:r>
      <w:r w:rsidRPr="00033E65">
        <w:rPr>
          <w:lang w:val="es-MX"/>
        </w:rPr>
        <w:t>.</w:t>
      </w:r>
    </w:p>
    <w:p w14:paraId="03A7EE71" w14:textId="4A9BF29F" w:rsidR="00170CD1" w:rsidRPr="00033E65" w:rsidRDefault="00170CD1" w:rsidP="00E87E9D">
      <w:pPr>
        <w:rPr>
          <w:lang w:val="es-MX"/>
        </w:rPr>
      </w:pPr>
    </w:p>
    <w:p w14:paraId="5BB78E88" w14:textId="52A24695" w:rsidR="00820A19" w:rsidRPr="00033E65" w:rsidRDefault="00820A19" w:rsidP="00E87E9D">
      <w:pPr>
        <w:rPr>
          <w:lang w:val="es-MX"/>
        </w:rPr>
      </w:pPr>
      <w:r w:rsidRPr="00033E65">
        <w:rPr>
          <w:lang w:val="es-MX"/>
        </w:rPr>
        <w:t xml:space="preserve">Se destaca que la cantidad de oficinas que requieren apoyo en las diferentes áreas superan la mitad de la totalidad a nivel nacional, lo que demuestra que se requiere de colaboración temporal de personal juzgador adicional para la implementación de planes de trabajo. </w:t>
      </w:r>
    </w:p>
    <w:p w14:paraId="491BA6B6" w14:textId="2581A177" w:rsidR="00170CD1" w:rsidRPr="00033E65" w:rsidRDefault="00820A19" w:rsidP="00E87E9D">
      <w:pPr>
        <w:rPr>
          <w:lang w:val="es-MX"/>
        </w:rPr>
      </w:pPr>
      <w:r w:rsidRPr="00033E65">
        <w:rPr>
          <w:lang w:val="es-MX"/>
        </w:rPr>
        <w:t>Se propone trabajar de acuerdo con</w:t>
      </w:r>
      <w:r w:rsidR="00170CD1" w:rsidRPr="00033E65">
        <w:rPr>
          <w:lang w:val="es-MX"/>
        </w:rPr>
        <w:t xml:space="preserve"> las necesidades detectadas en cada despacho, priorizando los que mantienen mayor carga laboral y mayor afectación a la persona usuaria.</w:t>
      </w:r>
    </w:p>
    <w:p w14:paraId="0539978F" w14:textId="6D46D9D5" w:rsidR="00820A19" w:rsidRPr="00033E65" w:rsidRDefault="00820A19" w:rsidP="00E87E9D">
      <w:pPr>
        <w:rPr>
          <w:lang w:val="es-MX"/>
        </w:rPr>
      </w:pPr>
      <w:r w:rsidRPr="00033E65">
        <w:rPr>
          <w:lang w:val="es-MX"/>
        </w:rPr>
        <w:t>Por lo anterior se requiere la colaboración de al menos cuatro plazas extraordinarias de Jueza o Juez 3 por 12 meses (todo el 2024) adscritas al Centro de Apoyo, Coordinación y Mejoramiento de la Función Jurisdiccional para la ejecución de los planes de trabajo.</w:t>
      </w:r>
    </w:p>
    <w:p w14:paraId="095B7048" w14:textId="59F8629A" w:rsidR="00170CD1" w:rsidRPr="00033E65" w:rsidRDefault="00F45277" w:rsidP="00E87E9D">
      <w:pPr>
        <w:rPr>
          <w:lang w:val="es-MX"/>
        </w:rPr>
      </w:pPr>
      <w:r w:rsidRPr="00033E65">
        <w:rPr>
          <w:lang w:val="es-MX"/>
        </w:rPr>
        <w:t>La disminución de plazos en las agendas se encuentra sujeta a la disponibilidad de servicios de transporte, que ya se sabe que es un recurso muy limitado.</w:t>
      </w:r>
    </w:p>
    <w:p w14:paraId="24164B98" w14:textId="3756CB1D" w:rsidR="00283DA3" w:rsidRPr="00033E65" w:rsidRDefault="00554C4E" w:rsidP="00554C4E">
      <w:pPr>
        <w:pStyle w:val="Ttulo2"/>
        <w:numPr>
          <w:ilvl w:val="0"/>
          <w:numId w:val="0"/>
        </w:numPr>
      </w:pPr>
      <w:bookmarkStart w:id="217" w:name="_Toc132639567"/>
      <w:r>
        <w:t xml:space="preserve">14. </w:t>
      </w:r>
      <w:r w:rsidR="00283DA3" w:rsidRPr="00033E65">
        <w:t>Análisis de</w:t>
      </w:r>
      <w:r w:rsidR="00A8291D" w:rsidRPr="00033E65">
        <w:t>l</w:t>
      </w:r>
      <w:r w:rsidR="00283DA3" w:rsidRPr="00033E65">
        <w:t xml:space="preserve"> Circulante</w:t>
      </w:r>
      <w:bookmarkEnd w:id="217"/>
      <w:r w:rsidR="00283DA3" w:rsidRPr="00033E65">
        <w:t xml:space="preserve"> </w:t>
      </w:r>
    </w:p>
    <w:p w14:paraId="7D740CCD" w14:textId="028971EE" w:rsidR="004542CA" w:rsidRPr="00033E65" w:rsidRDefault="00A8291D" w:rsidP="000F1A61">
      <w:r w:rsidRPr="00033E65">
        <w:t xml:space="preserve">Es importante analizar el circulante de los Juzgados Agrarios con el objetivo de identificar el comportamiento de este respecto a la distribución de las distintas fases del proceso con la finalidad de determinar los verdaderos cuellos de botella y direccionar las acciones </w:t>
      </w:r>
      <w:r w:rsidR="004542CA" w:rsidRPr="00033E65">
        <w:t xml:space="preserve">correspondientes. La distribución del circulante por fase del proceso para los Juzgados Agrarios del país a </w:t>
      </w:r>
      <w:r w:rsidR="00936BDF" w:rsidRPr="00033E65">
        <w:t xml:space="preserve">febrero </w:t>
      </w:r>
      <w:r w:rsidR="004542CA" w:rsidRPr="00033E65">
        <w:t>del 202</w:t>
      </w:r>
      <w:r w:rsidR="00936BDF" w:rsidRPr="00033E65">
        <w:t>3</w:t>
      </w:r>
      <w:r w:rsidR="004542CA" w:rsidRPr="00033E65">
        <w:t xml:space="preserve"> se presenta a continuación:</w:t>
      </w:r>
    </w:p>
    <w:p w14:paraId="29262261" w14:textId="1EDEBB9A" w:rsidR="004542CA" w:rsidRPr="00033E65" w:rsidRDefault="004542CA" w:rsidP="000F1A61"/>
    <w:p w14:paraId="7BC0013B" w14:textId="3D117268" w:rsidR="00370A8D" w:rsidRPr="00033E65" w:rsidRDefault="00B80453" w:rsidP="00370A8D">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 xml:space="preserve">Cuadro </w:t>
      </w:r>
      <w:r w:rsidR="003E0ACE" w:rsidRPr="00033E65">
        <w:rPr>
          <w:rFonts w:eastAsia="Times New Roman" w:cs="Arial"/>
          <w:spacing w:val="0"/>
          <w:szCs w:val="28"/>
          <w:lang w:val="es-CR" w:eastAsia="es-ES"/>
        </w:rPr>
        <w:t>23</w:t>
      </w:r>
    </w:p>
    <w:p w14:paraId="5F0BC5A2" w14:textId="2644836D" w:rsidR="000E6802" w:rsidRPr="00033E65" w:rsidRDefault="00370A8D" w:rsidP="00370A8D">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 xml:space="preserve">Comparación del Circulante Final en Trámite de los Juzgados Agrarios a Nivel Nacional por Fase del Proceso </w:t>
      </w:r>
      <w:r w:rsidR="00936BDF" w:rsidRPr="00033E65">
        <w:rPr>
          <w:rFonts w:eastAsia="Times New Roman" w:cs="Arial"/>
          <w:spacing w:val="0"/>
          <w:szCs w:val="28"/>
          <w:lang w:val="es-CR" w:eastAsia="es-ES"/>
        </w:rPr>
        <w:t xml:space="preserve">febrero </w:t>
      </w:r>
      <w:r w:rsidRPr="00033E65">
        <w:rPr>
          <w:rFonts w:eastAsia="Times New Roman" w:cs="Arial"/>
          <w:spacing w:val="0"/>
          <w:szCs w:val="28"/>
          <w:lang w:val="es-CR" w:eastAsia="es-ES"/>
        </w:rPr>
        <w:t>202</w:t>
      </w:r>
      <w:r w:rsidR="00936BDF" w:rsidRPr="00033E65">
        <w:rPr>
          <w:rFonts w:eastAsia="Times New Roman" w:cs="Arial"/>
          <w:spacing w:val="0"/>
          <w:szCs w:val="28"/>
          <w:lang w:val="es-CR" w:eastAsia="es-ES"/>
        </w:rPr>
        <w:t>3</w:t>
      </w:r>
    </w:p>
    <w:tbl>
      <w:tblPr>
        <w:tblW w:w="11638" w:type="dxa"/>
        <w:tblInd w:w="-1299" w:type="dxa"/>
        <w:tblCellMar>
          <w:left w:w="70" w:type="dxa"/>
          <w:right w:w="70" w:type="dxa"/>
        </w:tblCellMar>
        <w:tblLook w:val="04A0" w:firstRow="1" w:lastRow="0" w:firstColumn="1" w:lastColumn="0" w:noHBand="0" w:noVBand="1"/>
      </w:tblPr>
      <w:tblGrid>
        <w:gridCol w:w="2681"/>
        <w:gridCol w:w="1118"/>
        <w:gridCol w:w="1497"/>
        <w:gridCol w:w="1265"/>
        <w:gridCol w:w="1118"/>
        <w:gridCol w:w="1326"/>
        <w:gridCol w:w="941"/>
        <w:gridCol w:w="1692"/>
      </w:tblGrid>
      <w:tr w:rsidR="00AF3382" w:rsidRPr="00033E65" w14:paraId="3C35FC92" w14:textId="77777777" w:rsidTr="00064B70">
        <w:trPr>
          <w:trHeight w:val="1136"/>
          <w:tblHeader/>
        </w:trPr>
        <w:tc>
          <w:tcPr>
            <w:tcW w:w="2681"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6415BECD" w14:textId="72F69EA2" w:rsidR="000E6802" w:rsidRPr="00033E65" w:rsidRDefault="000E6802" w:rsidP="000E6802">
            <w:pPr>
              <w:spacing w:before="0" w:after="0"/>
              <w:jc w:val="center"/>
              <w:rPr>
                <w:rFonts w:cs="Calibri"/>
                <w:b/>
                <w:bCs/>
                <w:color w:val="FFFFFF"/>
                <w:sz w:val="20"/>
                <w:lang w:eastAsia="es-CR"/>
              </w:rPr>
            </w:pPr>
            <w:r w:rsidRPr="00033E65">
              <w:rPr>
                <w:rFonts w:cs="Arial"/>
                <w:b/>
                <w:bCs/>
                <w:color w:val="FFFFFF"/>
                <w:sz w:val="20"/>
                <w:lang w:eastAsia="es-CR"/>
              </w:rPr>
              <w:t>Juzgado Agrario</w:t>
            </w:r>
          </w:p>
        </w:tc>
        <w:tc>
          <w:tcPr>
            <w:tcW w:w="1118" w:type="dxa"/>
            <w:tcBorders>
              <w:top w:val="double" w:sz="6" w:space="0" w:color="1F497D"/>
              <w:left w:val="nil"/>
              <w:bottom w:val="double" w:sz="6" w:space="0" w:color="1F497D"/>
              <w:right w:val="double" w:sz="6" w:space="0" w:color="1F497D"/>
            </w:tcBorders>
            <w:shd w:val="clear" w:color="000000" w:fill="0673A5"/>
            <w:vAlign w:val="center"/>
            <w:hideMark/>
          </w:tcPr>
          <w:p w14:paraId="3145AC3E" w14:textId="77777777" w:rsidR="000E6802" w:rsidRPr="00033E65" w:rsidRDefault="000E6802" w:rsidP="000E6802">
            <w:pPr>
              <w:spacing w:before="0" w:after="0"/>
              <w:jc w:val="center"/>
              <w:rPr>
                <w:rFonts w:cs="Calibri"/>
                <w:b/>
                <w:bCs/>
                <w:color w:val="FFFFFF"/>
                <w:sz w:val="20"/>
                <w:lang w:eastAsia="es-CR"/>
              </w:rPr>
            </w:pPr>
            <w:r w:rsidRPr="00033E65">
              <w:rPr>
                <w:rFonts w:cs="Arial"/>
                <w:b/>
                <w:bCs/>
                <w:color w:val="FFFFFF"/>
                <w:sz w:val="20"/>
                <w:lang w:eastAsia="es-CR"/>
              </w:rPr>
              <w:t>Demanda</w:t>
            </w:r>
          </w:p>
        </w:tc>
        <w:tc>
          <w:tcPr>
            <w:tcW w:w="1497" w:type="dxa"/>
            <w:tcBorders>
              <w:top w:val="double" w:sz="6" w:space="0" w:color="1F497D"/>
              <w:left w:val="nil"/>
              <w:bottom w:val="double" w:sz="6" w:space="0" w:color="1F497D"/>
              <w:right w:val="double" w:sz="6" w:space="0" w:color="1F497D"/>
            </w:tcBorders>
            <w:shd w:val="clear" w:color="000000" w:fill="0673A5"/>
            <w:vAlign w:val="center"/>
            <w:hideMark/>
          </w:tcPr>
          <w:p w14:paraId="58EDA455" w14:textId="77777777" w:rsidR="000E6802" w:rsidRPr="00033E65" w:rsidRDefault="000E6802" w:rsidP="000E6802">
            <w:pPr>
              <w:spacing w:before="0" w:after="0"/>
              <w:jc w:val="center"/>
              <w:rPr>
                <w:rFonts w:cs="Calibri"/>
                <w:b/>
                <w:bCs/>
                <w:color w:val="FFFFFF"/>
                <w:sz w:val="20"/>
                <w:lang w:eastAsia="es-CR"/>
              </w:rPr>
            </w:pPr>
            <w:r w:rsidRPr="00033E65">
              <w:rPr>
                <w:rFonts w:cs="Arial"/>
                <w:b/>
                <w:bCs/>
                <w:color w:val="FFFFFF"/>
                <w:sz w:val="20"/>
                <w:lang w:eastAsia="es-CR"/>
              </w:rPr>
              <w:t>Demostrativa</w:t>
            </w:r>
          </w:p>
        </w:tc>
        <w:tc>
          <w:tcPr>
            <w:tcW w:w="1265" w:type="dxa"/>
            <w:tcBorders>
              <w:top w:val="double" w:sz="6" w:space="0" w:color="1F497D"/>
              <w:left w:val="nil"/>
              <w:bottom w:val="double" w:sz="6" w:space="0" w:color="1F497D"/>
              <w:right w:val="double" w:sz="6" w:space="0" w:color="1F497D"/>
            </w:tcBorders>
            <w:shd w:val="clear" w:color="000000" w:fill="0673A5"/>
            <w:vAlign w:val="center"/>
            <w:hideMark/>
          </w:tcPr>
          <w:p w14:paraId="2FC63A9B" w14:textId="77777777" w:rsidR="000E6802" w:rsidRPr="00033E65" w:rsidRDefault="000E6802" w:rsidP="000E6802">
            <w:pPr>
              <w:spacing w:before="0" w:after="0"/>
              <w:jc w:val="center"/>
              <w:rPr>
                <w:rFonts w:cs="Calibri"/>
                <w:b/>
                <w:bCs/>
                <w:color w:val="FFFFFF"/>
                <w:sz w:val="20"/>
                <w:lang w:eastAsia="es-CR"/>
              </w:rPr>
            </w:pPr>
            <w:r w:rsidRPr="00033E65">
              <w:rPr>
                <w:rFonts w:cs="Arial"/>
                <w:b/>
                <w:bCs/>
                <w:color w:val="FFFFFF"/>
                <w:sz w:val="20"/>
                <w:lang w:eastAsia="es-CR"/>
              </w:rPr>
              <w:t>Conclusiva</w:t>
            </w:r>
          </w:p>
        </w:tc>
        <w:tc>
          <w:tcPr>
            <w:tcW w:w="1118" w:type="dxa"/>
            <w:tcBorders>
              <w:top w:val="double" w:sz="6" w:space="0" w:color="1F497D"/>
              <w:left w:val="nil"/>
              <w:bottom w:val="double" w:sz="6" w:space="0" w:color="1F497D"/>
              <w:right w:val="double" w:sz="6" w:space="0" w:color="1F497D"/>
            </w:tcBorders>
            <w:shd w:val="clear" w:color="000000" w:fill="0673A5"/>
            <w:vAlign w:val="center"/>
            <w:hideMark/>
          </w:tcPr>
          <w:p w14:paraId="62C30B19" w14:textId="77777777" w:rsidR="000E6802" w:rsidRPr="00033E65" w:rsidRDefault="000E6802" w:rsidP="000E6802">
            <w:pPr>
              <w:spacing w:before="0" w:after="0"/>
              <w:jc w:val="center"/>
              <w:rPr>
                <w:rFonts w:cs="Calibri"/>
                <w:b/>
                <w:bCs/>
                <w:color w:val="FFFFFF"/>
                <w:sz w:val="20"/>
                <w:lang w:eastAsia="es-CR"/>
              </w:rPr>
            </w:pPr>
            <w:r w:rsidRPr="00033E65">
              <w:rPr>
                <w:rFonts w:cs="Arial"/>
                <w:b/>
                <w:bCs/>
                <w:color w:val="FFFFFF"/>
                <w:sz w:val="20"/>
                <w:lang w:eastAsia="es-CR"/>
              </w:rPr>
              <w:t>En Ejecución</w:t>
            </w:r>
          </w:p>
        </w:tc>
        <w:tc>
          <w:tcPr>
            <w:tcW w:w="1326" w:type="dxa"/>
            <w:tcBorders>
              <w:top w:val="double" w:sz="6" w:space="0" w:color="1F497D"/>
              <w:left w:val="nil"/>
              <w:bottom w:val="double" w:sz="6" w:space="0" w:color="1F497D"/>
              <w:right w:val="double" w:sz="6" w:space="0" w:color="1F497D"/>
            </w:tcBorders>
            <w:shd w:val="clear" w:color="000000" w:fill="0673A5"/>
            <w:vAlign w:val="center"/>
            <w:hideMark/>
          </w:tcPr>
          <w:p w14:paraId="6F8DA029" w14:textId="77777777" w:rsidR="000E6802" w:rsidRPr="00033E65" w:rsidRDefault="000E6802" w:rsidP="000E6802">
            <w:pPr>
              <w:spacing w:before="0" w:after="0"/>
              <w:jc w:val="center"/>
              <w:rPr>
                <w:rFonts w:cs="Calibri"/>
                <w:b/>
                <w:bCs/>
                <w:color w:val="FFFFFF"/>
                <w:sz w:val="20"/>
                <w:lang w:eastAsia="es-CR"/>
              </w:rPr>
            </w:pPr>
            <w:r w:rsidRPr="00033E65">
              <w:rPr>
                <w:rFonts w:cs="Arial"/>
                <w:b/>
                <w:bCs/>
                <w:color w:val="FFFFFF"/>
                <w:sz w:val="20"/>
                <w:lang w:eastAsia="es-CR"/>
              </w:rPr>
              <w:t>Itinerado (Actualizar)</w:t>
            </w:r>
          </w:p>
        </w:tc>
        <w:tc>
          <w:tcPr>
            <w:tcW w:w="941" w:type="dxa"/>
            <w:tcBorders>
              <w:top w:val="double" w:sz="6" w:space="0" w:color="1F497D"/>
              <w:left w:val="nil"/>
              <w:bottom w:val="double" w:sz="6" w:space="0" w:color="1F497D"/>
              <w:right w:val="double" w:sz="6" w:space="0" w:color="1F497D"/>
            </w:tcBorders>
            <w:shd w:val="clear" w:color="000000" w:fill="0673A5"/>
            <w:vAlign w:val="center"/>
            <w:hideMark/>
          </w:tcPr>
          <w:p w14:paraId="27463C2F" w14:textId="77777777" w:rsidR="000E6802" w:rsidRPr="00033E65" w:rsidRDefault="000E6802" w:rsidP="000E6802">
            <w:pPr>
              <w:spacing w:before="0" w:after="0"/>
              <w:jc w:val="center"/>
              <w:rPr>
                <w:rFonts w:cs="Calibri"/>
                <w:b/>
                <w:bCs/>
                <w:color w:val="FFFFFF"/>
                <w:sz w:val="20"/>
                <w:lang w:eastAsia="es-CR"/>
              </w:rPr>
            </w:pPr>
            <w:r w:rsidRPr="00033E65">
              <w:rPr>
                <w:rFonts w:cs="Arial"/>
                <w:b/>
                <w:bCs/>
                <w:color w:val="FFFFFF"/>
                <w:sz w:val="20"/>
                <w:lang w:eastAsia="es-CR"/>
              </w:rPr>
              <w:t>Total general</w:t>
            </w:r>
          </w:p>
        </w:tc>
        <w:tc>
          <w:tcPr>
            <w:tcW w:w="1692" w:type="dxa"/>
            <w:tcBorders>
              <w:top w:val="double" w:sz="6" w:space="0" w:color="1F497D"/>
              <w:left w:val="nil"/>
              <w:bottom w:val="double" w:sz="6" w:space="0" w:color="1F497D"/>
              <w:right w:val="double" w:sz="6" w:space="0" w:color="1F497D"/>
            </w:tcBorders>
            <w:shd w:val="clear" w:color="000000" w:fill="0673A5"/>
            <w:vAlign w:val="center"/>
            <w:hideMark/>
          </w:tcPr>
          <w:p w14:paraId="4C7F9125" w14:textId="77777777" w:rsidR="000E6802" w:rsidRPr="00033E65" w:rsidRDefault="000E6802" w:rsidP="000E6802">
            <w:pPr>
              <w:spacing w:before="0" w:after="0"/>
              <w:jc w:val="center"/>
              <w:rPr>
                <w:rFonts w:cs="Calibri"/>
                <w:b/>
                <w:bCs/>
                <w:color w:val="FFFFFF"/>
                <w:sz w:val="20"/>
                <w:lang w:eastAsia="es-CR"/>
              </w:rPr>
            </w:pPr>
            <w:r w:rsidRPr="00033E65">
              <w:rPr>
                <w:rFonts w:cs="Arial"/>
                <w:b/>
                <w:bCs/>
                <w:color w:val="FFFFFF"/>
                <w:sz w:val="20"/>
                <w:lang w:eastAsia="es-CR"/>
              </w:rPr>
              <w:t>Representación de la Fase de Ejecución en el Circulante</w:t>
            </w:r>
          </w:p>
        </w:tc>
      </w:tr>
      <w:tr w:rsidR="00AF3382" w:rsidRPr="00033E65" w14:paraId="3FA410BB" w14:textId="77777777" w:rsidTr="000E6802">
        <w:trPr>
          <w:trHeight w:val="1006"/>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17A9D4F6"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Agrario I Circ. Jud. Zona Atlántica (Limón)</w:t>
            </w:r>
          </w:p>
        </w:tc>
        <w:tc>
          <w:tcPr>
            <w:tcW w:w="1118" w:type="dxa"/>
            <w:tcBorders>
              <w:top w:val="nil"/>
              <w:left w:val="nil"/>
              <w:bottom w:val="double" w:sz="6" w:space="0" w:color="1F497D"/>
              <w:right w:val="double" w:sz="6" w:space="0" w:color="1F497D"/>
            </w:tcBorders>
            <w:shd w:val="clear" w:color="000000" w:fill="F8696B"/>
            <w:vAlign w:val="center"/>
            <w:hideMark/>
          </w:tcPr>
          <w:p w14:paraId="695BAA32"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1239</w:t>
            </w:r>
          </w:p>
        </w:tc>
        <w:tc>
          <w:tcPr>
            <w:tcW w:w="1497" w:type="dxa"/>
            <w:tcBorders>
              <w:top w:val="nil"/>
              <w:left w:val="nil"/>
              <w:bottom w:val="double" w:sz="6" w:space="0" w:color="1F497D"/>
              <w:right w:val="double" w:sz="6" w:space="0" w:color="1F497D"/>
            </w:tcBorders>
            <w:shd w:val="clear" w:color="auto" w:fill="auto"/>
            <w:vAlign w:val="center"/>
            <w:hideMark/>
          </w:tcPr>
          <w:p w14:paraId="7C9D2F48"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821</w:t>
            </w:r>
          </w:p>
        </w:tc>
        <w:tc>
          <w:tcPr>
            <w:tcW w:w="1265" w:type="dxa"/>
            <w:tcBorders>
              <w:top w:val="nil"/>
              <w:left w:val="nil"/>
              <w:bottom w:val="double" w:sz="6" w:space="0" w:color="1F497D"/>
              <w:right w:val="double" w:sz="6" w:space="0" w:color="1F497D"/>
            </w:tcBorders>
            <w:shd w:val="clear" w:color="auto" w:fill="auto"/>
            <w:vAlign w:val="center"/>
            <w:hideMark/>
          </w:tcPr>
          <w:p w14:paraId="352BC54F"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75</w:t>
            </w:r>
          </w:p>
        </w:tc>
        <w:tc>
          <w:tcPr>
            <w:tcW w:w="1118" w:type="dxa"/>
            <w:tcBorders>
              <w:top w:val="nil"/>
              <w:left w:val="nil"/>
              <w:bottom w:val="double" w:sz="6" w:space="0" w:color="1F497D"/>
              <w:right w:val="double" w:sz="6" w:space="0" w:color="1F497D"/>
            </w:tcBorders>
            <w:shd w:val="clear" w:color="auto" w:fill="auto"/>
            <w:vAlign w:val="center"/>
            <w:hideMark/>
          </w:tcPr>
          <w:p w14:paraId="6B3D2DC1"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15</w:t>
            </w:r>
          </w:p>
        </w:tc>
        <w:tc>
          <w:tcPr>
            <w:tcW w:w="1326" w:type="dxa"/>
            <w:tcBorders>
              <w:top w:val="nil"/>
              <w:left w:val="nil"/>
              <w:bottom w:val="double" w:sz="6" w:space="0" w:color="1F497D"/>
              <w:right w:val="double" w:sz="6" w:space="0" w:color="1F497D"/>
            </w:tcBorders>
            <w:shd w:val="clear" w:color="auto" w:fill="auto"/>
            <w:vAlign w:val="center"/>
            <w:hideMark/>
          </w:tcPr>
          <w:p w14:paraId="25113EF3"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0</w:t>
            </w:r>
          </w:p>
        </w:tc>
        <w:tc>
          <w:tcPr>
            <w:tcW w:w="941" w:type="dxa"/>
            <w:tcBorders>
              <w:top w:val="nil"/>
              <w:left w:val="nil"/>
              <w:bottom w:val="double" w:sz="6" w:space="0" w:color="1F497D"/>
              <w:right w:val="double" w:sz="6" w:space="0" w:color="1F497D"/>
            </w:tcBorders>
            <w:shd w:val="clear" w:color="000000" w:fill="DCE6F1"/>
            <w:vAlign w:val="center"/>
            <w:hideMark/>
          </w:tcPr>
          <w:p w14:paraId="21A8B13E"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2150</w:t>
            </w:r>
          </w:p>
        </w:tc>
        <w:tc>
          <w:tcPr>
            <w:tcW w:w="1692" w:type="dxa"/>
            <w:tcBorders>
              <w:top w:val="nil"/>
              <w:left w:val="nil"/>
              <w:bottom w:val="double" w:sz="6" w:space="0" w:color="1F497D"/>
              <w:right w:val="double" w:sz="6" w:space="0" w:color="1F497D"/>
            </w:tcBorders>
            <w:shd w:val="clear" w:color="000000" w:fill="78C47C"/>
            <w:vAlign w:val="center"/>
            <w:hideMark/>
          </w:tcPr>
          <w:p w14:paraId="5FA45D81"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0,70%</w:t>
            </w:r>
          </w:p>
        </w:tc>
      </w:tr>
      <w:tr w:rsidR="00AF3382" w:rsidRPr="00033E65" w14:paraId="64C1EE5A" w14:textId="77777777" w:rsidTr="007E33F1">
        <w:trPr>
          <w:trHeight w:val="950"/>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14229ADF"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Agrario II Circ. Jud. Guanacaste (Santa Cruz)</w:t>
            </w:r>
          </w:p>
        </w:tc>
        <w:tc>
          <w:tcPr>
            <w:tcW w:w="1118" w:type="dxa"/>
            <w:tcBorders>
              <w:top w:val="nil"/>
              <w:left w:val="nil"/>
              <w:bottom w:val="double" w:sz="6" w:space="0" w:color="1F497D"/>
              <w:right w:val="double" w:sz="6" w:space="0" w:color="1F497D"/>
            </w:tcBorders>
            <w:shd w:val="clear" w:color="000000" w:fill="FCB47A"/>
            <w:vAlign w:val="center"/>
            <w:hideMark/>
          </w:tcPr>
          <w:p w14:paraId="0E9C14B0"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649</w:t>
            </w:r>
          </w:p>
        </w:tc>
        <w:tc>
          <w:tcPr>
            <w:tcW w:w="1497" w:type="dxa"/>
            <w:tcBorders>
              <w:top w:val="nil"/>
              <w:left w:val="nil"/>
              <w:bottom w:val="double" w:sz="6" w:space="0" w:color="1F497D"/>
              <w:right w:val="double" w:sz="6" w:space="0" w:color="1F497D"/>
            </w:tcBorders>
            <w:shd w:val="clear" w:color="auto" w:fill="auto"/>
            <w:vAlign w:val="center"/>
            <w:hideMark/>
          </w:tcPr>
          <w:p w14:paraId="14D255D8"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66</w:t>
            </w:r>
          </w:p>
        </w:tc>
        <w:tc>
          <w:tcPr>
            <w:tcW w:w="1265" w:type="dxa"/>
            <w:tcBorders>
              <w:top w:val="nil"/>
              <w:left w:val="nil"/>
              <w:bottom w:val="double" w:sz="6" w:space="0" w:color="1F497D"/>
              <w:right w:val="double" w:sz="6" w:space="0" w:color="1F497D"/>
            </w:tcBorders>
            <w:shd w:val="clear" w:color="auto" w:fill="auto"/>
            <w:vAlign w:val="center"/>
            <w:hideMark/>
          </w:tcPr>
          <w:p w14:paraId="6433F1E5"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117</w:t>
            </w:r>
          </w:p>
        </w:tc>
        <w:tc>
          <w:tcPr>
            <w:tcW w:w="1118" w:type="dxa"/>
            <w:tcBorders>
              <w:top w:val="nil"/>
              <w:left w:val="nil"/>
              <w:bottom w:val="double" w:sz="6" w:space="0" w:color="1F497D"/>
              <w:right w:val="double" w:sz="6" w:space="0" w:color="1F497D"/>
            </w:tcBorders>
            <w:shd w:val="clear" w:color="auto" w:fill="auto"/>
            <w:vAlign w:val="center"/>
            <w:hideMark/>
          </w:tcPr>
          <w:p w14:paraId="37D3C166"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3</w:t>
            </w:r>
          </w:p>
        </w:tc>
        <w:tc>
          <w:tcPr>
            <w:tcW w:w="1326" w:type="dxa"/>
            <w:tcBorders>
              <w:top w:val="nil"/>
              <w:left w:val="nil"/>
              <w:bottom w:val="double" w:sz="6" w:space="0" w:color="1F497D"/>
              <w:right w:val="double" w:sz="6" w:space="0" w:color="1F497D"/>
            </w:tcBorders>
            <w:shd w:val="clear" w:color="auto" w:fill="auto"/>
            <w:vAlign w:val="center"/>
            <w:hideMark/>
          </w:tcPr>
          <w:p w14:paraId="51AF2C69"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0</w:t>
            </w:r>
          </w:p>
        </w:tc>
        <w:tc>
          <w:tcPr>
            <w:tcW w:w="941" w:type="dxa"/>
            <w:tcBorders>
              <w:top w:val="nil"/>
              <w:left w:val="nil"/>
              <w:bottom w:val="double" w:sz="6" w:space="0" w:color="1F497D"/>
              <w:right w:val="double" w:sz="6" w:space="0" w:color="1F497D"/>
            </w:tcBorders>
            <w:shd w:val="clear" w:color="000000" w:fill="DCE6F1"/>
            <w:vAlign w:val="center"/>
            <w:hideMark/>
          </w:tcPr>
          <w:p w14:paraId="4847A77D"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835</w:t>
            </w:r>
          </w:p>
        </w:tc>
        <w:tc>
          <w:tcPr>
            <w:tcW w:w="1692" w:type="dxa"/>
            <w:tcBorders>
              <w:top w:val="nil"/>
              <w:left w:val="nil"/>
              <w:bottom w:val="double" w:sz="6" w:space="0" w:color="1F497D"/>
              <w:right w:val="double" w:sz="6" w:space="0" w:color="1F497D"/>
            </w:tcBorders>
            <w:shd w:val="clear" w:color="000000" w:fill="6DC17B"/>
            <w:vAlign w:val="center"/>
            <w:hideMark/>
          </w:tcPr>
          <w:p w14:paraId="7FF13D19"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0,36%</w:t>
            </w:r>
          </w:p>
        </w:tc>
      </w:tr>
      <w:tr w:rsidR="00AF3382" w:rsidRPr="00033E65" w14:paraId="44504B23" w14:textId="77777777" w:rsidTr="007E33F1">
        <w:trPr>
          <w:trHeight w:val="653"/>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7EE1DFB6"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Agrario I Circ. Jud. Alajuela</w:t>
            </w:r>
          </w:p>
        </w:tc>
        <w:tc>
          <w:tcPr>
            <w:tcW w:w="1118" w:type="dxa"/>
            <w:tcBorders>
              <w:top w:val="nil"/>
              <w:left w:val="nil"/>
              <w:bottom w:val="double" w:sz="6" w:space="0" w:color="1F497D"/>
              <w:right w:val="double" w:sz="6" w:space="0" w:color="1F497D"/>
            </w:tcBorders>
            <w:shd w:val="clear" w:color="000000" w:fill="FDBF7C"/>
            <w:vAlign w:val="center"/>
            <w:hideMark/>
          </w:tcPr>
          <w:p w14:paraId="3A505456"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563</w:t>
            </w:r>
          </w:p>
        </w:tc>
        <w:tc>
          <w:tcPr>
            <w:tcW w:w="1497" w:type="dxa"/>
            <w:tcBorders>
              <w:top w:val="nil"/>
              <w:left w:val="nil"/>
              <w:bottom w:val="double" w:sz="6" w:space="0" w:color="1F497D"/>
              <w:right w:val="double" w:sz="6" w:space="0" w:color="1F497D"/>
            </w:tcBorders>
            <w:shd w:val="clear" w:color="auto" w:fill="auto"/>
            <w:vAlign w:val="center"/>
            <w:hideMark/>
          </w:tcPr>
          <w:p w14:paraId="36C02D9A"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103</w:t>
            </w:r>
          </w:p>
        </w:tc>
        <w:tc>
          <w:tcPr>
            <w:tcW w:w="1265" w:type="dxa"/>
            <w:tcBorders>
              <w:top w:val="nil"/>
              <w:left w:val="nil"/>
              <w:bottom w:val="double" w:sz="6" w:space="0" w:color="1F497D"/>
              <w:right w:val="double" w:sz="6" w:space="0" w:color="1F497D"/>
            </w:tcBorders>
            <w:shd w:val="clear" w:color="auto" w:fill="auto"/>
            <w:vAlign w:val="center"/>
            <w:hideMark/>
          </w:tcPr>
          <w:p w14:paraId="05A235EE"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61</w:t>
            </w:r>
          </w:p>
        </w:tc>
        <w:tc>
          <w:tcPr>
            <w:tcW w:w="1118" w:type="dxa"/>
            <w:tcBorders>
              <w:top w:val="nil"/>
              <w:left w:val="nil"/>
              <w:bottom w:val="double" w:sz="6" w:space="0" w:color="1F497D"/>
              <w:right w:val="double" w:sz="6" w:space="0" w:color="1F497D"/>
            </w:tcBorders>
            <w:shd w:val="clear" w:color="auto" w:fill="auto"/>
            <w:vAlign w:val="center"/>
            <w:hideMark/>
          </w:tcPr>
          <w:p w14:paraId="3AFB9BCA"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90</w:t>
            </w:r>
          </w:p>
        </w:tc>
        <w:tc>
          <w:tcPr>
            <w:tcW w:w="1326" w:type="dxa"/>
            <w:tcBorders>
              <w:top w:val="nil"/>
              <w:left w:val="nil"/>
              <w:bottom w:val="double" w:sz="6" w:space="0" w:color="1F497D"/>
              <w:right w:val="double" w:sz="6" w:space="0" w:color="1F497D"/>
            </w:tcBorders>
            <w:shd w:val="clear" w:color="auto" w:fill="auto"/>
            <w:vAlign w:val="center"/>
            <w:hideMark/>
          </w:tcPr>
          <w:p w14:paraId="6194744A"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6</w:t>
            </w:r>
          </w:p>
        </w:tc>
        <w:tc>
          <w:tcPr>
            <w:tcW w:w="941" w:type="dxa"/>
            <w:tcBorders>
              <w:top w:val="nil"/>
              <w:left w:val="nil"/>
              <w:bottom w:val="double" w:sz="6" w:space="0" w:color="1F497D"/>
              <w:right w:val="double" w:sz="6" w:space="0" w:color="1F497D"/>
            </w:tcBorders>
            <w:shd w:val="clear" w:color="000000" w:fill="DCE6F1"/>
            <w:vAlign w:val="center"/>
            <w:hideMark/>
          </w:tcPr>
          <w:p w14:paraId="173E27E8"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823</w:t>
            </w:r>
          </w:p>
        </w:tc>
        <w:tc>
          <w:tcPr>
            <w:tcW w:w="1692" w:type="dxa"/>
            <w:tcBorders>
              <w:top w:val="nil"/>
              <w:left w:val="nil"/>
              <w:bottom w:val="double" w:sz="6" w:space="0" w:color="1F497D"/>
              <w:right w:val="double" w:sz="6" w:space="0" w:color="1F497D"/>
            </w:tcBorders>
            <w:shd w:val="clear" w:color="000000" w:fill="FB9F76"/>
            <w:vAlign w:val="center"/>
            <w:hideMark/>
          </w:tcPr>
          <w:p w14:paraId="468DADC5"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10,94%</w:t>
            </w:r>
          </w:p>
        </w:tc>
      </w:tr>
      <w:tr w:rsidR="00AF3382" w:rsidRPr="00033E65" w14:paraId="71D48848" w14:textId="77777777" w:rsidTr="007E33F1">
        <w:trPr>
          <w:trHeight w:val="535"/>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575F5F1F"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Agrario de Cartago</w:t>
            </w:r>
          </w:p>
        </w:tc>
        <w:tc>
          <w:tcPr>
            <w:tcW w:w="1118" w:type="dxa"/>
            <w:tcBorders>
              <w:top w:val="nil"/>
              <w:left w:val="nil"/>
              <w:bottom w:val="double" w:sz="6" w:space="0" w:color="1F497D"/>
              <w:right w:val="double" w:sz="6" w:space="0" w:color="1F497D"/>
            </w:tcBorders>
            <w:shd w:val="clear" w:color="000000" w:fill="FED17F"/>
            <w:vAlign w:val="center"/>
            <w:hideMark/>
          </w:tcPr>
          <w:p w14:paraId="00D10733"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416</w:t>
            </w:r>
          </w:p>
        </w:tc>
        <w:tc>
          <w:tcPr>
            <w:tcW w:w="1497" w:type="dxa"/>
            <w:tcBorders>
              <w:top w:val="nil"/>
              <w:left w:val="nil"/>
              <w:bottom w:val="double" w:sz="6" w:space="0" w:color="1F497D"/>
              <w:right w:val="double" w:sz="6" w:space="0" w:color="1F497D"/>
            </w:tcBorders>
            <w:shd w:val="clear" w:color="auto" w:fill="auto"/>
            <w:vAlign w:val="center"/>
            <w:hideMark/>
          </w:tcPr>
          <w:p w14:paraId="6E0DE852"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32</w:t>
            </w:r>
          </w:p>
        </w:tc>
        <w:tc>
          <w:tcPr>
            <w:tcW w:w="1265" w:type="dxa"/>
            <w:tcBorders>
              <w:top w:val="nil"/>
              <w:left w:val="nil"/>
              <w:bottom w:val="double" w:sz="6" w:space="0" w:color="1F497D"/>
              <w:right w:val="double" w:sz="6" w:space="0" w:color="1F497D"/>
            </w:tcBorders>
            <w:shd w:val="clear" w:color="auto" w:fill="auto"/>
            <w:vAlign w:val="center"/>
            <w:hideMark/>
          </w:tcPr>
          <w:p w14:paraId="269685DB"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94</w:t>
            </w:r>
          </w:p>
        </w:tc>
        <w:tc>
          <w:tcPr>
            <w:tcW w:w="1118" w:type="dxa"/>
            <w:tcBorders>
              <w:top w:val="nil"/>
              <w:left w:val="nil"/>
              <w:bottom w:val="double" w:sz="6" w:space="0" w:color="1F497D"/>
              <w:right w:val="double" w:sz="6" w:space="0" w:color="1F497D"/>
            </w:tcBorders>
            <w:shd w:val="clear" w:color="auto" w:fill="auto"/>
            <w:vAlign w:val="center"/>
            <w:hideMark/>
          </w:tcPr>
          <w:p w14:paraId="7799EF82"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14</w:t>
            </w:r>
          </w:p>
        </w:tc>
        <w:tc>
          <w:tcPr>
            <w:tcW w:w="1326" w:type="dxa"/>
            <w:tcBorders>
              <w:top w:val="nil"/>
              <w:left w:val="nil"/>
              <w:bottom w:val="double" w:sz="6" w:space="0" w:color="1F497D"/>
              <w:right w:val="double" w:sz="6" w:space="0" w:color="1F497D"/>
            </w:tcBorders>
            <w:shd w:val="clear" w:color="auto" w:fill="auto"/>
            <w:vAlign w:val="center"/>
            <w:hideMark/>
          </w:tcPr>
          <w:p w14:paraId="67863CF8"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0</w:t>
            </w:r>
          </w:p>
        </w:tc>
        <w:tc>
          <w:tcPr>
            <w:tcW w:w="941" w:type="dxa"/>
            <w:tcBorders>
              <w:top w:val="nil"/>
              <w:left w:val="nil"/>
              <w:bottom w:val="double" w:sz="6" w:space="0" w:color="1F497D"/>
              <w:right w:val="double" w:sz="6" w:space="0" w:color="1F497D"/>
            </w:tcBorders>
            <w:shd w:val="clear" w:color="000000" w:fill="DCE6F1"/>
            <w:vAlign w:val="center"/>
            <w:hideMark/>
          </w:tcPr>
          <w:p w14:paraId="23DDE1EB"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556</w:t>
            </w:r>
          </w:p>
        </w:tc>
        <w:tc>
          <w:tcPr>
            <w:tcW w:w="1692" w:type="dxa"/>
            <w:tcBorders>
              <w:top w:val="nil"/>
              <w:left w:val="nil"/>
              <w:bottom w:val="double" w:sz="6" w:space="0" w:color="1F497D"/>
              <w:right w:val="double" w:sz="6" w:space="0" w:color="1F497D"/>
            </w:tcBorders>
            <w:shd w:val="clear" w:color="000000" w:fill="AFD47F"/>
            <w:vAlign w:val="center"/>
            <w:hideMark/>
          </w:tcPr>
          <w:p w14:paraId="1230B676"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2,52%</w:t>
            </w:r>
          </w:p>
        </w:tc>
      </w:tr>
      <w:tr w:rsidR="00AF3382" w:rsidRPr="00033E65" w14:paraId="6AFDE6B9" w14:textId="77777777" w:rsidTr="007E33F1">
        <w:trPr>
          <w:trHeight w:val="784"/>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017D33F0"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Agrario II Circ. Jud. Zona Sur (Corredores)</w:t>
            </w:r>
          </w:p>
        </w:tc>
        <w:tc>
          <w:tcPr>
            <w:tcW w:w="1118" w:type="dxa"/>
            <w:tcBorders>
              <w:top w:val="nil"/>
              <w:left w:val="nil"/>
              <w:bottom w:val="double" w:sz="6" w:space="0" w:color="1F497D"/>
              <w:right w:val="double" w:sz="6" w:space="0" w:color="1F497D"/>
            </w:tcBorders>
            <w:shd w:val="clear" w:color="000000" w:fill="FFDD82"/>
            <w:vAlign w:val="center"/>
            <w:hideMark/>
          </w:tcPr>
          <w:p w14:paraId="3B3E2261"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324</w:t>
            </w:r>
          </w:p>
        </w:tc>
        <w:tc>
          <w:tcPr>
            <w:tcW w:w="1497" w:type="dxa"/>
            <w:tcBorders>
              <w:top w:val="nil"/>
              <w:left w:val="nil"/>
              <w:bottom w:val="double" w:sz="6" w:space="0" w:color="1F497D"/>
              <w:right w:val="double" w:sz="6" w:space="0" w:color="1F497D"/>
            </w:tcBorders>
            <w:shd w:val="clear" w:color="auto" w:fill="auto"/>
            <w:vAlign w:val="center"/>
            <w:hideMark/>
          </w:tcPr>
          <w:p w14:paraId="59B9B2D0"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97</w:t>
            </w:r>
          </w:p>
        </w:tc>
        <w:tc>
          <w:tcPr>
            <w:tcW w:w="1265" w:type="dxa"/>
            <w:tcBorders>
              <w:top w:val="nil"/>
              <w:left w:val="nil"/>
              <w:bottom w:val="double" w:sz="6" w:space="0" w:color="1F497D"/>
              <w:right w:val="double" w:sz="6" w:space="0" w:color="1F497D"/>
            </w:tcBorders>
            <w:shd w:val="clear" w:color="auto" w:fill="auto"/>
            <w:vAlign w:val="center"/>
            <w:hideMark/>
          </w:tcPr>
          <w:p w14:paraId="440DB71F"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148</w:t>
            </w:r>
          </w:p>
        </w:tc>
        <w:tc>
          <w:tcPr>
            <w:tcW w:w="1118" w:type="dxa"/>
            <w:tcBorders>
              <w:top w:val="nil"/>
              <w:left w:val="nil"/>
              <w:bottom w:val="double" w:sz="6" w:space="0" w:color="1F497D"/>
              <w:right w:val="double" w:sz="6" w:space="0" w:color="1F497D"/>
            </w:tcBorders>
            <w:shd w:val="clear" w:color="auto" w:fill="auto"/>
            <w:vAlign w:val="center"/>
            <w:hideMark/>
          </w:tcPr>
          <w:p w14:paraId="5D36E6C5"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53</w:t>
            </w:r>
          </w:p>
        </w:tc>
        <w:tc>
          <w:tcPr>
            <w:tcW w:w="1326" w:type="dxa"/>
            <w:tcBorders>
              <w:top w:val="nil"/>
              <w:left w:val="nil"/>
              <w:bottom w:val="double" w:sz="6" w:space="0" w:color="1F497D"/>
              <w:right w:val="double" w:sz="6" w:space="0" w:color="1F497D"/>
            </w:tcBorders>
            <w:shd w:val="clear" w:color="auto" w:fill="auto"/>
            <w:vAlign w:val="center"/>
            <w:hideMark/>
          </w:tcPr>
          <w:p w14:paraId="1E3FEA7C"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0</w:t>
            </w:r>
          </w:p>
        </w:tc>
        <w:tc>
          <w:tcPr>
            <w:tcW w:w="941" w:type="dxa"/>
            <w:tcBorders>
              <w:top w:val="nil"/>
              <w:left w:val="nil"/>
              <w:bottom w:val="double" w:sz="6" w:space="0" w:color="1F497D"/>
              <w:right w:val="double" w:sz="6" w:space="0" w:color="1F497D"/>
            </w:tcBorders>
            <w:shd w:val="clear" w:color="000000" w:fill="DCE6F1"/>
            <w:vAlign w:val="center"/>
            <w:hideMark/>
          </w:tcPr>
          <w:p w14:paraId="15136580"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622</w:t>
            </w:r>
          </w:p>
        </w:tc>
        <w:tc>
          <w:tcPr>
            <w:tcW w:w="1692" w:type="dxa"/>
            <w:tcBorders>
              <w:top w:val="nil"/>
              <w:left w:val="nil"/>
              <w:bottom w:val="double" w:sz="6" w:space="0" w:color="1F497D"/>
              <w:right w:val="double" w:sz="6" w:space="0" w:color="1F497D"/>
            </w:tcBorders>
            <w:shd w:val="clear" w:color="000000" w:fill="FDBF7C"/>
            <w:vAlign w:val="center"/>
            <w:hideMark/>
          </w:tcPr>
          <w:p w14:paraId="242999CC"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8,52%</w:t>
            </w:r>
          </w:p>
        </w:tc>
      </w:tr>
      <w:tr w:rsidR="00AF3382" w:rsidRPr="00033E65" w14:paraId="11E484F0" w14:textId="77777777" w:rsidTr="007E33F1">
        <w:trPr>
          <w:trHeight w:val="910"/>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29892937"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Agrario II Circ. Jud. Zona Atlántica (Pococí)</w:t>
            </w:r>
          </w:p>
        </w:tc>
        <w:tc>
          <w:tcPr>
            <w:tcW w:w="1118" w:type="dxa"/>
            <w:tcBorders>
              <w:top w:val="nil"/>
              <w:left w:val="nil"/>
              <w:bottom w:val="double" w:sz="6" w:space="0" w:color="1F497D"/>
              <w:right w:val="double" w:sz="6" w:space="0" w:color="1F497D"/>
            </w:tcBorders>
            <w:shd w:val="clear" w:color="000000" w:fill="FFE082"/>
            <w:vAlign w:val="center"/>
            <w:hideMark/>
          </w:tcPr>
          <w:p w14:paraId="0DFEECF0"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299</w:t>
            </w:r>
          </w:p>
        </w:tc>
        <w:tc>
          <w:tcPr>
            <w:tcW w:w="1497" w:type="dxa"/>
            <w:tcBorders>
              <w:top w:val="nil"/>
              <w:left w:val="nil"/>
              <w:bottom w:val="double" w:sz="6" w:space="0" w:color="1F497D"/>
              <w:right w:val="double" w:sz="6" w:space="0" w:color="1F497D"/>
            </w:tcBorders>
            <w:shd w:val="clear" w:color="auto" w:fill="auto"/>
            <w:vAlign w:val="center"/>
            <w:hideMark/>
          </w:tcPr>
          <w:p w14:paraId="07D47162"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213</w:t>
            </w:r>
          </w:p>
        </w:tc>
        <w:tc>
          <w:tcPr>
            <w:tcW w:w="1265" w:type="dxa"/>
            <w:tcBorders>
              <w:top w:val="nil"/>
              <w:left w:val="nil"/>
              <w:bottom w:val="double" w:sz="6" w:space="0" w:color="1F497D"/>
              <w:right w:val="double" w:sz="6" w:space="0" w:color="1F497D"/>
            </w:tcBorders>
            <w:shd w:val="clear" w:color="auto" w:fill="auto"/>
            <w:vAlign w:val="center"/>
            <w:hideMark/>
          </w:tcPr>
          <w:p w14:paraId="7C0E66EF"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135</w:t>
            </w:r>
          </w:p>
        </w:tc>
        <w:tc>
          <w:tcPr>
            <w:tcW w:w="1118" w:type="dxa"/>
            <w:tcBorders>
              <w:top w:val="nil"/>
              <w:left w:val="nil"/>
              <w:bottom w:val="double" w:sz="6" w:space="0" w:color="1F497D"/>
              <w:right w:val="double" w:sz="6" w:space="0" w:color="1F497D"/>
            </w:tcBorders>
            <w:shd w:val="clear" w:color="auto" w:fill="auto"/>
            <w:vAlign w:val="center"/>
            <w:hideMark/>
          </w:tcPr>
          <w:p w14:paraId="4F8FD0B7"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10</w:t>
            </w:r>
          </w:p>
        </w:tc>
        <w:tc>
          <w:tcPr>
            <w:tcW w:w="1326" w:type="dxa"/>
            <w:tcBorders>
              <w:top w:val="nil"/>
              <w:left w:val="nil"/>
              <w:bottom w:val="double" w:sz="6" w:space="0" w:color="1F497D"/>
              <w:right w:val="double" w:sz="6" w:space="0" w:color="1F497D"/>
            </w:tcBorders>
            <w:shd w:val="clear" w:color="auto" w:fill="auto"/>
            <w:vAlign w:val="center"/>
            <w:hideMark/>
          </w:tcPr>
          <w:p w14:paraId="5B46D9EA"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0</w:t>
            </w:r>
          </w:p>
        </w:tc>
        <w:tc>
          <w:tcPr>
            <w:tcW w:w="941" w:type="dxa"/>
            <w:tcBorders>
              <w:top w:val="nil"/>
              <w:left w:val="nil"/>
              <w:bottom w:val="double" w:sz="6" w:space="0" w:color="1F497D"/>
              <w:right w:val="double" w:sz="6" w:space="0" w:color="1F497D"/>
            </w:tcBorders>
            <w:shd w:val="clear" w:color="000000" w:fill="DCE6F1"/>
            <w:vAlign w:val="center"/>
            <w:hideMark/>
          </w:tcPr>
          <w:p w14:paraId="4822D341"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657</w:t>
            </w:r>
          </w:p>
        </w:tc>
        <w:tc>
          <w:tcPr>
            <w:tcW w:w="1692" w:type="dxa"/>
            <w:tcBorders>
              <w:top w:val="nil"/>
              <w:left w:val="nil"/>
              <w:bottom w:val="double" w:sz="6" w:space="0" w:color="1F497D"/>
              <w:right w:val="double" w:sz="6" w:space="0" w:color="1F497D"/>
            </w:tcBorders>
            <w:shd w:val="clear" w:color="000000" w:fill="91CB7D"/>
            <w:vAlign w:val="center"/>
            <w:hideMark/>
          </w:tcPr>
          <w:p w14:paraId="7B0F3801"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1,52%</w:t>
            </w:r>
          </w:p>
        </w:tc>
      </w:tr>
      <w:tr w:rsidR="00AF3382" w:rsidRPr="00033E65" w14:paraId="6C3260CA" w14:textId="77777777" w:rsidTr="007E33F1">
        <w:trPr>
          <w:trHeight w:val="668"/>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06CCA75C"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Agrario I Circ. Jud. Guanacaste (Liberia)</w:t>
            </w:r>
          </w:p>
        </w:tc>
        <w:tc>
          <w:tcPr>
            <w:tcW w:w="1118" w:type="dxa"/>
            <w:tcBorders>
              <w:top w:val="nil"/>
              <w:left w:val="nil"/>
              <w:bottom w:val="double" w:sz="6" w:space="0" w:color="1F497D"/>
              <w:right w:val="double" w:sz="6" w:space="0" w:color="1F497D"/>
            </w:tcBorders>
            <w:shd w:val="clear" w:color="000000" w:fill="FFE884"/>
            <w:vAlign w:val="center"/>
            <w:hideMark/>
          </w:tcPr>
          <w:p w14:paraId="743D226D"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237</w:t>
            </w:r>
          </w:p>
        </w:tc>
        <w:tc>
          <w:tcPr>
            <w:tcW w:w="1497" w:type="dxa"/>
            <w:tcBorders>
              <w:top w:val="nil"/>
              <w:left w:val="nil"/>
              <w:bottom w:val="double" w:sz="6" w:space="0" w:color="1F497D"/>
              <w:right w:val="double" w:sz="6" w:space="0" w:color="1F497D"/>
            </w:tcBorders>
            <w:shd w:val="clear" w:color="auto" w:fill="auto"/>
            <w:vAlign w:val="center"/>
            <w:hideMark/>
          </w:tcPr>
          <w:p w14:paraId="685E9DAA"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119</w:t>
            </w:r>
          </w:p>
        </w:tc>
        <w:tc>
          <w:tcPr>
            <w:tcW w:w="1265" w:type="dxa"/>
            <w:tcBorders>
              <w:top w:val="nil"/>
              <w:left w:val="nil"/>
              <w:bottom w:val="double" w:sz="6" w:space="0" w:color="1F497D"/>
              <w:right w:val="double" w:sz="6" w:space="0" w:color="1F497D"/>
            </w:tcBorders>
            <w:shd w:val="clear" w:color="auto" w:fill="auto"/>
            <w:vAlign w:val="center"/>
            <w:hideMark/>
          </w:tcPr>
          <w:p w14:paraId="10D37C85"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81</w:t>
            </w:r>
          </w:p>
        </w:tc>
        <w:tc>
          <w:tcPr>
            <w:tcW w:w="1118" w:type="dxa"/>
            <w:tcBorders>
              <w:top w:val="nil"/>
              <w:left w:val="nil"/>
              <w:bottom w:val="double" w:sz="6" w:space="0" w:color="1F497D"/>
              <w:right w:val="double" w:sz="6" w:space="0" w:color="1F497D"/>
            </w:tcBorders>
            <w:shd w:val="clear" w:color="auto" w:fill="auto"/>
            <w:vAlign w:val="center"/>
            <w:hideMark/>
          </w:tcPr>
          <w:p w14:paraId="1C5CB42A"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35</w:t>
            </w:r>
          </w:p>
        </w:tc>
        <w:tc>
          <w:tcPr>
            <w:tcW w:w="1326" w:type="dxa"/>
            <w:tcBorders>
              <w:top w:val="nil"/>
              <w:left w:val="nil"/>
              <w:bottom w:val="double" w:sz="6" w:space="0" w:color="1F497D"/>
              <w:right w:val="double" w:sz="6" w:space="0" w:color="1F497D"/>
            </w:tcBorders>
            <w:shd w:val="clear" w:color="auto" w:fill="auto"/>
            <w:vAlign w:val="center"/>
            <w:hideMark/>
          </w:tcPr>
          <w:p w14:paraId="2B786B6D"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w:t>
            </w:r>
          </w:p>
        </w:tc>
        <w:tc>
          <w:tcPr>
            <w:tcW w:w="941" w:type="dxa"/>
            <w:tcBorders>
              <w:top w:val="nil"/>
              <w:left w:val="nil"/>
              <w:bottom w:val="double" w:sz="6" w:space="0" w:color="1F497D"/>
              <w:right w:val="double" w:sz="6" w:space="0" w:color="1F497D"/>
            </w:tcBorders>
            <w:shd w:val="clear" w:color="000000" w:fill="DCE6F1"/>
            <w:vAlign w:val="center"/>
            <w:hideMark/>
          </w:tcPr>
          <w:p w14:paraId="45BE08F8"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473</w:t>
            </w:r>
          </w:p>
        </w:tc>
        <w:tc>
          <w:tcPr>
            <w:tcW w:w="1692" w:type="dxa"/>
            <w:tcBorders>
              <w:top w:val="nil"/>
              <w:left w:val="nil"/>
              <w:bottom w:val="double" w:sz="6" w:space="0" w:color="1F497D"/>
              <w:right w:val="double" w:sz="6" w:space="0" w:color="1F497D"/>
            </w:tcBorders>
            <w:shd w:val="clear" w:color="000000" w:fill="FECE7F"/>
            <w:vAlign w:val="center"/>
            <w:hideMark/>
          </w:tcPr>
          <w:p w14:paraId="266AD9CD"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7,40%</w:t>
            </w:r>
          </w:p>
        </w:tc>
      </w:tr>
      <w:tr w:rsidR="00AF3382" w:rsidRPr="00033E65" w14:paraId="3625E031" w14:textId="77777777" w:rsidTr="00955F5A">
        <w:trPr>
          <w:trHeight w:val="792"/>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63B824FC"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Agrario de Puntarenas, Sede Jicaral</w:t>
            </w:r>
          </w:p>
        </w:tc>
        <w:tc>
          <w:tcPr>
            <w:tcW w:w="1118" w:type="dxa"/>
            <w:tcBorders>
              <w:top w:val="nil"/>
              <w:left w:val="nil"/>
              <w:bottom w:val="double" w:sz="6" w:space="0" w:color="1F497D"/>
              <w:right w:val="double" w:sz="6" w:space="0" w:color="1F497D"/>
            </w:tcBorders>
            <w:shd w:val="clear" w:color="000000" w:fill="FFEB84"/>
            <w:vAlign w:val="center"/>
            <w:hideMark/>
          </w:tcPr>
          <w:p w14:paraId="2A6FBE46"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208</w:t>
            </w:r>
          </w:p>
        </w:tc>
        <w:tc>
          <w:tcPr>
            <w:tcW w:w="1497" w:type="dxa"/>
            <w:tcBorders>
              <w:top w:val="nil"/>
              <w:left w:val="nil"/>
              <w:bottom w:val="double" w:sz="6" w:space="0" w:color="1F497D"/>
              <w:right w:val="double" w:sz="6" w:space="0" w:color="1F497D"/>
            </w:tcBorders>
            <w:shd w:val="clear" w:color="auto" w:fill="auto"/>
            <w:vAlign w:val="center"/>
            <w:hideMark/>
          </w:tcPr>
          <w:p w14:paraId="1BE35E65"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30</w:t>
            </w:r>
          </w:p>
        </w:tc>
        <w:tc>
          <w:tcPr>
            <w:tcW w:w="1265" w:type="dxa"/>
            <w:tcBorders>
              <w:top w:val="nil"/>
              <w:left w:val="nil"/>
              <w:bottom w:val="double" w:sz="6" w:space="0" w:color="1F497D"/>
              <w:right w:val="double" w:sz="6" w:space="0" w:color="1F497D"/>
            </w:tcBorders>
            <w:shd w:val="clear" w:color="auto" w:fill="auto"/>
            <w:vAlign w:val="center"/>
            <w:hideMark/>
          </w:tcPr>
          <w:p w14:paraId="7CA90FCC"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37</w:t>
            </w:r>
          </w:p>
        </w:tc>
        <w:tc>
          <w:tcPr>
            <w:tcW w:w="1118" w:type="dxa"/>
            <w:tcBorders>
              <w:top w:val="nil"/>
              <w:left w:val="nil"/>
              <w:bottom w:val="double" w:sz="6" w:space="0" w:color="1F497D"/>
              <w:right w:val="double" w:sz="6" w:space="0" w:color="1F497D"/>
            </w:tcBorders>
            <w:shd w:val="clear" w:color="auto" w:fill="auto"/>
            <w:vAlign w:val="center"/>
            <w:hideMark/>
          </w:tcPr>
          <w:p w14:paraId="7CCFED68"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0</w:t>
            </w:r>
          </w:p>
        </w:tc>
        <w:tc>
          <w:tcPr>
            <w:tcW w:w="1326" w:type="dxa"/>
            <w:tcBorders>
              <w:top w:val="nil"/>
              <w:left w:val="nil"/>
              <w:bottom w:val="double" w:sz="6" w:space="0" w:color="1F497D"/>
              <w:right w:val="double" w:sz="6" w:space="0" w:color="1F497D"/>
            </w:tcBorders>
            <w:shd w:val="clear" w:color="auto" w:fill="auto"/>
            <w:vAlign w:val="center"/>
            <w:hideMark/>
          </w:tcPr>
          <w:p w14:paraId="4FD3A8FD"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0</w:t>
            </w:r>
          </w:p>
        </w:tc>
        <w:tc>
          <w:tcPr>
            <w:tcW w:w="941" w:type="dxa"/>
            <w:tcBorders>
              <w:top w:val="nil"/>
              <w:left w:val="nil"/>
              <w:bottom w:val="double" w:sz="6" w:space="0" w:color="1F497D"/>
              <w:right w:val="double" w:sz="6" w:space="0" w:color="1F497D"/>
            </w:tcBorders>
            <w:shd w:val="clear" w:color="000000" w:fill="DCE6F1"/>
            <w:vAlign w:val="center"/>
            <w:hideMark/>
          </w:tcPr>
          <w:p w14:paraId="0606D5A5"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275</w:t>
            </w:r>
          </w:p>
        </w:tc>
        <w:tc>
          <w:tcPr>
            <w:tcW w:w="1692" w:type="dxa"/>
            <w:tcBorders>
              <w:top w:val="nil"/>
              <w:left w:val="nil"/>
              <w:bottom w:val="double" w:sz="6" w:space="0" w:color="1F497D"/>
              <w:right w:val="double" w:sz="6" w:space="0" w:color="1F497D"/>
            </w:tcBorders>
            <w:shd w:val="clear" w:color="000000" w:fill="63BE7B"/>
            <w:vAlign w:val="center"/>
            <w:hideMark/>
          </w:tcPr>
          <w:p w14:paraId="4F3EC55A"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0,00%</w:t>
            </w:r>
          </w:p>
        </w:tc>
      </w:tr>
      <w:tr w:rsidR="00AF3382" w:rsidRPr="00033E65" w14:paraId="71FDC01F" w14:textId="77777777" w:rsidTr="00955F5A">
        <w:trPr>
          <w:trHeight w:val="853"/>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6616911D"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Agrario I Circ. Jud. Zona Sur (Pérez Zeledón)</w:t>
            </w:r>
          </w:p>
        </w:tc>
        <w:tc>
          <w:tcPr>
            <w:tcW w:w="1118" w:type="dxa"/>
            <w:tcBorders>
              <w:top w:val="nil"/>
              <w:left w:val="nil"/>
              <w:bottom w:val="double" w:sz="6" w:space="0" w:color="1F497D"/>
              <w:right w:val="double" w:sz="6" w:space="0" w:color="1F497D"/>
            </w:tcBorders>
            <w:shd w:val="clear" w:color="000000" w:fill="FDEA83"/>
            <w:vAlign w:val="center"/>
            <w:hideMark/>
          </w:tcPr>
          <w:p w14:paraId="0AC9F329"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205</w:t>
            </w:r>
          </w:p>
        </w:tc>
        <w:tc>
          <w:tcPr>
            <w:tcW w:w="1497" w:type="dxa"/>
            <w:tcBorders>
              <w:top w:val="nil"/>
              <w:left w:val="nil"/>
              <w:bottom w:val="double" w:sz="6" w:space="0" w:color="1F497D"/>
              <w:right w:val="double" w:sz="6" w:space="0" w:color="1F497D"/>
            </w:tcBorders>
            <w:shd w:val="clear" w:color="auto" w:fill="auto"/>
            <w:vAlign w:val="center"/>
            <w:hideMark/>
          </w:tcPr>
          <w:p w14:paraId="00821569"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174</w:t>
            </w:r>
          </w:p>
        </w:tc>
        <w:tc>
          <w:tcPr>
            <w:tcW w:w="1265" w:type="dxa"/>
            <w:tcBorders>
              <w:top w:val="nil"/>
              <w:left w:val="nil"/>
              <w:bottom w:val="double" w:sz="6" w:space="0" w:color="1F497D"/>
              <w:right w:val="double" w:sz="6" w:space="0" w:color="1F497D"/>
            </w:tcBorders>
            <w:shd w:val="clear" w:color="auto" w:fill="auto"/>
            <w:vAlign w:val="center"/>
            <w:hideMark/>
          </w:tcPr>
          <w:p w14:paraId="197C0263"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76</w:t>
            </w:r>
          </w:p>
        </w:tc>
        <w:tc>
          <w:tcPr>
            <w:tcW w:w="1118" w:type="dxa"/>
            <w:tcBorders>
              <w:top w:val="nil"/>
              <w:left w:val="nil"/>
              <w:bottom w:val="double" w:sz="6" w:space="0" w:color="1F497D"/>
              <w:right w:val="double" w:sz="6" w:space="0" w:color="1F497D"/>
            </w:tcBorders>
            <w:shd w:val="clear" w:color="auto" w:fill="auto"/>
            <w:vAlign w:val="center"/>
            <w:hideMark/>
          </w:tcPr>
          <w:p w14:paraId="45744E02"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32</w:t>
            </w:r>
          </w:p>
        </w:tc>
        <w:tc>
          <w:tcPr>
            <w:tcW w:w="1326" w:type="dxa"/>
            <w:tcBorders>
              <w:top w:val="nil"/>
              <w:left w:val="nil"/>
              <w:bottom w:val="double" w:sz="6" w:space="0" w:color="1F497D"/>
              <w:right w:val="double" w:sz="6" w:space="0" w:color="1F497D"/>
            </w:tcBorders>
            <w:shd w:val="clear" w:color="auto" w:fill="auto"/>
            <w:vAlign w:val="center"/>
            <w:hideMark/>
          </w:tcPr>
          <w:p w14:paraId="19E170FE"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0</w:t>
            </w:r>
          </w:p>
        </w:tc>
        <w:tc>
          <w:tcPr>
            <w:tcW w:w="941" w:type="dxa"/>
            <w:tcBorders>
              <w:top w:val="nil"/>
              <w:left w:val="nil"/>
              <w:bottom w:val="double" w:sz="6" w:space="0" w:color="1F497D"/>
              <w:right w:val="double" w:sz="6" w:space="0" w:color="1F497D"/>
            </w:tcBorders>
            <w:shd w:val="clear" w:color="000000" w:fill="DCE6F1"/>
            <w:vAlign w:val="center"/>
            <w:hideMark/>
          </w:tcPr>
          <w:p w14:paraId="78B87C5D"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487</w:t>
            </w:r>
          </w:p>
        </w:tc>
        <w:tc>
          <w:tcPr>
            <w:tcW w:w="1692" w:type="dxa"/>
            <w:tcBorders>
              <w:top w:val="nil"/>
              <w:left w:val="nil"/>
              <w:bottom w:val="double" w:sz="6" w:space="0" w:color="1F497D"/>
              <w:right w:val="double" w:sz="6" w:space="0" w:color="1F497D"/>
            </w:tcBorders>
            <w:shd w:val="clear" w:color="000000" w:fill="FED881"/>
            <w:vAlign w:val="center"/>
            <w:hideMark/>
          </w:tcPr>
          <w:p w14:paraId="5887EF8C"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6,57%</w:t>
            </w:r>
          </w:p>
        </w:tc>
      </w:tr>
      <w:tr w:rsidR="00AF3382" w:rsidRPr="00033E65" w14:paraId="7262E20F" w14:textId="77777777" w:rsidTr="00955F5A">
        <w:trPr>
          <w:trHeight w:val="286"/>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2EC0658A"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Agrario III Circ. Jud. Alajuela (San Ramón)</w:t>
            </w:r>
          </w:p>
        </w:tc>
        <w:tc>
          <w:tcPr>
            <w:tcW w:w="1118" w:type="dxa"/>
            <w:tcBorders>
              <w:top w:val="nil"/>
              <w:left w:val="nil"/>
              <w:bottom w:val="double" w:sz="6" w:space="0" w:color="1F497D"/>
              <w:right w:val="double" w:sz="6" w:space="0" w:color="1F497D"/>
            </w:tcBorders>
            <w:shd w:val="clear" w:color="000000" w:fill="E0E282"/>
            <w:vAlign w:val="center"/>
            <w:hideMark/>
          </w:tcPr>
          <w:p w14:paraId="260437C6"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170</w:t>
            </w:r>
          </w:p>
        </w:tc>
        <w:tc>
          <w:tcPr>
            <w:tcW w:w="1497" w:type="dxa"/>
            <w:tcBorders>
              <w:top w:val="nil"/>
              <w:left w:val="nil"/>
              <w:bottom w:val="double" w:sz="6" w:space="0" w:color="1F497D"/>
              <w:right w:val="double" w:sz="6" w:space="0" w:color="1F497D"/>
            </w:tcBorders>
            <w:shd w:val="clear" w:color="auto" w:fill="auto"/>
            <w:vAlign w:val="center"/>
            <w:hideMark/>
          </w:tcPr>
          <w:p w14:paraId="0ADC7C34"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73</w:t>
            </w:r>
          </w:p>
        </w:tc>
        <w:tc>
          <w:tcPr>
            <w:tcW w:w="1265" w:type="dxa"/>
            <w:tcBorders>
              <w:top w:val="nil"/>
              <w:left w:val="nil"/>
              <w:bottom w:val="double" w:sz="6" w:space="0" w:color="1F497D"/>
              <w:right w:val="double" w:sz="6" w:space="0" w:color="1F497D"/>
            </w:tcBorders>
            <w:shd w:val="clear" w:color="auto" w:fill="auto"/>
            <w:vAlign w:val="center"/>
            <w:hideMark/>
          </w:tcPr>
          <w:p w14:paraId="47957F21"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49</w:t>
            </w:r>
          </w:p>
        </w:tc>
        <w:tc>
          <w:tcPr>
            <w:tcW w:w="1118" w:type="dxa"/>
            <w:tcBorders>
              <w:top w:val="nil"/>
              <w:left w:val="nil"/>
              <w:bottom w:val="double" w:sz="6" w:space="0" w:color="1F497D"/>
              <w:right w:val="double" w:sz="6" w:space="0" w:color="1F497D"/>
            </w:tcBorders>
            <w:shd w:val="clear" w:color="auto" w:fill="auto"/>
            <w:vAlign w:val="center"/>
            <w:hideMark/>
          </w:tcPr>
          <w:p w14:paraId="4D3ADD38"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18</w:t>
            </w:r>
          </w:p>
        </w:tc>
        <w:tc>
          <w:tcPr>
            <w:tcW w:w="1326" w:type="dxa"/>
            <w:tcBorders>
              <w:top w:val="nil"/>
              <w:left w:val="nil"/>
              <w:bottom w:val="double" w:sz="6" w:space="0" w:color="1F497D"/>
              <w:right w:val="double" w:sz="6" w:space="0" w:color="1F497D"/>
            </w:tcBorders>
            <w:shd w:val="clear" w:color="auto" w:fill="auto"/>
            <w:vAlign w:val="center"/>
            <w:hideMark/>
          </w:tcPr>
          <w:p w14:paraId="66458B14"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11</w:t>
            </w:r>
          </w:p>
        </w:tc>
        <w:tc>
          <w:tcPr>
            <w:tcW w:w="941" w:type="dxa"/>
            <w:tcBorders>
              <w:top w:val="nil"/>
              <w:left w:val="nil"/>
              <w:bottom w:val="double" w:sz="6" w:space="0" w:color="1F497D"/>
              <w:right w:val="double" w:sz="6" w:space="0" w:color="1F497D"/>
            </w:tcBorders>
            <w:shd w:val="clear" w:color="000000" w:fill="DCE6F1"/>
            <w:vAlign w:val="center"/>
            <w:hideMark/>
          </w:tcPr>
          <w:p w14:paraId="14F56106"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321</w:t>
            </w:r>
          </w:p>
        </w:tc>
        <w:tc>
          <w:tcPr>
            <w:tcW w:w="1692" w:type="dxa"/>
            <w:tcBorders>
              <w:top w:val="nil"/>
              <w:left w:val="nil"/>
              <w:bottom w:val="double" w:sz="6" w:space="0" w:color="1F497D"/>
              <w:right w:val="double" w:sz="6" w:space="0" w:color="1F497D"/>
            </w:tcBorders>
            <w:shd w:val="clear" w:color="000000" w:fill="FFE583"/>
            <w:vAlign w:val="center"/>
            <w:hideMark/>
          </w:tcPr>
          <w:p w14:paraId="2497E618"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5,61%</w:t>
            </w:r>
          </w:p>
        </w:tc>
      </w:tr>
      <w:tr w:rsidR="00AF3382" w:rsidRPr="00033E65" w14:paraId="61CD19EE" w14:textId="77777777" w:rsidTr="00955F5A">
        <w:trPr>
          <w:trHeight w:val="995"/>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56875441"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Agrario II Circ. Jud. Alajuela (San Carlos)</w:t>
            </w:r>
          </w:p>
        </w:tc>
        <w:tc>
          <w:tcPr>
            <w:tcW w:w="1118" w:type="dxa"/>
            <w:tcBorders>
              <w:top w:val="nil"/>
              <w:left w:val="nil"/>
              <w:bottom w:val="double" w:sz="6" w:space="0" w:color="1F497D"/>
              <w:right w:val="double" w:sz="6" w:space="0" w:color="1F497D"/>
            </w:tcBorders>
            <w:shd w:val="clear" w:color="000000" w:fill="DBE081"/>
            <w:vAlign w:val="center"/>
            <w:hideMark/>
          </w:tcPr>
          <w:p w14:paraId="20B836BA"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163</w:t>
            </w:r>
          </w:p>
        </w:tc>
        <w:tc>
          <w:tcPr>
            <w:tcW w:w="1497" w:type="dxa"/>
            <w:tcBorders>
              <w:top w:val="nil"/>
              <w:left w:val="nil"/>
              <w:bottom w:val="double" w:sz="6" w:space="0" w:color="1F497D"/>
              <w:right w:val="double" w:sz="6" w:space="0" w:color="1F497D"/>
            </w:tcBorders>
            <w:shd w:val="clear" w:color="auto" w:fill="auto"/>
            <w:vAlign w:val="center"/>
            <w:hideMark/>
          </w:tcPr>
          <w:p w14:paraId="561853BD"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154</w:t>
            </w:r>
          </w:p>
        </w:tc>
        <w:tc>
          <w:tcPr>
            <w:tcW w:w="1265" w:type="dxa"/>
            <w:tcBorders>
              <w:top w:val="nil"/>
              <w:left w:val="nil"/>
              <w:bottom w:val="double" w:sz="6" w:space="0" w:color="1F497D"/>
              <w:right w:val="double" w:sz="6" w:space="0" w:color="1F497D"/>
            </w:tcBorders>
            <w:shd w:val="clear" w:color="auto" w:fill="auto"/>
            <w:vAlign w:val="center"/>
            <w:hideMark/>
          </w:tcPr>
          <w:p w14:paraId="7E514F26"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54</w:t>
            </w:r>
          </w:p>
        </w:tc>
        <w:tc>
          <w:tcPr>
            <w:tcW w:w="1118" w:type="dxa"/>
            <w:tcBorders>
              <w:top w:val="nil"/>
              <w:left w:val="nil"/>
              <w:bottom w:val="double" w:sz="6" w:space="0" w:color="1F497D"/>
              <w:right w:val="double" w:sz="6" w:space="0" w:color="1F497D"/>
            </w:tcBorders>
            <w:shd w:val="clear" w:color="auto" w:fill="auto"/>
            <w:vAlign w:val="center"/>
            <w:hideMark/>
          </w:tcPr>
          <w:p w14:paraId="10566EAD"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67</w:t>
            </w:r>
          </w:p>
        </w:tc>
        <w:tc>
          <w:tcPr>
            <w:tcW w:w="1326" w:type="dxa"/>
            <w:tcBorders>
              <w:top w:val="nil"/>
              <w:left w:val="nil"/>
              <w:bottom w:val="double" w:sz="6" w:space="0" w:color="1F497D"/>
              <w:right w:val="double" w:sz="6" w:space="0" w:color="1F497D"/>
            </w:tcBorders>
            <w:shd w:val="clear" w:color="auto" w:fill="auto"/>
            <w:vAlign w:val="center"/>
            <w:hideMark/>
          </w:tcPr>
          <w:p w14:paraId="5EE09EB7"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9</w:t>
            </w:r>
          </w:p>
        </w:tc>
        <w:tc>
          <w:tcPr>
            <w:tcW w:w="941" w:type="dxa"/>
            <w:tcBorders>
              <w:top w:val="nil"/>
              <w:left w:val="nil"/>
              <w:bottom w:val="double" w:sz="6" w:space="0" w:color="1F497D"/>
              <w:right w:val="double" w:sz="6" w:space="0" w:color="1F497D"/>
            </w:tcBorders>
            <w:shd w:val="clear" w:color="000000" w:fill="DCE6F1"/>
            <w:vAlign w:val="center"/>
            <w:hideMark/>
          </w:tcPr>
          <w:p w14:paraId="6A35B156"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447</w:t>
            </w:r>
          </w:p>
        </w:tc>
        <w:tc>
          <w:tcPr>
            <w:tcW w:w="1692" w:type="dxa"/>
            <w:tcBorders>
              <w:top w:val="nil"/>
              <w:left w:val="nil"/>
              <w:bottom w:val="double" w:sz="6" w:space="0" w:color="1F497D"/>
              <w:right w:val="double" w:sz="6" w:space="0" w:color="1F497D"/>
            </w:tcBorders>
            <w:shd w:val="clear" w:color="000000" w:fill="F8696B"/>
            <w:vAlign w:val="center"/>
            <w:hideMark/>
          </w:tcPr>
          <w:p w14:paraId="28E12ECC"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14,99%</w:t>
            </w:r>
          </w:p>
        </w:tc>
      </w:tr>
      <w:tr w:rsidR="00AF3382" w:rsidRPr="00033E65" w14:paraId="1D83BE5D" w14:textId="77777777" w:rsidTr="00955F5A">
        <w:trPr>
          <w:trHeight w:val="1844"/>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1468A6CA"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Civil, Trabajo, Agrario, Familia, Penal Juvenil, Contra la Violencia Doméstica y Protección Cautelar II Circuito Judicial de Alajuela, sede Upala</w:t>
            </w:r>
          </w:p>
        </w:tc>
        <w:tc>
          <w:tcPr>
            <w:tcW w:w="1118" w:type="dxa"/>
            <w:tcBorders>
              <w:top w:val="nil"/>
              <w:left w:val="nil"/>
              <w:bottom w:val="double" w:sz="6" w:space="0" w:color="1F497D"/>
              <w:right w:val="double" w:sz="6" w:space="0" w:color="1F497D"/>
            </w:tcBorders>
            <w:shd w:val="clear" w:color="000000" w:fill="D7DF81"/>
            <w:vAlign w:val="center"/>
            <w:hideMark/>
          </w:tcPr>
          <w:p w14:paraId="0DD3595F"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159</w:t>
            </w:r>
          </w:p>
        </w:tc>
        <w:tc>
          <w:tcPr>
            <w:tcW w:w="1497" w:type="dxa"/>
            <w:tcBorders>
              <w:top w:val="nil"/>
              <w:left w:val="nil"/>
              <w:bottom w:val="double" w:sz="6" w:space="0" w:color="1F497D"/>
              <w:right w:val="double" w:sz="6" w:space="0" w:color="1F497D"/>
            </w:tcBorders>
            <w:shd w:val="clear" w:color="auto" w:fill="auto"/>
            <w:vAlign w:val="center"/>
            <w:hideMark/>
          </w:tcPr>
          <w:p w14:paraId="001837A8"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308</w:t>
            </w:r>
          </w:p>
        </w:tc>
        <w:tc>
          <w:tcPr>
            <w:tcW w:w="1265" w:type="dxa"/>
            <w:tcBorders>
              <w:top w:val="nil"/>
              <w:left w:val="nil"/>
              <w:bottom w:val="double" w:sz="6" w:space="0" w:color="1F497D"/>
              <w:right w:val="double" w:sz="6" w:space="0" w:color="1F497D"/>
            </w:tcBorders>
            <w:shd w:val="clear" w:color="auto" w:fill="auto"/>
            <w:vAlign w:val="center"/>
            <w:hideMark/>
          </w:tcPr>
          <w:p w14:paraId="3C1BC69A"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67</w:t>
            </w:r>
          </w:p>
        </w:tc>
        <w:tc>
          <w:tcPr>
            <w:tcW w:w="1118" w:type="dxa"/>
            <w:tcBorders>
              <w:top w:val="nil"/>
              <w:left w:val="nil"/>
              <w:bottom w:val="double" w:sz="6" w:space="0" w:color="1F497D"/>
              <w:right w:val="double" w:sz="6" w:space="0" w:color="1F497D"/>
            </w:tcBorders>
            <w:shd w:val="clear" w:color="auto" w:fill="auto"/>
            <w:vAlign w:val="center"/>
            <w:hideMark/>
          </w:tcPr>
          <w:p w14:paraId="109EDFFC"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26</w:t>
            </w:r>
          </w:p>
        </w:tc>
        <w:tc>
          <w:tcPr>
            <w:tcW w:w="1326" w:type="dxa"/>
            <w:tcBorders>
              <w:top w:val="nil"/>
              <w:left w:val="nil"/>
              <w:bottom w:val="double" w:sz="6" w:space="0" w:color="1F497D"/>
              <w:right w:val="double" w:sz="6" w:space="0" w:color="1F497D"/>
            </w:tcBorders>
            <w:shd w:val="clear" w:color="auto" w:fill="auto"/>
            <w:vAlign w:val="center"/>
            <w:hideMark/>
          </w:tcPr>
          <w:p w14:paraId="3A038616"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0</w:t>
            </w:r>
          </w:p>
        </w:tc>
        <w:tc>
          <w:tcPr>
            <w:tcW w:w="941" w:type="dxa"/>
            <w:tcBorders>
              <w:top w:val="nil"/>
              <w:left w:val="nil"/>
              <w:bottom w:val="double" w:sz="6" w:space="0" w:color="1F497D"/>
              <w:right w:val="double" w:sz="6" w:space="0" w:color="1F497D"/>
            </w:tcBorders>
            <w:shd w:val="clear" w:color="000000" w:fill="DCE6F1"/>
            <w:vAlign w:val="center"/>
            <w:hideMark/>
          </w:tcPr>
          <w:p w14:paraId="343BD508"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560</w:t>
            </w:r>
          </w:p>
        </w:tc>
        <w:tc>
          <w:tcPr>
            <w:tcW w:w="1692" w:type="dxa"/>
            <w:tcBorders>
              <w:top w:val="nil"/>
              <w:left w:val="nil"/>
              <w:bottom w:val="double" w:sz="6" w:space="0" w:color="1F497D"/>
              <w:right w:val="double" w:sz="6" w:space="0" w:color="1F497D"/>
            </w:tcBorders>
            <w:shd w:val="clear" w:color="000000" w:fill="F0E683"/>
            <w:vAlign w:val="center"/>
            <w:hideMark/>
          </w:tcPr>
          <w:p w14:paraId="766861FB"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4,64%</w:t>
            </w:r>
          </w:p>
        </w:tc>
      </w:tr>
      <w:tr w:rsidR="00AF3382" w:rsidRPr="00033E65" w14:paraId="4DEBF679" w14:textId="77777777" w:rsidTr="00955F5A">
        <w:trPr>
          <w:trHeight w:val="724"/>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622ACA14"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Agrario II Circ. Jud. San José</w:t>
            </w:r>
          </w:p>
        </w:tc>
        <w:tc>
          <w:tcPr>
            <w:tcW w:w="1118" w:type="dxa"/>
            <w:tcBorders>
              <w:top w:val="nil"/>
              <w:left w:val="nil"/>
              <w:bottom w:val="double" w:sz="6" w:space="0" w:color="1F497D"/>
              <w:right w:val="double" w:sz="6" w:space="0" w:color="1F497D"/>
            </w:tcBorders>
            <w:shd w:val="clear" w:color="000000" w:fill="CEDD81"/>
            <w:vAlign w:val="center"/>
            <w:hideMark/>
          </w:tcPr>
          <w:p w14:paraId="1E97485F"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148</w:t>
            </w:r>
          </w:p>
        </w:tc>
        <w:tc>
          <w:tcPr>
            <w:tcW w:w="1497" w:type="dxa"/>
            <w:tcBorders>
              <w:top w:val="nil"/>
              <w:left w:val="nil"/>
              <w:bottom w:val="double" w:sz="6" w:space="0" w:color="1F497D"/>
              <w:right w:val="double" w:sz="6" w:space="0" w:color="1F497D"/>
            </w:tcBorders>
            <w:shd w:val="clear" w:color="auto" w:fill="auto"/>
            <w:vAlign w:val="center"/>
            <w:hideMark/>
          </w:tcPr>
          <w:p w14:paraId="2CC01597"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77</w:t>
            </w:r>
          </w:p>
        </w:tc>
        <w:tc>
          <w:tcPr>
            <w:tcW w:w="1265" w:type="dxa"/>
            <w:tcBorders>
              <w:top w:val="nil"/>
              <w:left w:val="nil"/>
              <w:bottom w:val="double" w:sz="6" w:space="0" w:color="1F497D"/>
              <w:right w:val="double" w:sz="6" w:space="0" w:color="1F497D"/>
            </w:tcBorders>
            <w:shd w:val="clear" w:color="auto" w:fill="auto"/>
            <w:vAlign w:val="center"/>
            <w:hideMark/>
          </w:tcPr>
          <w:p w14:paraId="60091AB8"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80</w:t>
            </w:r>
          </w:p>
        </w:tc>
        <w:tc>
          <w:tcPr>
            <w:tcW w:w="1118" w:type="dxa"/>
            <w:tcBorders>
              <w:top w:val="nil"/>
              <w:left w:val="nil"/>
              <w:bottom w:val="double" w:sz="6" w:space="0" w:color="1F497D"/>
              <w:right w:val="double" w:sz="6" w:space="0" w:color="1F497D"/>
            </w:tcBorders>
            <w:shd w:val="clear" w:color="auto" w:fill="auto"/>
            <w:vAlign w:val="center"/>
            <w:hideMark/>
          </w:tcPr>
          <w:p w14:paraId="5852EF04"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28</w:t>
            </w:r>
          </w:p>
        </w:tc>
        <w:tc>
          <w:tcPr>
            <w:tcW w:w="1326" w:type="dxa"/>
            <w:tcBorders>
              <w:top w:val="nil"/>
              <w:left w:val="nil"/>
              <w:bottom w:val="double" w:sz="6" w:space="0" w:color="1F497D"/>
              <w:right w:val="double" w:sz="6" w:space="0" w:color="1F497D"/>
            </w:tcBorders>
            <w:shd w:val="clear" w:color="auto" w:fill="auto"/>
            <w:vAlign w:val="center"/>
            <w:hideMark/>
          </w:tcPr>
          <w:p w14:paraId="00A8550F"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w:t>
            </w:r>
          </w:p>
        </w:tc>
        <w:tc>
          <w:tcPr>
            <w:tcW w:w="941" w:type="dxa"/>
            <w:tcBorders>
              <w:top w:val="nil"/>
              <w:left w:val="nil"/>
              <w:bottom w:val="double" w:sz="6" w:space="0" w:color="1F497D"/>
              <w:right w:val="double" w:sz="6" w:space="0" w:color="1F497D"/>
            </w:tcBorders>
            <w:shd w:val="clear" w:color="000000" w:fill="DCE6F1"/>
            <w:vAlign w:val="center"/>
            <w:hideMark/>
          </w:tcPr>
          <w:p w14:paraId="54D3C371"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334</w:t>
            </w:r>
          </w:p>
        </w:tc>
        <w:tc>
          <w:tcPr>
            <w:tcW w:w="1692" w:type="dxa"/>
            <w:tcBorders>
              <w:top w:val="nil"/>
              <w:left w:val="nil"/>
              <w:bottom w:val="double" w:sz="6" w:space="0" w:color="1F497D"/>
              <w:right w:val="double" w:sz="6" w:space="0" w:color="1F497D"/>
            </w:tcBorders>
            <w:shd w:val="clear" w:color="000000" w:fill="FDC17C"/>
            <w:vAlign w:val="center"/>
            <w:hideMark/>
          </w:tcPr>
          <w:p w14:paraId="5AFD9939"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8,38%</w:t>
            </w:r>
          </w:p>
        </w:tc>
      </w:tr>
      <w:tr w:rsidR="00AF3382" w:rsidRPr="00033E65" w14:paraId="755C88B0" w14:textId="77777777" w:rsidTr="00955F5A">
        <w:trPr>
          <w:trHeight w:val="523"/>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705B66D5"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Civil, Trabajo y Agrario Turrialba</w:t>
            </w:r>
          </w:p>
        </w:tc>
        <w:tc>
          <w:tcPr>
            <w:tcW w:w="1118" w:type="dxa"/>
            <w:tcBorders>
              <w:top w:val="nil"/>
              <w:left w:val="nil"/>
              <w:bottom w:val="double" w:sz="6" w:space="0" w:color="1F497D"/>
              <w:right w:val="double" w:sz="6" w:space="0" w:color="1F497D"/>
            </w:tcBorders>
            <w:shd w:val="clear" w:color="000000" w:fill="C7DA80"/>
            <w:vAlign w:val="center"/>
            <w:hideMark/>
          </w:tcPr>
          <w:p w14:paraId="7D84E246"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139</w:t>
            </w:r>
          </w:p>
        </w:tc>
        <w:tc>
          <w:tcPr>
            <w:tcW w:w="1497" w:type="dxa"/>
            <w:tcBorders>
              <w:top w:val="nil"/>
              <w:left w:val="nil"/>
              <w:bottom w:val="double" w:sz="6" w:space="0" w:color="1F497D"/>
              <w:right w:val="double" w:sz="6" w:space="0" w:color="1F497D"/>
            </w:tcBorders>
            <w:shd w:val="clear" w:color="auto" w:fill="auto"/>
            <w:vAlign w:val="center"/>
            <w:hideMark/>
          </w:tcPr>
          <w:p w14:paraId="6DE9A305"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27</w:t>
            </w:r>
          </w:p>
        </w:tc>
        <w:tc>
          <w:tcPr>
            <w:tcW w:w="1265" w:type="dxa"/>
            <w:tcBorders>
              <w:top w:val="nil"/>
              <w:left w:val="nil"/>
              <w:bottom w:val="double" w:sz="6" w:space="0" w:color="1F497D"/>
              <w:right w:val="double" w:sz="6" w:space="0" w:color="1F497D"/>
            </w:tcBorders>
            <w:shd w:val="clear" w:color="auto" w:fill="auto"/>
            <w:vAlign w:val="center"/>
            <w:hideMark/>
          </w:tcPr>
          <w:p w14:paraId="371FDFF1"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14</w:t>
            </w:r>
          </w:p>
        </w:tc>
        <w:tc>
          <w:tcPr>
            <w:tcW w:w="1118" w:type="dxa"/>
            <w:tcBorders>
              <w:top w:val="nil"/>
              <w:left w:val="nil"/>
              <w:bottom w:val="double" w:sz="6" w:space="0" w:color="1F497D"/>
              <w:right w:val="double" w:sz="6" w:space="0" w:color="1F497D"/>
            </w:tcBorders>
            <w:shd w:val="clear" w:color="auto" w:fill="auto"/>
            <w:vAlign w:val="center"/>
            <w:hideMark/>
          </w:tcPr>
          <w:p w14:paraId="5CDEF465"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4</w:t>
            </w:r>
          </w:p>
        </w:tc>
        <w:tc>
          <w:tcPr>
            <w:tcW w:w="1326" w:type="dxa"/>
            <w:tcBorders>
              <w:top w:val="nil"/>
              <w:left w:val="nil"/>
              <w:bottom w:val="double" w:sz="6" w:space="0" w:color="1F497D"/>
              <w:right w:val="double" w:sz="6" w:space="0" w:color="1F497D"/>
            </w:tcBorders>
            <w:shd w:val="clear" w:color="auto" w:fill="auto"/>
            <w:vAlign w:val="center"/>
            <w:hideMark/>
          </w:tcPr>
          <w:p w14:paraId="7052AA58"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0</w:t>
            </w:r>
          </w:p>
        </w:tc>
        <w:tc>
          <w:tcPr>
            <w:tcW w:w="941" w:type="dxa"/>
            <w:tcBorders>
              <w:top w:val="nil"/>
              <w:left w:val="nil"/>
              <w:bottom w:val="double" w:sz="6" w:space="0" w:color="1F497D"/>
              <w:right w:val="double" w:sz="6" w:space="0" w:color="1F497D"/>
            </w:tcBorders>
            <w:shd w:val="clear" w:color="000000" w:fill="DCE6F1"/>
            <w:vAlign w:val="center"/>
            <w:hideMark/>
          </w:tcPr>
          <w:p w14:paraId="2E5DE223"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184</w:t>
            </w:r>
          </w:p>
        </w:tc>
        <w:tc>
          <w:tcPr>
            <w:tcW w:w="1692" w:type="dxa"/>
            <w:tcBorders>
              <w:top w:val="nil"/>
              <w:left w:val="nil"/>
              <w:bottom w:val="double" w:sz="6" w:space="0" w:color="1F497D"/>
              <w:right w:val="double" w:sz="6" w:space="0" w:color="1F497D"/>
            </w:tcBorders>
            <w:shd w:val="clear" w:color="000000" w:fill="A5D17E"/>
            <w:vAlign w:val="center"/>
            <w:hideMark/>
          </w:tcPr>
          <w:p w14:paraId="62B92F68"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2,17%</w:t>
            </w:r>
          </w:p>
        </w:tc>
      </w:tr>
      <w:tr w:rsidR="00AF3382" w:rsidRPr="00033E65" w14:paraId="039DA3E7" w14:textId="77777777" w:rsidTr="00955F5A">
        <w:trPr>
          <w:trHeight w:val="1623"/>
        </w:trPr>
        <w:tc>
          <w:tcPr>
            <w:tcW w:w="2681" w:type="dxa"/>
            <w:tcBorders>
              <w:top w:val="nil"/>
              <w:left w:val="double" w:sz="6" w:space="0" w:color="1F497D"/>
              <w:bottom w:val="double" w:sz="6" w:space="0" w:color="1F497D"/>
              <w:right w:val="double" w:sz="6" w:space="0" w:color="1F497D"/>
            </w:tcBorders>
            <w:shd w:val="clear" w:color="auto" w:fill="auto"/>
            <w:vAlign w:val="center"/>
            <w:hideMark/>
          </w:tcPr>
          <w:p w14:paraId="79F4B4F4"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Civil, Trabajo, Familia, Agrario, Penal Juvenil, Contra la Violencia Doméstica y Protección Cautelar Buenos Aires</w:t>
            </w:r>
          </w:p>
        </w:tc>
        <w:tc>
          <w:tcPr>
            <w:tcW w:w="1118" w:type="dxa"/>
            <w:tcBorders>
              <w:top w:val="nil"/>
              <w:left w:val="nil"/>
              <w:bottom w:val="double" w:sz="6" w:space="0" w:color="1F497D"/>
              <w:right w:val="double" w:sz="6" w:space="0" w:color="1F497D"/>
            </w:tcBorders>
            <w:shd w:val="clear" w:color="000000" w:fill="C1D980"/>
            <w:vAlign w:val="center"/>
            <w:hideMark/>
          </w:tcPr>
          <w:p w14:paraId="3BCEFFEF"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132</w:t>
            </w:r>
          </w:p>
        </w:tc>
        <w:tc>
          <w:tcPr>
            <w:tcW w:w="1497" w:type="dxa"/>
            <w:tcBorders>
              <w:top w:val="nil"/>
              <w:left w:val="nil"/>
              <w:bottom w:val="double" w:sz="6" w:space="0" w:color="1F497D"/>
              <w:right w:val="double" w:sz="6" w:space="0" w:color="1F497D"/>
            </w:tcBorders>
            <w:shd w:val="clear" w:color="auto" w:fill="auto"/>
            <w:vAlign w:val="center"/>
            <w:hideMark/>
          </w:tcPr>
          <w:p w14:paraId="0F3D4114"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121</w:t>
            </w:r>
          </w:p>
        </w:tc>
        <w:tc>
          <w:tcPr>
            <w:tcW w:w="1265" w:type="dxa"/>
            <w:tcBorders>
              <w:top w:val="nil"/>
              <w:left w:val="nil"/>
              <w:bottom w:val="double" w:sz="6" w:space="0" w:color="1F497D"/>
              <w:right w:val="double" w:sz="6" w:space="0" w:color="1F497D"/>
            </w:tcBorders>
            <w:shd w:val="clear" w:color="auto" w:fill="auto"/>
            <w:vAlign w:val="center"/>
            <w:hideMark/>
          </w:tcPr>
          <w:p w14:paraId="3BF65A28"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83</w:t>
            </w:r>
          </w:p>
        </w:tc>
        <w:tc>
          <w:tcPr>
            <w:tcW w:w="1118" w:type="dxa"/>
            <w:tcBorders>
              <w:top w:val="nil"/>
              <w:left w:val="nil"/>
              <w:bottom w:val="double" w:sz="6" w:space="0" w:color="1F497D"/>
              <w:right w:val="double" w:sz="6" w:space="0" w:color="1F497D"/>
            </w:tcBorders>
            <w:shd w:val="clear" w:color="auto" w:fill="auto"/>
            <w:vAlign w:val="center"/>
            <w:hideMark/>
          </w:tcPr>
          <w:p w14:paraId="74ED8BB7"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31</w:t>
            </w:r>
          </w:p>
        </w:tc>
        <w:tc>
          <w:tcPr>
            <w:tcW w:w="1326" w:type="dxa"/>
            <w:tcBorders>
              <w:top w:val="nil"/>
              <w:left w:val="nil"/>
              <w:bottom w:val="double" w:sz="6" w:space="0" w:color="1F497D"/>
              <w:right w:val="double" w:sz="6" w:space="0" w:color="1F497D"/>
            </w:tcBorders>
            <w:shd w:val="clear" w:color="auto" w:fill="auto"/>
            <w:vAlign w:val="center"/>
            <w:hideMark/>
          </w:tcPr>
          <w:p w14:paraId="5815EDDB"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w:t>
            </w:r>
          </w:p>
        </w:tc>
        <w:tc>
          <w:tcPr>
            <w:tcW w:w="941" w:type="dxa"/>
            <w:tcBorders>
              <w:top w:val="nil"/>
              <w:left w:val="nil"/>
              <w:bottom w:val="double" w:sz="6" w:space="0" w:color="1F497D"/>
              <w:right w:val="double" w:sz="6" w:space="0" w:color="1F497D"/>
            </w:tcBorders>
            <w:shd w:val="clear" w:color="000000" w:fill="DCE6F1"/>
            <w:vAlign w:val="center"/>
            <w:hideMark/>
          </w:tcPr>
          <w:p w14:paraId="5C52C67F"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368</w:t>
            </w:r>
          </w:p>
        </w:tc>
        <w:tc>
          <w:tcPr>
            <w:tcW w:w="1692" w:type="dxa"/>
            <w:tcBorders>
              <w:top w:val="nil"/>
              <w:left w:val="nil"/>
              <w:bottom w:val="double" w:sz="6" w:space="0" w:color="1F497D"/>
              <w:right w:val="double" w:sz="6" w:space="0" w:color="1F497D"/>
            </w:tcBorders>
            <w:shd w:val="clear" w:color="000000" w:fill="FDC07C"/>
            <w:vAlign w:val="center"/>
            <w:hideMark/>
          </w:tcPr>
          <w:p w14:paraId="6E95CB1A"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8,42%</w:t>
            </w:r>
          </w:p>
        </w:tc>
      </w:tr>
      <w:tr w:rsidR="00AF3382" w:rsidRPr="00033E65" w14:paraId="6AE9AB3F" w14:textId="77777777" w:rsidTr="00955F5A">
        <w:trPr>
          <w:trHeight w:val="513"/>
        </w:trPr>
        <w:tc>
          <w:tcPr>
            <w:tcW w:w="2681" w:type="dxa"/>
            <w:tcBorders>
              <w:top w:val="nil"/>
              <w:left w:val="double" w:sz="6" w:space="0" w:color="1F497D"/>
              <w:bottom w:val="double" w:sz="6" w:space="0" w:color="244061"/>
              <w:right w:val="double" w:sz="6" w:space="0" w:color="1F497D"/>
            </w:tcBorders>
            <w:shd w:val="clear" w:color="auto" w:fill="auto"/>
            <w:vAlign w:val="center"/>
            <w:hideMark/>
          </w:tcPr>
          <w:p w14:paraId="51A58758" w14:textId="77777777" w:rsidR="000E6802" w:rsidRPr="00033E65" w:rsidRDefault="000E6802" w:rsidP="000E6802">
            <w:pPr>
              <w:spacing w:before="0" w:after="0"/>
              <w:rPr>
                <w:rFonts w:cs="Calibri"/>
                <w:color w:val="000000"/>
                <w:sz w:val="20"/>
                <w:lang w:eastAsia="es-CR"/>
              </w:rPr>
            </w:pPr>
            <w:r w:rsidRPr="00033E65">
              <w:rPr>
                <w:rFonts w:cs="Arial"/>
                <w:color w:val="000000"/>
                <w:sz w:val="20"/>
                <w:lang w:eastAsia="es-CR"/>
              </w:rPr>
              <w:t>Juzgado Agrario de Puntarenas</w:t>
            </w:r>
          </w:p>
        </w:tc>
        <w:tc>
          <w:tcPr>
            <w:tcW w:w="1118" w:type="dxa"/>
            <w:tcBorders>
              <w:top w:val="nil"/>
              <w:left w:val="nil"/>
              <w:bottom w:val="double" w:sz="6" w:space="0" w:color="244061"/>
              <w:right w:val="double" w:sz="6" w:space="0" w:color="1F497D"/>
            </w:tcBorders>
            <w:shd w:val="clear" w:color="000000" w:fill="63BE7B"/>
            <w:vAlign w:val="center"/>
            <w:hideMark/>
          </w:tcPr>
          <w:p w14:paraId="56461E2C"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18</w:t>
            </w:r>
          </w:p>
        </w:tc>
        <w:tc>
          <w:tcPr>
            <w:tcW w:w="1497" w:type="dxa"/>
            <w:tcBorders>
              <w:top w:val="nil"/>
              <w:left w:val="nil"/>
              <w:bottom w:val="double" w:sz="6" w:space="0" w:color="244061"/>
              <w:right w:val="double" w:sz="6" w:space="0" w:color="1F497D"/>
            </w:tcBorders>
            <w:shd w:val="clear" w:color="auto" w:fill="auto"/>
            <w:vAlign w:val="center"/>
            <w:hideMark/>
          </w:tcPr>
          <w:p w14:paraId="5B006AB4"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395</w:t>
            </w:r>
          </w:p>
        </w:tc>
        <w:tc>
          <w:tcPr>
            <w:tcW w:w="1265" w:type="dxa"/>
            <w:tcBorders>
              <w:top w:val="nil"/>
              <w:left w:val="nil"/>
              <w:bottom w:val="double" w:sz="6" w:space="0" w:color="244061"/>
              <w:right w:val="double" w:sz="6" w:space="0" w:color="1F497D"/>
            </w:tcBorders>
            <w:shd w:val="clear" w:color="auto" w:fill="auto"/>
            <w:vAlign w:val="center"/>
            <w:hideMark/>
          </w:tcPr>
          <w:p w14:paraId="3A0A6ABC"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32</w:t>
            </w:r>
          </w:p>
        </w:tc>
        <w:tc>
          <w:tcPr>
            <w:tcW w:w="1118" w:type="dxa"/>
            <w:tcBorders>
              <w:top w:val="nil"/>
              <w:left w:val="nil"/>
              <w:bottom w:val="double" w:sz="6" w:space="0" w:color="244061"/>
              <w:right w:val="double" w:sz="6" w:space="0" w:color="1F497D"/>
            </w:tcBorders>
            <w:shd w:val="clear" w:color="auto" w:fill="auto"/>
            <w:vAlign w:val="center"/>
            <w:hideMark/>
          </w:tcPr>
          <w:p w14:paraId="3CAD84FD"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21</w:t>
            </w:r>
          </w:p>
        </w:tc>
        <w:tc>
          <w:tcPr>
            <w:tcW w:w="1326" w:type="dxa"/>
            <w:tcBorders>
              <w:top w:val="nil"/>
              <w:left w:val="nil"/>
              <w:bottom w:val="double" w:sz="6" w:space="0" w:color="244061"/>
              <w:right w:val="double" w:sz="6" w:space="0" w:color="1F497D"/>
            </w:tcBorders>
            <w:shd w:val="clear" w:color="auto" w:fill="auto"/>
            <w:vAlign w:val="center"/>
            <w:hideMark/>
          </w:tcPr>
          <w:p w14:paraId="67D3BDD1"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0</w:t>
            </w:r>
          </w:p>
        </w:tc>
        <w:tc>
          <w:tcPr>
            <w:tcW w:w="941" w:type="dxa"/>
            <w:tcBorders>
              <w:top w:val="nil"/>
              <w:left w:val="nil"/>
              <w:bottom w:val="double" w:sz="6" w:space="0" w:color="1F497D"/>
              <w:right w:val="double" w:sz="6" w:space="0" w:color="1F497D"/>
            </w:tcBorders>
            <w:shd w:val="clear" w:color="000000" w:fill="DCE6F1"/>
            <w:vAlign w:val="center"/>
            <w:hideMark/>
          </w:tcPr>
          <w:p w14:paraId="4125E7F2"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466</w:t>
            </w:r>
          </w:p>
        </w:tc>
        <w:tc>
          <w:tcPr>
            <w:tcW w:w="1692" w:type="dxa"/>
            <w:tcBorders>
              <w:top w:val="nil"/>
              <w:left w:val="nil"/>
              <w:bottom w:val="double" w:sz="6" w:space="0" w:color="1F497D"/>
              <w:right w:val="double" w:sz="6" w:space="0" w:color="1F497D"/>
            </w:tcBorders>
            <w:shd w:val="clear" w:color="000000" w:fill="ECE582"/>
            <w:vAlign w:val="center"/>
            <w:hideMark/>
          </w:tcPr>
          <w:p w14:paraId="664013C4"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4,51%</w:t>
            </w:r>
          </w:p>
        </w:tc>
      </w:tr>
      <w:tr w:rsidR="00AF3382" w:rsidRPr="00033E65" w14:paraId="765379AD" w14:textId="77777777" w:rsidTr="00955F5A">
        <w:trPr>
          <w:trHeight w:val="351"/>
        </w:trPr>
        <w:tc>
          <w:tcPr>
            <w:tcW w:w="2681" w:type="dxa"/>
            <w:tcBorders>
              <w:top w:val="nil"/>
              <w:left w:val="double" w:sz="6" w:space="0" w:color="1F497D"/>
              <w:bottom w:val="double" w:sz="6" w:space="0" w:color="244061"/>
              <w:right w:val="double" w:sz="6" w:space="0" w:color="1F497D"/>
            </w:tcBorders>
            <w:shd w:val="clear" w:color="000000" w:fill="DBE5F1"/>
            <w:vAlign w:val="center"/>
            <w:hideMark/>
          </w:tcPr>
          <w:p w14:paraId="03FFB757" w14:textId="77777777" w:rsidR="000E6802" w:rsidRPr="00033E65" w:rsidRDefault="000E6802" w:rsidP="000E6802">
            <w:pPr>
              <w:spacing w:before="0" w:after="0"/>
              <w:jc w:val="right"/>
              <w:rPr>
                <w:rFonts w:cs="Calibri"/>
                <w:b/>
                <w:bCs/>
                <w:color w:val="000000"/>
                <w:sz w:val="20"/>
                <w:lang w:eastAsia="es-CR"/>
              </w:rPr>
            </w:pPr>
            <w:r w:rsidRPr="00033E65">
              <w:rPr>
                <w:rFonts w:cs="Arial"/>
                <w:b/>
                <w:bCs/>
                <w:color w:val="000000"/>
                <w:sz w:val="20"/>
                <w:lang w:eastAsia="es-CR"/>
              </w:rPr>
              <w:t>Total general</w:t>
            </w:r>
          </w:p>
        </w:tc>
        <w:tc>
          <w:tcPr>
            <w:tcW w:w="1118" w:type="dxa"/>
            <w:tcBorders>
              <w:top w:val="nil"/>
              <w:left w:val="nil"/>
              <w:bottom w:val="double" w:sz="6" w:space="0" w:color="244061"/>
              <w:right w:val="double" w:sz="6" w:space="0" w:color="1F497D"/>
            </w:tcBorders>
            <w:shd w:val="clear" w:color="000000" w:fill="DBE5F1"/>
            <w:vAlign w:val="center"/>
            <w:hideMark/>
          </w:tcPr>
          <w:p w14:paraId="04293D2E"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5069</w:t>
            </w:r>
          </w:p>
        </w:tc>
        <w:tc>
          <w:tcPr>
            <w:tcW w:w="1497" w:type="dxa"/>
            <w:tcBorders>
              <w:top w:val="nil"/>
              <w:left w:val="nil"/>
              <w:bottom w:val="double" w:sz="6" w:space="0" w:color="244061"/>
              <w:right w:val="double" w:sz="6" w:space="0" w:color="1F497D"/>
            </w:tcBorders>
            <w:shd w:val="clear" w:color="000000" w:fill="DBE5F1"/>
            <w:vAlign w:val="center"/>
            <w:hideMark/>
          </w:tcPr>
          <w:p w14:paraId="3D1CC682"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2810</w:t>
            </w:r>
          </w:p>
        </w:tc>
        <w:tc>
          <w:tcPr>
            <w:tcW w:w="1265" w:type="dxa"/>
            <w:tcBorders>
              <w:top w:val="nil"/>
              <w:left w:val="nil"/>
              <w:bottom w:val="double" w:sz="6" w:space="0" w:color="244061"/>
              <w:right w:val="double" w:sz="6" w:space="0" w:color="1F497D"/>
            </w:tcBorders>
            <w:shd w:val="clear" w:color="000000" w:fill="DBE5F1"/>
            <w:vAlign w:val="center"/>
            <w:hideMark/>
          </w:tcPr>
          <w:p w14:paraId="13F836EE"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1203</w:t>
            </w:r>
          </w:p>
        </w:tc>
        <w:tc>
          <w:tcPr>
            <w:tcW w:w="1118" w:type="dxa"/>
            <w:tcBorders>
              <w:top w:val="nil"/>
              <w:left w:val="nil"/>
              <w:bottom w:val="double" w:sz="6" w:space="0" w:color="244061"/>
              <w:right w:val="double" w:sz="6" w:space="0" w:color="1F497D"/>
            </w:tcBorders>
            <w:shd w:val="clear" w:color="000000" w:fill="DBE5F1"/>
            <w:vAlign w:val="center"/>
            <w:hideMark/>
          </w:tcPr>
          <w:p w14:paraId="346009CD"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447</w:t>
            </w:r>
          </w:p>
        </w:tc>
        <w:tc>
          <w:tcPr>
            <w:tcW w:w="1326" w:type="dxa"/>
            <w:tcBorders>
              <w:top w:val="nil"/>
              <w:left w:val="nil"/>
              <w:bottom w:val="double" w:sz="6" w:space="0" w:color="244061"/>
              <w:right w:val="double" w:sz="6" w:space="0" w:color="1F497D"/>
            </w:tcBorders>
            <w:shd w:val="clear" w:color="000000" w:fill="DBE5F1"/>
            <w:vAlign w:val="center"/>
            <w:hideMark/>
          </w:tcPr>
          <w:p w14:paraId="6364BFEF"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29</w:t>
            </w:r>
          </w:p>
        </w:tc>
        <w:tc>
          <w:tcPr>
            <w:tcW w:w="941" w:type="dxa"/>
            <w:tcBorders>
              <w:top w:val="nil"/>
              <w:left w:val="nil"/>
              <w:bottom w:val="double" w:sz="6" w:space="0" w:color="244061"/>
              <w:right w:val="double" w:sz="6" w:space="0" w:color="1F497D"/>
            </w:tcBorders>
            <w:shd w:val="clear" w:color="000000" w:fill="DBE5F1"/>
            <w:vAlign w:val="center"/>
            <w:hideMark/>
          </w:tcPr>
          <w:p w14:paraId="2B241216"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9558</w:t>
            </w:r>
          </w:p>
        </w:tc>
        <w:tc>
          <w:tcPr>
            <w:tcW w:w="1692" w:type="dxa"/>
            <w:tcBorders>
              <w:top w:val="nil"/>
              <w:left w:val="nil"/>
              <w:bottom w:val="double" w:sz="6" w:space="0" w:color="244061"/>
              <w:right w:val="double" w:sz="6" w:space="0" w:color="1F497D"/>
            </w:tcBorders>
            <w:shd w:val="clear" w:color="000000" w:fill="A6A6A6"/>
            <w:vAlign w:val="center"/>
            <w:hideMark/>
          </w:tcPr>
          <w:p w14:paraId="21D69CCD"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100%</w:t>
            </w:r>
          </w:p>
        </w:tc>
      </w:tr>
      <w:tr w:rsidR="00AF3382" w:rsidRPr="00033E65" w14:paraId="7AAEE21B" w14:textId="77777777" w:rsidTr="000E6802">
        <w:trPr>
          <w:trHeight w:val="310"/>
        </w:trPr>
        <w:tc>
          <w:tcPr>
            <w:tcW w:w="2681" w:type="dxa"/>
            <w:tcBorders>
              <w:top w:val="nil"/>
              <w:left w:val="double" w:sz="6" w:space="0" w:color="1F497D"/>
              <w:bottom w:val="double" w:sz="6" w:space="0" w:color="1F497D"/>
              <w:right w:val="double" w:sz="6" w:space="0" w:color="1F497D"/>
            </w:tcBorders>
            <w:shd w:val="clear" w:color="000000" w:fill="DAEEF3"/>
            <w:vAlign w:val="center"/>
            <w:hideMark/>
          </w:tcPr>
          <w:p w14:paraId="5642CBE2" w14:textId="77777777" w:rsidR="000E6802" w:rsidRPr="00033E65" w:rsidRDefault="000E6802" w:rsidP="000E6802">
            <w:pPr>
              <w:spacing w:before="0" w:after="0"/>
              <w:jc w:val="right"/>
              <w:rPr>
                <w:rFonts w:cs="Calibri"/>
                <w:b/>
                <w:bCs/>
                <w:color w:val="000000"/>
                <w:sz w:val="20"/>
                <w:lang w:eastAsia="es-CR"/>
              </w:rPr>
            </w:pPr>
            <w:r w:rsidRPr="00033E65">
              <w:rPr>
                <w:rFonts w:cs="Arial"/>
                <w:b/>
                <w:bCs/>
                <w:color w:val="000000"/>
                <w:sz w:val="20"/>
                <w:lang w:eastAsia="es-CR"/>
              </w:rPr>
              <w:t xml:space="preserve">Porcentaje </w:t>
            </w:r>
          </w:p>
        </w:tc>
        <w:tc>
          <w:tcPr>
            <w:tcW w:w="1118" w:type="dxa"/>
            <w:tcBorders>
              <w:top w:val="nil"/>
              <w:left w:val="nil"/>
              <w:bottom w:val="double" w:sz="6" w:space="0" w:color="1F497D"/>
              <w:right w:val="double" w:sz="6" w:space="0" w:color="1F497D"/>
            </w:tcBorders>
            <w:shd w:val="clear" w:color="000000" w:fill="DAEEF3"/>
            <w:vAlign w:val="center"/>
            <w:hideMark/>
          </w:tcPr>
          <w:p w14:paraId="5B947F42"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53,00%</w:t>
            </w:r>
          </w:p>
        </w:tc>
        <w:tc>
          <w:tcPr>
            <w:tcW w:w="1497" w:type="dxa"/>
            <w:tcBorders>
              <w:top w:val="nil"/>
              <w:left w:val="nil"/>
              <w:bottom w:val="double" w:sz="6" w:space="0" w:color="1F497D"/>
              <w:right w:val="double" w:sz="6" w:space="0" w:color="1F497D"/>
            </w:tcBorders>
            <w:shd w:val="clear" w:color="000000" w:fill="DAEEF3"/>
            <w:vAlign w:val="center"/>
            <w:hideMark/>
          </w:tcPr>
          <w:p w14:paraId="6AE2DEDD"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29,40%</w:t>
            </w:r>
          </w:p>
        </w:tc>
        <w:tc>
          <w:tcPr>
            <w:tcW w:w="1265" w:type="dxa"/>
            <w:tcBorders>
              <w:top w:val="nil"/>
              <w:left w:val="nil"/>
              <w:bottom w:val="double" w:sz="6" w:space="0" w:color="1F497D"/>
              <w:right w:val="double" w:sz="6" w:space="0" w:color="1F497D"/>
            </w:tcBorders>
            <w:shd w:val="clear" w:color="000000" w:fill="DAEEF3"/>
            <w:vAlign w:val="center"/>
            <w:hideMark/>
          </w:tcPr>
          <w:p w14:paraId="1C8CC6F6"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12,60%</w:t>
            </w:r>
          </w:p>
        </w:tc>
        <w:tc>
          <w:tcPr>
            <w:tcW w:w="1118" w:type="dxa"/>
            <w:tcBorders>
              <w:top w:val="nil"/>
              <w:left w:val="nil"/>
              <w:bottom w:val="double" w:sz="6" w:space="0" w:color="1F497D"/>
              <w:right w:val="double" w:sz="6" w:space="0" w:color="1F497D"/>
            </w:tcBorders>
            <w:shd w:val="clear" w:color="000000" w:fill="DAEEF3"/>
            <w:vAlign w:val="center"/>
            <w:hideMark/>
          </w:tcPr>
          <w:p w14:paraId="5FB99CD0"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4,70%</w:t>
            </w:r>
          </w:p>
        </w:tc>
        <w:tc>
          <w:tcPr>
            <w:tcW w:w="1326" w:type="dxa"/>
            <w:tcBorders>
              <w:top w:val="nil"/>
              <w:left w:val="nil"/>
              <w:bottom w:val="double" w:sz="6" w:space="0" w:color="1F497D"/>
              <w:right w:val="double" w:sz="6" w:space="0" w:color="1F497D"/>
            </w:tcBorders>
            <w:shd w:val="clear" w:color="000000" w:fill="DAEEF3"/>
            <w:vAlign w:val="center"/>
            <w:hideMark/>
          </w:tcPr>
          <w:p w14:paraId="6EC1C268"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0,30%</w:t>
            </w:r>
          </w:p>
        </w:tc>
        <w:tc>
          <w:tcPr>
            <w:tcW w:w="941" w:type="dxa"/>
            <w:tcBorders>
              <w:top w:val="nil"/>
              <w:left w:val="nil"/>
              <w:bottom w:val="double" w:sz="6" w:space="0" w:color="1F497D"/>
              <w:right w:val="double" w:sz="6" w:space="0" w:color="1F497D"/>
            </w:tcBorders>
            <w:shd w:val="clear" w:color="000000" w:fill="DAEEF3"/>
            <w:vAlign w:val="center"/>
            <w:hideMark/>
          </w:tcPr>
          <w:p w14:paraId="1A4C10BC" w14:textId="77777777" w:rsidR="000E6802" w:rsidRPr="00033E65" w:rsidRDefault="000E6802" w:rsidP="000E6802">
            <w:pPr>
              <w:spacing w:before="0" w:after="0"/>
              <w:jc w:val="center"/>
              <w:rPr>
                <w:rFonts w:cs="Calibri"/>
                <w:b/>
                <w:bCs/>
                <w:color w:val="000000"/>
                <w:sz w:val="20"/>
                <w:lang w:eastAsia="es-CR"/>
              </w:rPr>
            </w:pPr>
            <w:r w:rsidRPr="00033E65">
              <w:rPr>
                <w:rFonts w:cs="Arial"/>
                <w:b/>
                <w:bCs/>
                <w:color w:val="000000"/>
                <w:sz w:val="20"/>
                <w:lang w:eastAsia="es-CR"/>
              </w:rPr>
              <w:t>100,00%</w:t>
            </w:r>
          </w:p>
        </w:tc>
        <w:tc>
          <w:tcPr>
            <w:tcW w:w="1692" w:type="dxa"/>
            <w:tcBorders>
              <w:top w:val="nil"/>
              <w:left w:val="nil"/>
              <w:bottom w:val="double" w:sz="6" w:space="0" w:color="1F497D"/>
              <w:right w:val="double" w:sz="6" w:space="0" w:color="1F497D"/>
            </w:tcBorders>
            <w:shd w:val="clear" w:color="000000" w:fill="A6A6A6"/>
            <w:vAlign w:val="center"/>
            <w:hideMark/>
          </w:tcPr>
          <w:p w14:paraId="732AC6FF" w14:textId="77777777" w:rsidR="000E6802" w:rsidRPr="00033E65" w:rsidRDefault="000E6802" w:rsidP="000E6802">
            <w:pPr>
              <w:spacing w:before="0" w:after="0"/>
              <w:jc w:val="center"/>
              <w:rPr>
                <w:rFonts w:cs="Calibri"/>
                <w:color w:val="000000"/>
                <w:sz w:val="20"/>
                <w:lang w:eastAsia="es-CR"/>
              </w:rPr>
            </w:pPr>
            <w:r w:rsidRPr="00033E65">
              <w:rPr>
                <w:rFonts w:cs="Arial"/>
                <w:color w:val="000000"/>
                <w:sz w:val="20"/>
                <w:lang w:eastAsia="es-CR"/>
              </w:rPr>
              <w:t>100%</w:t>
            </w:r>
          </w:p>
        </w:tc>
      </w:tr>
    </w:tbl>
    <w:p w14:paraId="2034F2A5" w14:textId="7E07F5B2" w:rsidR="00F1653F" w:rsidRPr="00033E65" w:rsidRDefault="00F1653F" w:rsidP="00FA7A3C">
      <w:pPr>
        <w:ind w:left="-708"/>
        <w:rPr>
          <w:b/>
          <w:i/>
          <w:sz w:val="18"/>
          <w:lang w:eastAsia="en-US"/>
        </w:rPr>
      </w:pPr>
      <w:bookmarkStart w:id="218" w:name="_Hlk39740717"/>
      <w:bookmarkStart w:id="219" w:name="_Hlk39740358"/>
      <w:r w:rsidRPr="00033E65">
        <w:rPr>
          <w:b/>
          <w:i/>
          <w:sz w:val="18"/>
          <w:lang w:eastAsia="en-US"/>
        </w:rPr>
        <w:t xml:space="preserve">Fuente: </w:t>
      </w:r>
      <w:r w:rsidRPr="00033E65">
        <w:rPr>
          <w:b/>
          <w:i/>
          <w:sz w:val="18"/>
        </w:rPr>
        <w:t>Subproceso de Modernización Institucional</w:t>
      </w:r>
      <w:r w:rsidR="00A86EB3" w:rsidRPr="00033E65">
        <w:rPr>
          <w:b/>
          <w:i/>
          <w:sz w:val="18"/>
        </w:rPr>
        <w:t>, área No Penal, con base en el Balance General Interactivo de la página web de la Dirección de Planificación</w:t>
      </w:r>
      <w:r w:rsidR="00F9542C" w:rsidRPr="00033E65">
        <w:rPr>
          <w:b/>
          <w:i/>
          <w:sz w:val="18"/>
        </w:rPr>
        <w:t>, febrero 2023.</w:t>
      </w:r>
    </w:p>
    <w:p w14:paraId="1EA4F5F6" w14:textId="77777777" w:rsidR="00370A8D" w:rsidRPr="00033E65" w:rsidRDefault="00370A8D" w:rsidP="00370A8D">
      <w:pPr>
        <w:ind w:left="-1644"/>
        <w:rPr>
          <w:b/>
          <w:i/>
          <w:sz w:val="18"/>
          <w:lang w:eastAsia="en-US"/>
        </w:rPr>
      </w:pPr>
    </w:p>
    <w:p w14:paraId="2A4D6E59" w14:textId="33DDC634" w:rsidR="00F1653F" w:rsidRPr="00033E65" w:rsidRDefault="00F1653F" w:rsidP="00F1653F">
      <w:pPr>
        <w:rPr>
          <w:szCs w:val="22"/>
        </w:rPr>
      </w:pPr>
      <w:bookmarkStart w:id="220" w:name="_Hlk39740756"/>
      <w:bookmarkEnd w:id="218"/>
      <w:r w:rsidRPr="00033E65">
        <w:rPr>
          <w:szCs w:val="22"/>
        </w:rPr>
        <w:t xml:space="preserve">La información suministrada sobre el comportamiento del circulante por fase de proceso evidencia que la fase de </w:t>
      </w:r>
      <w:r w:rsidRPr="00033E65">
        <w:rPr>
          <w:b/>
          <w:bCs/>
          <w:i/>
          <w:iCs/>
          <w:szCs w:val="22"/>
        </w:rPr>
        <w:t>Demanda</w:t>
      </w:r>
      <w:r w:rsidRPr="00033E65">
        <w:rPr>
          <w:szCs w:val="22"/>
        </w:rPr>
        <w:t xml:space="preserve"> es en la que se acumulan la mayoría de los expedientes de la Jurisdicción Agraria, la cual equivale a un 5</w:t>
      </w:r>
      <w:r w:rsidR="009679E7" w:rsidRPr="00033E65">
        <w:rPr>
          <w:szCs w:val="22"/>
        </w:rPr>
        <w:t>3</w:t>
      </w:r>
      <w:r w:rsidRPr="00033E65">
        <w:rPr>
          <w:szCs w:val="22"/>
        </w:rPr>
        <w:t xml:space="preserve">% del total del circulante en trámite, donde es de importancia promover, en lo posible, el movimiento de dichos expedientes a otras fases del proceso, buscar la manera oficiosa en la cual los Despachos culminen con la etapa procesal en la cual revisen el expediente cuando ingresa por primera vez al Despacho, previene en caso de existir los errores procesales que pueda contener la demanda, y notificar a la parte accionada para que se apersone al proceso y presente sus pruebas de descargo. La siguiente fase más representativa es la </w:t>
      </w:r>
      <w:r w:rsidRPr="00033E65">
        <w:rPr>
          <w:b/>
          <w:bCs/>
          <w:i/>
          <w:iCs/>
          <w:szCs w:val="22"/>
        </w:rPr>
        <w:t>Demostrativa</w:t>
      </w:r>
      <w:r w:rsidR="00370A8D" w:rsidRPr="00033E65">
        <w:rPr>
          <w:szCs w:val="22"/>
        </w:rPr>
        <w:t xml:space="preserve">, equivalente a un </w:t>
      </w:r>
      <w:r w:rsidR="00BB3DB7" w:rsidRPr="00033E65">
        <w:rPr>
          <w:szCs w:val="22"/>
        </w:rPr>
        <w:t>29,4</w:t>
      </w:r>
      <w:r w:rsidRPr="00033E65">
        <w:rPr>
          <w:szCs w:val="22"/>
        </w:rPr>
        <w:t xml:space="preserve">% del total del circulante analizado; seguido por la </w:t>
      </w:r>
      <w:r w:rsidRPr="00033E65">
        <w:rPr>
          <w:b/>
          <w:bCs/>
          <w:i/>
          <w:iCs/>
          <w:szCs w:val="22"/>
        </w:rPr>
        <w:t>Conclusiva</w:t>
      </w:r>
      <w:r w:rsidRPr="00033E65">
        <w:rPr>
          <w:szCs w:val="22"/>
        </w:rPr>
        <w:t xml:space="preserve"> que representa el </w:t>
      </w:r>
      <w:r w:rsidR="00BB3DB7" w:rsidRPr="00033E65">
        <w:rPr>
          <w:szCs w:val="22"/>
        </w:rPr>
        <w:t>12,6</w:t>
      </w:r>
      <w:r w:rsidRPr="00033E65">
        <w:rPr>
          <w:szCs w:val="22"/>
        </w:rPr>
        <w:t xml:space="preserve">% y por último la </w:t>
      </w:r>
      <w:r w:rsidRPr="00033E65">
        <w:rPr>
          <w:b/>
          <w:bCs/>
          <w:i/>
          <w:iCs/>
          <w:szCs w:val="22"/>
        </w:rPr>
        <w:t>Ejecución</w:t>
      </w:r>
      <w:r w:rsidR="00370A8D" w:rsidRPr="00033E65">
        <w:rPr>
          <w:szCs w:val="22"/>
        </w:rPr>
        <w:t xml:space="preserve"> con un </w:t>
      </w:r>
      <w:r w:rsidR="00A67811" w:rsidRPr="00033E65">
        <w:rPr>
          <w:szCs w:val="22"/>
        </w:rPr>
        <w:t>4,7</w:t>
      </w:r>
      <w:r w:rsidRPr="00033E65">
        <w:rPr>
          <w:szCs w:val="22"/>
        </w:rPr>
        <w:t>%.</w:t>
      </w:r>
      <w:r w:rsidR="00370A8D" w:rsidRPr="00033E65">
        <w:rPr>
          <w:szCs w:val="22"/>
        </w:rPr>
        <w:t xml:space="preserve"> Se evidencia que existe un 0,</w:t>
      </w:r>
      <w:r w:rsidR="00A67811" w:rsidRPr="00033E65">
        <w:rPr>
          <w:szCs w:val="22"/>
        </w:rPr>
        <w:t>3</w:t>
      </w:r>
      <w:r w:rsidRPr="00033E65">
        <w:rPr>
          <w:szCs w:val="22"/>
        </w:rPr>
        <w:t>% del circ</w:t>
      </w:r>
      <w:r w:rsidR="00370A8D" w:rsidRPr="00033E65">
        <w:rPr>
          <w:szCs w:val="22"/>
        </w:rPr>
        <w:t>ulante (</w:t>
      </w:r>
      <w:r w:rsidR="00CA6464" w:rsidRPr="00033E65">
        <w:rPr>
          <w:szCs w:val="22"/>
        </w:rPr>
        <w:t xml:space="preserve">29 </w:t>
      </w:r>
      <w:r w:rsidRPr="00033E65">
        <w:rPr>
          <w:szCs w:val="22"/>
        </w:rPr>
        <w:t xml:space="preserve">expedientes), que no cuenta con una fase definida. </w:t>
      </w:r>
    </w:p>
    <w:p w14:paraId="54BEE1A9" w14:textId="77777777" w:rsidR="00624BB5" w:rsidRPr="00033E65" w:rsidRDefault="00624BB5" w:rsidP="00924F24">
      <w:pPr>
        <w:pStyle w:val="Ttulo"/>
        <w:spacing w:before="0" w:after="0"/>
        <w:rPr>
          <w:rFonts w:eastAsia="Times New Roman" w:cs="Arial"/>
          <w:iCs/>
          <w:spacing w:val="0"/>
          <w:szCs w:val="28"/>
          <w:lang w:val="es-CR" w:eastAsia="es-ES"/>
        </w:rPr>
      </w:pPr>
    </w:p>
    <w:p w14:paraId="68BFC724" w14:textId="77777777" w:rsidR="00624BB5" w:rsidRPr="00033E65" w:rsidRDefault="00624BB5" w:rsidP="001D3A37">
      <w:pPr>
        <w:pStyle w:val="Ttulo"/>
        <w:spacing w:before="0" w:after="0"/>
        <w:rPr>
          <w:rFonts w:eastAsia="Times New Roman" w:cs="Arial"/>
          <w:iCs/>
          <w:spacing w:val="0"/>
          <w:szCs w:val="28"/>
          <w:lang w:val="es-CR" w:eastAsia="es-ES"/>
        </w:rPr>
      </w:pPr>
    </w:p>
    <w:p w14:paraId="778F0DF7" w14:textId="1E060A24" w:rsidR="00F1653F" w:rsidRPr="00033E65" w:rsidRDefault="00F1653F" w:rsidP="003F0A3A">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 xml:space="preserve">Gráfico </w:t>
      </w:r>
      <w:r w:rsidRPr="00033E65">
        <w:rPr>
          <w:rFonts w:eastAsia="Times New Roman" w:cs="Arial"/>
          <w:spacing w:val="0"/>
          <w:szCs w:val="28"/>
          <w:lang w:val="es-CR" w:eastAsia="es-ES"/>
        </w:rPr>
        <w:fldChar w:fldCharType="begin"/>
      </w:r>
      <w:r w:rsidRPr="00033E65">
        <w:rPr>
          <w:rFonts w:eastAsia="Times New Roman" w:cs="Arial"/>
          <w:spacing w:val="0"/>
          <w:szCs w:val="28"/>
          <w:lang w:val="es-CR" w:eastAsia="es-ES"/>
        </w:rPr>
        <w:instrText xml:space="preserve"> SEQ Gráfico \* ARABIC </w:instrText>
      </w:r>
      <w:r w:rsidRPr="00033E65">
        <w:rPr>
          <w:rFonts w:eastAsia="Times New Roman" w:cs="Arial"/>
          <w:spacing w:val="0"/>
          <w:szCs w:val="28"/>
          <w:lang w:val="es-CR" w:eastAsia="es-ES"/>
        </w:rPr>
        <w:fldChar w:fldCharType="separate"/>
      </w:r>
      <w:r w:rsidR="000B4B78" w:rsidRPr="00033E65">
        <w:rPr>
          <w:rFonts w:eastAsia="Times New Roman" w:cs="Arial"/>
          <w:spacing w:val="0"/>
          <w:szCs w:val="28"/>
          <w:lang w:val="es-CR" w:eastAsia="es-ES"/>
        </w:rPr>
        <w:t>24</w:t>
      </w:r>
      <w:r w:rsidRPr="00033E65">
        <w:rPr>
          <w:rFonts w:eastAsia="Times New Roman" w:cs="Arial"/>
          <w:spacing w:val="0"/>
          <w:szCs w:val="28"/>
          <w:lang w:val="es-CR" w:eastAsia="es-ES"/>
        </w:rPr>
        <w:fldChar w:fldCharType="end"/>
      </w:r>
    </w:p>
    <w:p w14:paraId="4617C16E" w14:textId="77777777" w:rsidR="00F1653F" w:rsidRPr="00033E65" w:rsidRDefault="00F1653F" w:rsidP="003F0A3A">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Circulante en trámite por Fase a nivel de todos los Juzgados Agrarios</w:t>
      </w:r>
    </w:p>
    <w:p w14:paraId="186466D0" w14:textId="61C2CEA5" w:rsidR="00F1653F" w:rsidRPr="00033E65" w:rsidRDefault="009B2928" w:rsidP="003F0A3A">
      <w:pPr>
        <w:pStyle w:val="Ttulo"/>
        <w:spacing w:before="0" w:after="0"/>
        <w:jc w:val="center"/>
        <w:rPr>
          <w:rFonts w:eastAsia="Times New Roman" w:cs="Arial"/>
          <w:iCs/>
          <w:spacing w:val="0"/>
          <w:szCs w:val="28"/>
          <w:lang w:val="es-CR" w:eastAsia="es-ES"/>
        </w:rPr>
      </w:pPr>
      <w:r w:rsidRPr="00033E65">
        <w:rPr>
          <w:rFonts w:eastAsia="Times New Roman" w:cs="Arial"/>
          <w:spacing w:val="0"/>
          <w:szCs w:val="28"/>
          <w:lang w:val="es-CR" w:eastAsia="es-ES"/>
        </w:rPr>
        <w:t xml:space="preserve">Febrero </w:t>
      </w:r>
      <w:r w:rsidR="00F1653F" w:rsidRPr="00033E65">
        <w:rPr>
          <w:rFonts w:eastAsia="Times New Roman" w:cs="Arial"/>
          <w:spacing w:val="0"/>
          <w:szCs w:val="28"/>
          <w:lang w:val="es-CR" w:eastAsia="es-ES"/>
        </w:rPr>
        <w:t>202</w:t>
      </w:r>
      <w:r w:rsidRPr="00033E65">
        <w:rPr>
          <w:rFonts w:eastAsia="Times New Roman" w:cs="Arial"/>
          <w:spacing w:val="0"/>
          <w:szCs w:val="28"/>
          <w:lang w:val="es-CR" w:eastAsia="es-ES"/>
        </w:rPr>
        <w:t>3</w:t>
      </w:r>
      <w:r w:rsidR="00821BC7" w:rsidRPr="00033E65">
        <w:rPr>
          <w:rFonts w:eastAsia="Times New Roman" w:cs="Arial"/>
          <w:iCs/>
          <w:spacing w:val="0"/>
          <w:szCs w:val="28"/>
          <w:lang w:val="es-CR" w:eastAsia="es-ES"/>
        </w:rPr>
        <w:t xml:space="preserve"> </w:t>
      </w:r>
    </w:p>
    <w:p w14:paraId="31F71F34" w14:textId="69B3169A" w:rsidR="00AE3FF1" w:rsidRPr="00033E65" w:rsidRDefault="00AE3FF1" w:rsidP="003F0A3A">
      <w:pPr>
        <w:pStyle w:val="Ttulo"/>
        <w:spacing w:before="0" w:after="0"/>
        <w:jc w:val="center"/>
        <w:rPr>
          <w:rFonts w:eastAsia="Times New Roman" w:cs="Arial"/>
          <w:iCs/>
          <w:spacing w:val="0"/>
          <w:szCs w:val="28"/>
          <w:lang w:val="es-CR" w:eastAsia="es-ES"/>
        </w:rPr>
      </w:pPr>
    </w:p>
    <w:p w14:paraId="28E36762" w14:textId="77777777" w:rsidR="00937B35" w:rsidRPr="00033E65" w:rsidRDefault="00AE3FF1" w:rsidP="00AE3FF1">
      <w:pPr>
        <w:pStyle w:val="Ttulo"/>
        <w:spacing w:before="0" w:after="0"/>
        <w:ind w:right="-340"/>
        <w:jc w:val="center"/>
        <w:rPr>
          <w:i/>
          <w:color w:val="auto"/>
          <w:sz w:val="18"/>
          <w:lang w:eastAsia="en-US"/>
        </w:rPr>
      </w:pPr>
      <w:r w:rsidRPr="00033E65">
        <w:rPr>
          <w:noProof/>
          <w:color w:val="FFFFFF" w:themeColor="background1"/>
          <w:shd w:val="clear" w:color="auto" w:fill="92D050"/>
          <w:lang w:val="es-CR" w:eastAsia="es-CR"/>
        </w:rPr>
        <w:drawing>
          <wp:inline distT="0" distB="0" distL="0" distR="0" wp14:anchorId="44E375DD" wp14:editId="3DFCEF0F">
            <wp:extent cx="5943600" cy="251460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bookmarkEnd w:id="220"/>
    </w:p>
    <w:p w14:paraId="6164DA53" w14:textId="2A72B24C" w:rsidR="00CE572F" w:rsidRPr="00033E65" w:rsidRDefault="00CE572F" w:rsidP="00AE3FF1">
      <w:pPr>
        <w:pStyle w:val="Ttulo"/>
        <w:spacing w:before="0" w:after="0"/>
        <w:ind w:right="-340"/>
        <w:jc w:val="center"/>
        <w:rPr>
          <w:i/>
          <w:color w:val="auto"/>
          <w:sz w:val="18"/>
          <w:lang w:eastAsia="en-US"/>
        </w:rPr>
      </w:pPr>
      <w:r w:rsidRPr="00033E65">
        <w:rPr>
          <w:i/>
          <w:color w:val="auto"/>
          <w:sz w:val="18"/>
          <w:lang w:eastAsia="en-US"/>
        </w:rPr>
        <w:t xml:space="preserve">Fuente: </w:t>
      </w:r>
      <w:r w:rsidRPr="00033E65">
        <w:rPr>
          <w:i/>
          <w:color w:val="auto"/>
          <w:sz w:val="18"/>
        </w:rPr>
        <w:t>Subproceso de Modernización Institucional</w:t>
      </w:r>
      <w:r w:rsidR="00F9542C" w:rsidRPr="00033E65">
        <w:rPr>
          <w:i/>
          <w:color w:val="auto"/>
          <w:sz w:val="18"/>
        </w:rPr>
        <w:t xml:space="preserve">, área No Penal, con base en el Balance General Interactivo de la página web de la Dirección de </w:t>
      </w:r>
      <w:r w:rsidR="00CC5B17" w:rsidRPr="00033E65">
        <w:rPr>
          <w:i/>
          <w:color w:val="auto"/>
          <w:sz w:val="18"/>
        </w:rPr>
        <w:t>Planificación. Febrero</w:t>
      </w:r>
      <w:r w:rsidR="00813CE6" w:rsidRPr="00033E65">
        <w:rPr>
          <w:i/>
          <w:color w:val="auto"/>
          <w:sz w:val="18"/>
          <w:lang w:eastAsia="en-US"/>
        </w:rPr>
        <w:t xml:space="preserve"> </w:t>
      </w:r>
      <w:r w:rsidRPr="00033E65">
        <w:rPr>
          <w:i/>
          <w:color w:val="auto"/>
          <w:sz w:val="18"/>
          <w:lang w:eastAsia="en-US"/>
        </w:rPr>
        <w:t>202</w:t>
      </w:r>
      <w:r w:rsidR="00813CE6" w:rsidRPr="00033E65">
        <w:rPr>
          <w:i/>
          <w:color w:val="auto"/>
          <w:sz w:val="18"/>
          <w:lang w:eastAsia="en-US"/>
        </w:rPr>
        <w:t>3</w:t>
      </w:r>
      <w:r w:rsidRPr="00033E65">
        <w:rPr>
          <w:i/>
          <w:color w:val="auto"/>
          <w:sz w:val="18"/>
          <w:lang w:eastAsia="en-US"/>
        </w:rPr>
        <w:t xml:space="preserve">. </w:t>
      </w:r>
    </w:p>
    <w:p w14:paraId="74480125" w14:textId="77777777" w:rsidR="00AE3FF1" w:rsidRPr="00033E65" w:rsidRDefault="00AE3FF1" w:rsidP="00AE3FF1">
      <w:pPr>
        <w:pStyle w:val="Ttulo"/>
        <w:spacing w:before="0" w:after="0"/>
        <w:ind w:right="-340"/>
        <w:jc w:val="center"/>
        <w:rPr>
          <w:rFonts w:eastAsia="Times New Roman" w:cs="Arial"/>
          <w:iCs/>
          <w:color w:val="auto"/>
          <w:spacing w:val="0"/>
          <w:szCs w:val="28"/>
          <w:lang w:val="es-CR" w:eastAsia="es-ES"/>
        </w:rPr>
      </w:pPr>
    </w:p>
    <w:p w14:paraId="1545818F" w14:textId="3E3CD5E8" w:rsidR="00624BB5" w:rsidRPr="00033E65" w:rsidRDefault="00CE572F" w:rsidP="005114A3">
      <w:pPr>
        <w:rPr>
          <w:lang w:eastAsia="en-US"/>
        </w:rPr>
      </w:pPr>
      <w:bookmarkStart w:id="221" w:name="_Hlk39741221"/>
      <w:r w:rsidRPr="00033E65">
        <w:rPr>
          <w:lang w:eastAsia="en-US"/>
        </w:rPr>
        <w:t xml:space="preserve">El caso más representativo es el del </w:t>
      </w:r>
      <w:r w:rsidR="0096172B" w:rsidRPr="00033E65">
        <w:rPr>
          <w:lang w:eastAsia="en-US"/>
        </w:rPr>
        <w:t>Juzgado Agrario I Circuito Judicial de la Zona Atlántica (Limón)</w:t>
      </w:r>
      <w:r w:rsidRPr="00033E65">
        <w:rPr>
          <w:lang w:eastAsia="en-US"/>
        </w:rPr>
        <w:t xml:space="preserve">, posee </w:t>
      </w:r>
      <w:r w:rsidR="005A0FAF" w:rsidRPr="00033E65">
        <w:rPr>
          <w:lang w:eastAsia="en-US"/>
        </w:rPr>
        <w:t xml:space="preserve">1239 </w:t>
      </w:r>
      <w:r w:rsidRPr="00033E65">
        <w:rPr>
          <w:lang w:eastAsia="en-US"/>
        </w:rPr>
        <w:t xml:space="preserve">expedientes en la fase de Demanda, lo que significa un </w:t>
      </w:r>
      <w:r w:rsidR="00D23317" w:rsidRPr="00033E65">
        <w:rPr>
          <w:lang w:eastAsia="en-US"/>
        </w:rPr>
        <w:t>58</w:t>
      </w:r>
      <w:r w:rsidRPr="00033E65">
        <w:rPr>
          <w:lang w:eastAsia="en-US"/>
        </w:rPr>
        <w:t>% del total del circulante</w:t>
      </w:r>
      <w:r w:rsidR="005962E8" w:rsidRPr="00033E65">
        <w:rPr>
          <w:lang w:eastAsia="en-US"/>
        </w:rPr>
        <w:t xml:space="preserve">, de los cuales </w:t>
      </w:r>
      <w:r w:rsidR="00450070" w:rsidRPr="00033E65">
        <w:rPr>
          <w:lang w:eastAsia="en-US"/>
        </w:rPr>
        <w:t>2</w:t>
      </w:r>
      <w:r w:rsidR="005962E8" w:rsidRPr="00033E65">
        <w:rPr>
          <w:lang w:eastAsia="en-US"/>
        </w:rPr>
        <w:t>96</w:t>
      </w:r>
      <w:r w:rsidRPr="00033E65">
        <w:rPr>
          <w:lang w:eastAsia="en-US"/>
        </w:rPr>
        <w:t xml:space="preserve"> casos son Informaciones Posesorias, </w:t>
      </w:r>
      <w:r w:rsidR="005962E8" w:rsidRPr="00033E65">
        <w:rPr>
          <w:lang w:eastAsia="en-US"/>
        </w:rPr>
        <w:t xml:space="preserve">que equivalen a un </w:t>
      </w:r>
      <w:r w:rsidR="00C11C5A" w:rsidRPr="00033E65">
        <w:rPr>
          <w:lang w:eastAsia="en-US"/>
        </w:rPr>
        <w:t>24</w:t>
      </w:r>
      <w:r w:rsidRPr="00033E65">
        <w:rPr>
          <w:lang w:eastAsia="en-US"/>
        </w:rPr>
        <w:t xml:space="preserve">% del circulante total. Otros Juzgados que presentan mayores casos en dicha fase, son el de </w:t>
      </w:r>
      <w:r w:rsidR="00A7575E" w:rsidRPr="00033E65">
        <w:rPr>
          <w:lang w:eastAsia="en-US"/>
        </w:rPr>
        <w:t>Santa Cruz</w:t>
      </w:r>
      <w:r w:rsidR="005962E8" w:rsidRPr="00033E65">
        <w:rPr>
          <w:lang w:eastAsia="en-US"/>
        </w:rPr>
        <w:t xml:space="preserve">, Corredores, Pococí y </w:t>
      </w:r>
      <w:r w:rsidR="00B374C4" w:rsidRPr="00033E65">
        <w:rPr>
          <w:lang w:eastAsia="en-US"/>
        </w:rPr>
        <w:t>I Circuito Judicial de Alajuela</w:t>
      </w:r>
      <w:r w:rsidRPr="00033E65">
        <w:rPr>
          <w:lang w:eastAsia="en-US"/>
        </w:rPr>
        <w:t>.  En estos Despachos es necesario impulsar este circulante a las siguientes fases del proceso con el objetivo de brindar una respuesta más expedita al usuario.</w:t>
      </w:r>
      <w:bookmarkEnd w:id="221"/>
    </w:p>
    <w:p w14:paraId="77187FF6" w14:textId="77777777" w:rsidR="005114A3" w:rsidRPr="00033E65" w:rsidRDefault="005114A3" w:rsidP="005114A3">
      <w:pPr>
        <w:rPr>
          <w:lang w:eastAsia="en-US"/>
        </w:rPr>
      </w:pPr>
    </w:p>
    <w:p w14:paraId="1254AD7C" w14:textId="268813DB" w:rsidR="00022B40" w:rsidRPr="00033E65" w:rsidRDefault="00022B40" w:rsidP="003F0A3A">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 xml:space="preserve">Gráfico </w:t>
      </w:r>
      <w:r w:rsidRPr="00033E65">
        <w:rPr>
          <w:rFonts w:eastAsia="Times New Roman" w:cs="Arial"/>
          <w:spacing w:val="0"/>
          <w:szCs w:val="28"/>
          <w:lang w:val="es-CR" w:eastAsia="es-ES"/>
        </w:rPr>
        <w:fldChar w:fldCharType="begin"/>
      </w:r>
      <w:r w:rsidRPr="00033E65">
        <w:rPr>
          <w:rFonts w:eastAsia="Times New Roman" w:cs="Arial"/>
          <w:spacing w:val="0"/>
          <w:szCs w:val="28"/>
          <w:lang w:val="es-CR" w:eastAsia="es-ES"/>
        </w:rPr>
        <w:instrText xml:space="preserve"> SEQ Gráfico \* ARABIC </w:instrText>
      </w:r>
      <w:r w:rsidRPr="00033E65">
        <w:rPr>
          <w:rFonts w:eastAsia="Times New Roman" w:cs="Arial"/>
          <w:spacing w:val="0"/>
          <w:szCs w:val="28"/>
          <w:lang w:val="es-CR" w:eastAsia="es-ES"/>
        </w:rPr>
        <w:fldChar w:fldCharType="separate"/>
      </w:r>
      <w:r w:rsidR="000B4B78" w:rsidRPr="00033E65">
        <w:rPr>
          <w:rFonts w:eastAsia="Times New Roman" w:cs="Arial"/>
          <w:spacing w:val="0"/>
          <w:szCs w:val="28"/>
          <w:lang w:val="es-CR" w:eastAsia="es-ES"/>
        </w:rPr>
        <w:t>25</w:t>
      </w:r>
      <w:r w:rsidRPr="00033E65">
        <w:rPr>
          <w:rFonts w:eastAsia="Times New Roman" w:cs="Arial"/>
          <w:spacing w:val="0"/>
          <w:szCs w:val="28"/>
          <w:lang w:val="es-CR" w:eastAsia="es-ES"/>
        </w:rPr>
        <w:fldChar w:fldCharType="end"/>
      </w:r>
    </w:p>
    <w:p w14:paraId="559024AB" w14:textId="77777777" w:rsidR="00022B40" w:rsidRPr="00033E65" w:rsidRDefault="00022B40" w:rsidP="003F0A3A">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Circulante en trámite en Fase de Demanda por Juzgados Agrarios</w:t>
      </w:r>
    </w:p>
    <w:p w14:paraId="2D0A5461" w14:textId="43C12DA9" w:rsidR="00304743" w:rsidRPr="00033E65" w:rsidRDefault="001D3A37" w:rsidP="00304743">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Febrero 2023</w:t>
      </w:r>
    </w:p>
    <w:p w14:paraId="15B9C092" w14:textId="7C6AF666" w:rsidR="00513859" w:rsidRPr="00033E65" w:rsidRDefault="00513859" w:rsidP="00304743">
      <w:pPr>
        <w:pStyle w:val="Ttulo"/>
        <w:spacing w:before="0" w:after="0"/>
        <w:ind w:left="284"/>
        <w:jc w:val="center"/>
        <w:rPr>
          <w:rFonts w:eastAsia="Times New Roman" w:cs="Arial"/>
          <w:iCs/>
          <w:spacing w:val="0"/>
          <w:szCs w:val="28"/>
          <w:lang w:val="es-CR" w:eastAsia="es-ES"/>
        </w:rPr>
      </w:pPr>
      <w:r w:rsidRPr="00033E65">
        <w:rPr>
          <w:rFonts w:eastAsia="Times New Roman" w:cs="Arial"/>
          <w:iCs/>
          <w:noProof/>
          <w:spacing w:val="0"/>
          <w:szCs w:val="28"/>
          <w:lang w:val="es-CR" w:eastAsia="es-ES"/>
        </w:rPr>
        <w:drawing>
          <wp:inline distT="0" distB="0" distL="0" distR="0" wp14:anchorId="2E7BA144" wp14:editId="42F369DA">
            <wp:extent cx="5709147" cy="2870420"/>
            <wp:effectExtent l="0" t="0" r="6350" b="635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bookmarkEnd w:id="219"/>
    <w:p w14:paraId="4E3765AE" w14:textId="70E68D33" w:rsidR="00022B40" w:rsidRPr="00033E65" w:rsidRDefault="00022B40" w:rsidP="00304743">
      <w:pPr>
        <w:pStyle w:val="Ttulo"/>
        <w:spacing w:before="0" w:after="0"/>
        <w:ind w:right="227"/>
        <w:rPr>
          <w:rFonts w:eastAsia="Times New Roman" w:cs="Arial"/>
          <w:iCs/>
          <w:spacing w:val="0"/>
          <w:szCs w:val="28"/>
          <w:lang w:val="es-CR" w:eastAsia="es-ES"/>
        </w:rPr>
      </w:pPr>
      <w:r w:rsidRPr="00033E65">
        <w:rPr>
          <w:i/>
          <w:color w:val="auto"/>
          <w:sz w:val="18"/>
          <w:lang w:eastAsia="en-US"/>
        </w:rPr>
        <w:t xml:space="preserve">Fuente: </w:t>
      </w:r>
      <w:r w:rsidRPr="00033E65">
        <w:rPr>
          <w:i/>
          <w:color w:val="auto"/>
          <w:sz w:val="18"/>
        </w:rPr>
        <w:t xml:space="preserve">Subproceso de Modernización Institucional </w:t>
      </w:r>
      <w:r w:rsidR="00607176" w:rsidRPr="00033E65">
        <w:rPr>
          <w:i/>
          <w:color w:val="auto"/>
          <w:sz w:val="18"/>
        </w:rPr>
        <w:t xml:space="preserve">área </w:t>
      </w:r>
      <w:r w:rsidR="00906107" w:rsidRPr="00033E65">
        <w:rPr>
          <w:i/>
          <w:color w:val="auto"/>
          <w:sz w:val="18"/>
        </w:rPr>
        <w:t>N</w:t>
      </w:r>
      <w:r w:rsidR="00607176" w:rsidRPr="00033E65">
        <w:rPr>
          <w:i/>
          <w:color w:val="auto"/>
          <w:sz w:val="18"/>
        </w:rPr>
        <w:t xml:space="preserve">o Penal, </w:t>
      </w:r>
      <w:r w:rsidR="007B00C8" w:rsidRPr="00033E65">
        <w:rPr>
          <w:i/>
          <w:color w:val="auto"/>
          <w:sz w:val="18"/>
        </w:rPr>
        <w:t>c</w:t>
      </w:r>
      <w:r w:rsidR="00C551D1" w:rsidRPr="00033E65">
        <w:rPr>
          <w:i/>
          <w:color w:val="auto"/>
          <w:sz w:val="18"/>
        </w:rPr>
        <w:t>on base en el Balance General Interactivo de la página web de la Dirección de Planificación</w:t>
      </w:r>
      <w:r w:rsidR="005114A3" w:rsidRPr="00033E65">
        <w:rPr>
          <w:i/>
          <w:color w:val="auto"/>
          <w:sz w:val="18"/>
          <w:lang w:eastAsia="en-US"/>
        </w:rPr>
        <w:t xml:space="preserve">, </w:t>
      </w:r>
      <w:r w:rsidR="00607176" w:rsidRPr="00033E65">
        <w:rPr>
          <w:i/>
          <w:color w:val="auto"/>
          <w:sz w:val="18"/>
          <w:lang w:eastAsia="en-US"/>
        </w:rPr>
        <w:t xml:space="preserve">febrero </w:t>
      </w:r>
      <w:r w:rsidR="005114A3" w:rsidRPr="00033E65">
        <w:rPr>
          <w:i/>
          <w:color w:val="auto"/>
          <w:sz w:val="18"/>
          <w:lang w:eastAsia="en-US"/>
        </w:rPr>
        <w:t>202</w:t>
      </w:r>
      <w:r w:rsidR="00607176" w:rsidRPr="00033E65">
        <w:rPr>
          <w:i/>
          <w:color w:val="auto"/>
          <w:sz w:val="18"/>
          <w:lang w:eastAsia="en-US"/>
        </w:rPr>
        <w:t>3</w:t>
      </w:r>
      <w:r w:rsidRPr="00033E65">
        <w:rPr>
          <w:i/>
          <w:color w:val="auto"/>
          <w:sz w:val="18"/>
          <w:lang w:eastAsia="en-US"/>
        </w:rPr>
        <w:t>.</w:t>
      </w:r>
    </w:p>
    <w:p w14:paraId="66BDA1D1" w14:textId="3C9C48F1" w:rsidR="00022B40" w:rsidRPr="00033E65" w:rsidRDefault="00022B40" w:rsidP="00022B40">
      <w:pPr>
        <w:rPr>
          <w:lang w:eastAsia="en-US"/>
        </w:rPr>
      </w:pPr>
      <w:bookmarkStart w:id="222" w:name="_Hlk39742099"/>
      <w:r w:rsidRPr="00033E65">
        <w:rPr>
          <w:lang w:eastAsia="en-US"/>
        </w:rPr>
        <w:t>El Juzgado Agrario de Puntarenas presenta la particularidad de que su fase de demanda es representada por una cantidad pequeña de expedientes y la mayor cantidad de circulante se encu</w:t>
      </w:r>
      <w:r w:rsidR="00985E3A" w:rsidRPr="00033E65">
        <w:rPr>
          <w:lang w:eastAsia="en-US"/>
        </w:rPr>
        <w:t>entra en la fase demostrativa</w:t>
      </w:r>
      <w:r w:rsidR="00304743" w:rsidRPr="00033E65">
        <w:rPr>
          <w:lang w:eastAsia="en-US"/>
        </w:rPr>
        <w:t xml:space="preserve">. </w:t>
      </w:r>
      <w:r w:rsidRPr="00033E65">
        <w:rPr>
          <w:lang w:eastAsia="en-US"/>
        </w:rPr>
        <w:t>Lo anterior podría ser resultado del trámite del expediente al entrar a</w:t>
      </w:r>
      <w:r w:rsidR="00430F44" w:rsidRPr="00033E65">
        <w:rPr>
          <w:lang w:eastAsia="en-US"/>
        </w:rPr>
        <w:t>l</w:t>
      </w:r>
      <w:r w:rsidRPr="00033E65">
        <w:rPr>
          <w:lang w:eastAsia="en-US"/>
        </w:rPr>
        <w:t xml:space="preserve"> Juzgado, ya que en los Indicadores de gestión se refleja un promedio de </w:t>
      </w:r>
      <w:r w:rsidR="00430F44" w:rsidRPr="00033E65">
        <w:rPr>
          <w:lang w:eastAsia="en-US"/>
        </w:rPr>
        <w:t xml:space="preserve">un </w:t>
      </w:r>
      <w:r w:rsidRPr="00033E65">
        <w:rPr>
          <w:lang w:eastAsia="en-US"/>
        </w:rPr>
        <w:t xml:space="preserve">(1) día el plazo para resolver demandas nuevas. Por otro lado, las personas técnicas judiciales han tramitado un promedio de </w:t>
      </w:r>
      <w:r w:rsidR="00DC3169" w:rsidRPr="00033E65">
        <w:rPr>
          <w:lang w:eastAsia="en-US"/>
        </w:rPr>
        <w:t>14</w:t>
      </w:r>
      <w:r w:rsidRPr="00033E65">
        <w:rPr>
          <w:lang w:eastAsia="en-US"/>
        </w:rPr>
        <w:t xml:space="preserve"> expedientes diarios, lo cual permite una atención expedita de los casos ingresados al Despacho. </w:t>
      </w:r>
    </w:p>
    <w:bookmarkEnd w:id="222"/>
    <w:p w14:paraId="13F5BDF9" w14:textId="77777777" w:rsidR="00022B40" w:rsidRPr="00033E65" w:rsidRDefault="00022B40" w:rsidP="00022B40">
      <w:pPr>
        <w:rPr>
          <w:lang w:eastAsia="en-US"/>
        </w:rPr>
      </w:pPr>
      <w:r w:rsidRPr="00033E65">
        <w:rPr>
          <w:lang w:eastAsia="en-US"/>
        </w:rPr>
        <w:t>Durante los abordajes realizados, se identifican los siguientes hallazgos respecto al circulante y movimientos:</w:t>
      </w:r>
    </w:p>
    <w:p w14:paraId="5585B446" w14:textId="1AE79F9B" w:rsidR="00022B40" w:rsidRPr="00033E65" w:rsidRDefault="00022B40" w:rsidP="00F91CFF">
      <w:pPr>
        <w:pStyle w:val="Prrafodelista"/>
        <w:numPr>
          <w:ilvl w:val="0"/>
          <w:numId w:val="13"/>
        </w:numPr>
        <w:contextualSpacing w:val="0"/>
        <w:rPr>
          <w:szCs w:val="22"/>
        </w:rPr>
      </w:pPr>
      <w:r w:rsidRPr="00033E65">
        <w:rPr>
          <w:szCs w:val="22"/>
        </w:rPr>
        <w:t xml:space="preserve">En todos los casos la fase de </w:t>
      </w:r>
      <w:r w:rsidRPr="00033E65">
        <w:rPr>
          <w:b/>
          <w:bCs/>
          <w:i/>
          <w:iCs/>
          <w:szCs w:val="22"/>
        </w:rPr>
        <w:t>Demanda</w:t>
      </w:r>
      <w:r w:rsidRPr="00033E65">
        <w:rPr>
          <w:szCs w:val="22"/>
        </w:rPr>
        <w:t xml:space="preserve"> es la más representativa, por lo tanto; es en la que mayor cantidad de expedientes se acumulan. Los valores de representación fluctúan desde un 4</w:t>
      </w:r>
      <w:r w:rsidR="00FE1822" w:rsidRPr="00033E65">
        <w:rPr>
          <w:szCs w:val="22"/>
        </w:rPr>
        <w:t>2</w:t>
      </w:r>
      <w:r w:rsidRPr="00033E65">
        <w:rPr>
          <w:szCs w:val="22"/>
        </w:rPr>
        <w:t xml:space="preserve">% a un </w:t>
      </w:r>
      <w:r w:rsidR="00FE1822" w:rsidRPr="00033E65">
        <w:rPr>
          <w:szCs w:val="22"/>
        </w:rPr>
        <w:t>73</w:t>
      </w:r>
      <w:r w:rsidRPr="00033E65">
        <w:rPr>
          <w:szCs w:val="22"/>
        </w:rPr>
        <w:t xml:space="preserve">% del circulante, a diferencia de Puntarenas que posee un </w:t>
      </w:r>
      <w:r w:rsidR="00FE1822" w:rsidRPr="00033E65">
        <w:rPr>
          <w:szCs w:val="22"/>
        </w:rPr>
        <w:t>2</w:t>
      </w:r>
      <w:r w:rsidRPr="00033E65">
        <w:rPr>
          <w:szCs w:val="22"/>
        </w:rPr>
        <w:t xml:space="preserve">%. Los números mostrados evidencian la necesidad de aumentar la tramitación con la finalidad de mover los expedientes a otras fases del proceso para lograr brindar respuesta a las personas usuarias. </w:t>
      </w:r>
    </w:p>
    <w:p w14:paraId="0561D1D3" w14:textId="200B43F3" w:rsidR="00022B40" w:rsidRPr="00033E65" w:rsidRDefault="00022B40" w:rsidP="00F91CFF">
      <w:pPr>
        <w:pStyle w:val="Prrafodelista"/>
        <w:numPr>
          <w:ilvl w:val="0"/>
          <w:numId w:val="13"/>
        </w:numPr>
        <w:ind w:left="714" w:hanging="357"/>
        <w:contextualSpacing w:val="0"/>
        <w:rPr>
          <w:szCs w:val="22"/>
        </w:rPr>
      </w:pPr>
      <w:r w:rsidRPr="00033E65">
        <w:rPr>
          <w:szCs w:val="22"/>
        </w:rPr>
        <w:t>Existe una porción importante del circulante que se encuentra en tareas relacionadas con la “espera de gestión de la parte” (</w:t>
      </w:r>
      <w:r w:rsidR="0005270C" w:rsidRPr="00033E65">
        <w:rPr>
          <w:szCs w:val="22"/>
        </w:rPr>
        <w:t>1414</w:t>
      </w:r>
      <w:r w:rsidRPr="00033E65">
        <w:rPr>
          <w:szCs w:val="22"/>
        </w:rPr>
        <w:t xml:space="preserve"> expedientes), que haciendo un análisis al circulante de enero 202</w:t>
      </w:r>
      <w:r w:rsidR="0005270C" w:rsidRPr="00033E65">
        <w:rPr>
          <w:szCs w:val="22"/>
        </w:rPr>
        <w:t>2</w:t>
      </w:r>
      <w:r w:rsidRPr="00033E65">
        <w:rPr>
          <w:szCs w:val="22"/>
        </w:rPr>
        <w:t xml:space="preserve"> a nivel de toda la jurisdicción Agraria (7</w:t>
      </w:r>
      <w:r w:rsidR="0005270C" w:rsidRPr="00033E65">
        <w:rPr>
          <w:szCs w:val="22"/>
        </w:rPr>
        <w:t>969</w:t>
      </w:r>
      <w:r w:rsidRPr="00033E65">
        <w:rPr>
          <w:szCs w:val="22"/>
        </w:rPr>
        <w:t xml:space="preserve"> expedientes</w:t>
      </w:r>
      <w:r w:rsidR="00781F77" w:rsidRPr="00033E65">
        <w:rPr>
          <w:szCs w:val="22"/>
        </w:rPr>
        <w:t>), esta porción corresponde al 18</w:t>
      </w:r>
      <w:r w:rsidRPr="00033E65">
        <w:rPr>
          <w:szCs w:val="22"/>
        </w:rPr>
        <w:t xml:space="preserve">% del total, lo que implica que a estos expedientes no se le efectúa trámite debido a que a criterio del Juzgado se necesita impulso de la parte, sin embargo; es de vital importancia que a raíz de la entrada en vigencia de la Reforma al Código de Trabajo y el Nuevo Código Procesal Civil el Despacho se dé a la tarea de revisar los expedientes para definir si procede el dictado de un archivo provisional, una caducidad, una deserción o realizar alguna gestión oficiosa.  </w:t>
      </w:r>
    </w:p>
    <w:p w14:paraId="366D59BB" w14:textId="2FC516ED" w:rsidR="008047CF" w:rsidRPr="00033E65" w:rsidRDefault="00DC3169" w:rsidP="00DC3169">
      <w:r w:rsidRPr="00033E65">
        <w:t xml:space="preserve">Analizando específicamente la fase de </w:t>
      </w:r>
      <w:r w:rsidRPr="00033E65">
        <w:rPr>
          <w:b/>
          <w:bCs/>
          <w:i/>
          <w:iCs/>
        </w:rPr>
        <w:t>Ejecución</w:t>
      </w:r>
      <w:r w:rsidRPr="00033E65">
        <w:t xml:space="preserve">, que llama la atención a raíz del requerimiento que se enfatiza en el Código Procesal Agrario sobre la figura de </w:t>
      </w:r>
      <w:r w:rsidRPr="00033E65">
        <w:rPr>
          <w:i/>
          <w:iCs/>
        </w:rPr>
        <w:t>“ejecutores”;</w:t>
      </w:r>
      <w:r w:rsidRPr="00033E65">
        <w:t xml:space="preserve"> ya que; la representación de esta fase es mínima; lo cual refleja la necesidad de generar mayor trámite para lograr llevar los procesos a dicha fase. El Juzgado Agrario del II Circuito Judicial de Alajuela, San Carlos y el Juzgado Agrario de</w:t>
      </w:r>
      <w:r w:rsidR="00EE0D1C" w:rsidRPr="00033E65">
        <w:t>l I Circuito Judicial de Alajuela</w:t>
      </w:r>
      <w:r w:rsidRPr="00033E65">
        <w:t xml:space="preserve">, son los despachos con mayor porcentaje de circulante en la fase de ejecución con un </w:t>
      </w:r>
      <w:r w:rsidR="00EE0D1C" w:rsidRPr="00033E65">
        <w:t>13% (52</w:t>
      </w:r>
      <w:r w:rsidRPr="00033E65">
        <w:t xml:space="preserve"> expedientes</w:t>
      </w:r>
      <w:r w:rsidR="00EE0D1C" w:rsidRPr="00033E65">
        <w:t>), y</w:t>
      </w:r>
      <w:r w:rsidRPr="00033E65">
        <w:t xml:space="preserve"> 1</w:t>
      </w:r>
      <w:r w:rsidR="00EE0D1C" w:rsidRPr="00033E65">
        <w:t xml:space="preserve">2 </w:t>
      </w:r>
      <w:r w:rsidRPr="00033E65">
        <w:t>% (</w:t>
      </w:r>
      <w:r w:rsidR="00EE0D1C" w:rsidRPr="00033E65">
        <w:t>44</w:t>
      </w:r>
      <w:r w:rsidRPr="00033E65">
        <w:t xml:space="preserve"> expedientes); seguido por el Juzgado Agrario </w:t>
      </w:r>
      <w:r w:rsidR="00EE0D1C" w:rsidRPr="00033E65">
        <w:t>II Circ. Jud. Zona Sur (Corredores) con un 11</w:t>
      </w:r>
      <w:r w:rsidR="008047CF" w:rsidRPr="00033E65">
        <w:t xml:space="preserve">%, entre otros. </w:t>
      </w:r>
    </w:p>
    <w:p w14:paraId="3428BC11" w14:textId="076B24AA" w:rsidR="008047CF" w:rsidRPr="00033E65" w:rsidRDefault="008047CF" w:rsidP="00921A27">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 xml:space="preserve">Gráfico </w:t>
      </w:r>
      <w:r w:rsidRPr="00033E65">
        <w:rPr>
          <w:rFonts w:eastAsia="Times New Roman" w:cs="Arial"/>
          <w:spacing w:val="0"/>
          <w:szCs w:val="28"/>
          <w:lang w:val="es-CR" w:eastAsia="es-ES"/>
        </w:rPr>
        <w:fldChar w:fldCharType="begin"/>
      </w:r>
      <w:r w:rsidRPr="00033E65">
        <w:rPr>
          <w:rFonts w:eastAsia="Times New Roman" w:cs="Arial"/>
          <w:spacing w:val="0"/>
          <w:szCs w:val="28"/>
          <w:lang w:val="es-CR" w:eastAsia="es-ES"/>
        </w:rPr>
        <w:instrText xml:space="preserve"> SEQ Gráfico \* ARABIC </w:instrText>
      </w:r>
      <w:r w:rsidRPr="00033E65">
        <w:rPr>
          <w:rFonts w:eastAsia="Times New Roman" w:cs="Arial"/>
          <w:spacing w:val="0"/>
          <w:szCs w:val="28"/>
          <w:lang w:val="es-CR" w:eastAsia="es-ES"/>
        </w:rPr>
        <w:fldChar w:fldCharType="separate"/>
      </w:r>
      <w:r w:rsidR="000B4B78" w:rsidRPr="00033E65">
        <w:rPr>
          <w:rFonts w:eastAsia="Times New Roman" w:cs="Arial"/>
          <w:spacing w:val="0"/>
          <w:szCs w:val="28"/>
          <w:lang w:val="es-CR" w:eastAsia="es-ES"/>
        </w:rPr>
        <w:t>26</w:t>
      </w:r>
      <w:r w:rsidRPr="00033E65">
        <w:rPr>
          <w:rFonts w:eastAsia="Times New Roman" w:cs="Arial"/>
          <w:spacing w:val="0"/>
          <w:szCs w:val="28"/>
          <w:lang w:val="es-CR" w:eastAsia="es-ES"/>
        </w:rPr>
        <w:fldChar w:fldCharType="end"/>
      </w:r>
    </w:p>
    <w:p w14:paraId="19C3959F" w14:textId="77777777" w:rsidR="008047CF" w:rsidRPr="00033E65" w:rsidRDefault="008047CF" w:rsidP="00921A27">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Circulante en trámite en Fase de Ejecución por Juzgados Agrarios</w:t>
      </w:r>
    </w:p>
    <w:p w14:paraId="68AA3481" w14:textId="1BC1F649" w:rsidR="002D419D" w:rsidRPr="00033E65" w:rsidRDefault="00F05769" w:rsidP="00304743">
      <w:pPr>
        <w:pStyle w:val="Ttulo"/>
        <w:spacing w:before="0" w:after="0"/>
        <w:jc w:val="center"/>
        <w:rPr>
          <w:rFonts w:eastAsia="Times New Roman" w:cs="Arial"/>
          <w:spacing w:val="0"/>
          <w:lang w:val="es-CR" w:eastAsia="es-ES"/>
        </w:rPr>
      </w:pPr>
      <w:r w:rsidRPr="00033E65">
        <w:rPr>
          <w:rFonts w:eastAsia="Times New Roman" w:cs="Arial"/>
          <w:lang w:val="es-CR" w:eastAsia="es-ES"/>
        </w:rPr>
        <w:t xml:space="preserve">Febrero </w:t>
      </w:r>
      <w:r w:rsidR="00760D57" w:rsidRPr="00033E65">
        <w:rPr>
          <w:rFonts w:eastAsia="Times New Roman" w:cs="Arial"/>
          <w:spacing w:val="0"/>
          <w:lang w:val="es-CR" w:eastAsia="es-ES"/>
        </w:rPr>
        <w:t>202</w:t>
      </w:r>
      <w:r w:rsidRPr="00033E65">
        <w:rPr>
          <w:rFonts w:eastAsia="Times New Roman" w:cs="Arial"/>
          <w:lang w:val="es-CR" w:eastAsia="es-ES"/>
        </w:rPr>
        <w:t>3</w:t>
      </w:r>
      <w:r w:rsidR="004F02E8" w:rsidRPr="00033E65">
        <w:rPr>
          <w:rFonts w:eastAsia="Times New Roman" w:cs="Arial"/>
          <w:lang w:val="es-CR" w:eastAsia="es-ES"/>
        </w:rPr>
        <w:t xml:space="preserve"> </w:t>
      </w:r>
    </w:p>
    <w:p w14:paraId="2565E8AA" w14:textId="599FA4B3" w:rsidR="002D419D" w:rsidRPr="00033E65" w:rsidRDefault="001F7473" w:rsidP="4756DDF1">
      <w:pPr>
        <w:pStyle w:val="Ttulo"/>
        <w:spacing w:before="0" w:after="0"/>
        <w:jc w:val="center"/>
        <w:rPr>
          <w:rFonts w:eastAsia="Times New Roman" w:cs="Arial"/>
          <w:spacing w:val="0"/>
          <w:lang w:val="es-CR" w:eastAsia="es-ES"/>
        </w:rPr>
      </w:pPr>
      <w:r w:rsidRPr="00033E65">
        <w:rPr>
          <w:rFonts w:eastAsia="Times New Roman" w:cs="Arial"/>
          <w:noProof/>
          <w:spacing w:val="0"/>
          <w:lang w:val="es-CR" w:eastAsia="es-ES"/>
        </w:rPr>
        <w:drawing>
          <wp:inline distT="0" distB="0" distL="0" distR="0" wp14:anchorId="20D66584" wp14:editId="666EB3CD">
            <wp:extent cx="4993420" cy="3140876"/>
            <wp:effectExtent l="0" t="0" r="17145" b="254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F762828" w14:textId="3DF37640" w:rsidR="008047CF" w:rsidRPr="00033E65" w:rsidRDefault="008047CF" w:rsidP="005C3E2B">
      <w:pPr>
        <w:ind w:right="-93"/>
        <w:rPr>
          <w:b/>
          <w:i/>
          <w:sz w:val="18"/>
          <w:lang w:eastAsia="en-US"/>
        </w:rPr>
      </w:pPr>
      <w:r w:rsidRPr="00033E65">
        <w:rPr>
          <w:b/>
          <w:i/>
          <w:sz w:val="18"/>
          <w:lang w:eastAsia="en-US"/>
        </w:rPr>
        <w:t xml:space="preserve">Fuente: </w:t>
      </w:r>
      <w:r w:rsidRPr="00033E65">
        <w:rPr>
          <w:b/>
          <w:i/>
          <w:sz w:val="18"/>
        </w:rPr>
        <w:t>Subproceso de Modernización Institucional</w:t>
      </w:r>
      <w:r w:rsidR="00A870A1" w:rsidRPr="00033E65">
        <w:rPr>
          <w:b/>
          <w:i/>
          <w:sz w:val="18"/>
        </w:rPr>
        <w:t>,</w:t>
      </w:r>
      <w:r w:rsidR="00A870A1" w:rsidRPr="00033E65">
        <w:t xml:space="preserve"> </w:t>
      </w:r>
      <w:r w:rsidR="00A870A1" w:rsidRPr="00033E65">
        <w:rPr>
          <w:b/>
          <w:i/>
          <w:sz w:val="18"/>
        </w:rPr>
        <w:t>área No Penal, con base en el Balance General Interactivo de la página web de la Dirección de Planificación.</w:t>
      </w:r>
      <w:r w:rsidR="005C3E2B" w:rsidRPr="00033E65">
        <w:rPr>
          <w:b/>
          <w:i/>
          <w:sz w:val="18"/>
          <w:lang w:eastAsia="en-US"/>
        </w:rPr>
        <w:t xml:space="preserve">, </w:t>
      </w:r>
      <w:r w:rsidR="00F05769" w:rsidRPr="00033E65">
        <w:rPr>
          <w:b/>
          <w:i/>
          <w:sz w:val="18"/>
          <w:lang w:eastAsia="en-US"/>
        </w:rPr>
        <w:t xml:space="preserve">febrero </w:t>
      </w:r>
      <w:r w:rsidR="005C3E2B" w:rsidRPr="00033E65">
        <w:rPr>
          <w:b/>
          <w:i/>
          <w:sz w:val="18"/>
          <w:lang w:eastAsia="en-US"/>
        </w:rPr>
        <w:t>202</w:t>
      </w:r>
      <w:r w:rsidR="00F05769" w:rsidRPr="00033E65">
        <w:rPr>
          <w:b/>
          <w:i/>
          <w:sz w:val="18"/>
          <w:lang w:eastAsia="en-US"/>
        </w:rPr>
        <w:t>3</w:t>
      </w:r>
      <w:r w:rsidRPr="00033E65">
        <w:rPr>
          <w:b/>
          <w:i/>
          <w:sz w:val="18"/>
          <w:lang w:eastAsia="en-US"/>
        </w:rPr>
        <w:t xml:space="preserve">. </w:t>
      </w:r>
    </w:p>
    <w:p w14:paraId="2B91D1D8" w14:textId="77777777" w:rsidR="008D19DC" w:rsidRPr="00033E65" w:rsidRDefault="008D19DC" w:rsidP="005C3E2B">
      <w:pPr>
        <w:ind w:right="-93"/>
        <w:rPr>
          <w:b/>
          <w:i/>
          <w:sz w:val="18"/>
          <w:lang w:eastAsia="en-US"/>
        </w:rPr>
      </w:pPr>
    </w:p>
    <w:p w14:paraId="694C14FA" w14:textId="481B7ECE" w:rsidR="00D43AFC" w:rsidRPr="00033E65" w:rsidRDefault="00D43AFC" w:rsidP="00D43AFC">
      <w:pPr>
        <w:rPr>
          <w:szCs w:val="22"/>
        </w:rPr>
      </w:pPr>
      <w:r w:rsidRPr="00033E65">
        <w:rPr>
          <w:szCs w:val="22"/>
        </w:rPr>
        <w:t>En el caso del Juzgado Agr</w:t>
      </w:r>
      <w:r w:rsidR="008D19DC" w:rsidRPr="00033E65">
        <w:rPr>
          <w:szCs w:val="22"/>
        </w:rPr>
        <w:t xml:space="preserve">ario de Jicaral, Juzgado Agrario </w:t>
      </w:r>
      <w:r w:rsidRPr="00033E65">
        <w:rPr>
          <w:szCs w:val="22"/>
        </w:rPr>
        <w:t>de Santa Cruz</w:t>
      </w:r>
      <w:r w:rsidR="008D19DC" w:rsidRPr="00033E65">
        <w:rPr>
          <w:szCs w:val="22"/>
        </w:rPr>
        <w:t xml:space="preserve"> y</w:t>
      </w:r>
      <w:r w:rsidRPr="00033E65">
        <w:rPr>
          <w:szCs w:val="22"/>
        </w:rPr>
        <w:t xml:space="preserve"> el Juzgado Agrario de Pococí, estos Juzgados especializados y el caso del Juzgado de Turrialba, presentan la menor cantidad de circulante en etapa de ejecución con un 1% (</w:t>
      </w:r>
      <w:r w:rsidR="008D19DC" w:rsidRPr="00033E65">
        <w:rPr>
          <w:szCs w:val="22"/>
        </w:rPr>
        <w:t xml:space="preserve">1, </w:t>
      </w:r>
      <w:r w:rsidR="00210BF1" w:rsidRPr="00033E65">
        <w:rPr>
          <w:szCs w:val="22"/>
        </w:rPr>
        <w:t>3</w:t>
      </w:r>
      <w:r w:rsidRPr="00033E65">
        <w:rPr>
          <w:szCs w:val="22"/>
        </w:rPr>
        <w:t xml:space="preserve"> y </w:t>
      </w:r>
      <w:r w:rsidR="00325BED" w:rsidRPr="00033E65">
        <w:rPr>
          <w:szCs w:val="22"/>
        </w:rPr>
        <w:t>10</w:t>
      </w:r>
      <w:r w:rsidRPr="00033E65">
        <w:rPr>
          <w:szCs w:val="22"/>
        </w:rPr>
        <w:t xml:space="preserve"> expedientes respectivamente), lo que es un dato relevante para la definición de estrategias de trabajo para encaminar los procesos a llegar a dicha fase. Las acciones que se realicen en este Despacho deben ir enfocados en aumentar y controlar la tramitación de los expedientes. </w:t>
      </w:r>
    </w:p>
    <w:p w14:paraId="26CDAC6A" w14:textId="77777777" w:rsidR="00D43AFC" w:rsidRPr="00033E65" w:rsidRDefault="00D43AFC" w:rsidP="00D43AFC">
      <w:pPr>
        <w:rPr>
          <w:szCs w:val="22"/>
        </w:rPr>
      </w:pPr>
      <w:r w:rsidRPr="00033E65">
        <w:rPr>
          <w:szCs w:val="22"/>
        </w:rPr>
        <w:t xml:space="preserve">Los datos mostrados anteriormente, recalcan la necesidad de que los planes de descongestionamiento que se están realizando y que se vayan a realizar en materia Agraria deben enfocarse en, atacar el circulante de forma que este inicie a moverse de forma más rápida a través de las distintas fases del proceso para llegar a fase de juicio y ejecución.  Lo anterior es un punto relevante para el Centro de Apoyo, Coordinación y Mejoramiento de la Función Jurisdiccional, para que amplíe los planes que realiza en reducción del pendiente de fallo con apoyo en el trámite. </w:t>
      </w:r>
    </w:p>
    <w:p w14:paraId="439960AB" w14:textId="7C0863A8" w:rsidR="00D43AFC" w:rsidRPr="00033E65" w:rsidRDefault="00EC5306" w:rsidP="00951D3E">
      <w:pPr>
        <w:pStyle w:val="Ttulo3"/>
        <w:rPr>
          <w:lang w:eastAsia="en-US"/>
        </w:rPr>
      </w:pPr>
      <w:bookmarkStart w:id="223" w:name="_Toc132639568"/>
      <w:r>
        <w:rPr>
          <w:lang w:eastAsia="en-US"/>
        </w:rPr>
        <w:t>14</w:t>
      </w:r>
      <w:r w:rsidR="00EF25D1" w:rsidRPr="00033E65">
        <w:rPr>
          <w:lang w:eastAsia="en-US"/>
        </w:rPr>
        <w:t xml:space="preserve">.1 </w:t>
      </w:r>
      <w:r w:rsidR="00D43AFC" w:rsidRPr="00033E65">
        <w:rPr>
          <w:lang w:eastAsia="en-US"/>
        </w:rPr>
        <w:t>Análisis del Circulante por Clase de Asunto</w:t>
      </w:r>
      <w:bookmarkEnd w:id="223"/>
      <w:r w:rsidR="00D43AFC" w:rsidRPr="00033E65">
        <w:rPr>
          <w:lang w:eastAsia="en-US"/>
        </w:rPr>
        <w:t xml:space="preserve"> </w:t>
      </w:r>
    </w:p>
    <w:p w14:paraId="0B14F7D6" w14:textId="4A462380" w:rsidR="00A8291D" w:rsidRPr="00033E65" w:rsidRDefault="00A367B7" w:rsidP="000F1A61">
      <w:r w:rsidRPr="00033E65">
        <w:t xml:space="preserve">Como parte del análisis del circulante se identifica la necesidad de verificar como se encuentra el circulante a nivel nacional por clase de asunto a </w:t>
      </w:r>
      <w:r w:rsidR="00542A4A" w:rsidRPr="00033E65">
        <w:t>febrero</w:t>
      </w:r>
      <w:r w:rsidR="004165E2" w:rsidRPr="00033E65">
        <w:t xml:space="preserve"> 202</w:t>
      </w:r>
      <w:r w:rsidR="00542A4A" w:rsidRPr="00033E65">
        <w:t>3</w:t>
      </w:r>
      <w:r w:rsidRPr="00033E65">
        <w:t>, se presenta lo siguiente:</w:t>
      </w:r>
    </w:p>
    <w:p w14:paraId="3E6D6C55" w14:textId="28706518" w:rsidR="00A367B7" w:rsidRPr="00033E65" w:rsidRDefault="00A367B7" w:rsidP="003F0A3A">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 xml:space="preserve">Gráfico </w:t>
      </w:r>
      <w:r w:rsidRPr="00033E65">
        <w:rPr>
          <w:rFonts w:eastAsia="Times New Roman" w:cs="Arial"/>
          <w:spacing w:val="0"/>
          <w:szCs w:val="28"/>
          <w:lang w:val="es-CR" w:eastAsia="es-ES"/>
        </w:rPr>
        <w:fldChar w:fldCharType="begin"/>
      </w:r>
      <w:r w:rsidRPr="00033E65">
        <w:rPr>
          <w:rFonts w:eastAsia="Times New Roman" w:cs="Arial"/>
          <w:spacing w:val="0"/>
          <w:szCs w:val="28"/>
          <w:lang w:val="es-CR" w:eastAsia="es-ES"/>
        </w:rPr>
        <w:instrText xml:space="preserve"> SEQ Gráfico \* ARABIC </w:instrText>
      </w:r>
      <w:r w:rsidRPr="00033E65">
        <w:rPr>
          <w:rFonts w:eastAsia="Times New Roman" w:cs="Arial"/>
          <w:spacing w:val="0"/>
          <w:szCs w:val="28"/>
          <w:lang w:val="es-CR" w:eastAsia="es-ES"/>
        </w:rPr>
        <w:fldChar w:fldCharType="separate"/>
      </w:r>
      <w:r w:rsidR="000B4B78" w:rsidRPr="00033E65">
        <w:rPr>
          <w:rFonts w:eastAsia="Times New Roman" w:cs="Arial"/>
          <w:spacing w:val="0"/>
          <w:szCs w:val="28"/>
          <w:lang w:val="es-CR" w:eastAsia="es-ES"/>
        </w:rPr>
        <w:t>27</w:t>
      </w:r>
      <w:r w:rsidRPr="00033E65">
        <w:rPr>
          <w:rFonts w:eastAsia="Times New Roman" w:cs="Arial"/>
          <w:spacing w:val="0"/>
          <w:szCs w:val="28"/>
          <w:lang w:val="es-CR" w:eastAsia="es-ES"/>
        </w:rPr>
        <w:fldChar w:fldCharType="end"/>
      </w:r>
    </w:p>
    <w:p w14:paraId="06E1C54F" w14:textId="77777777" w:rsidR="00A367B7" w:rsidRPr="00033E65" w:rsidRDefault="00A367B7" w:rsidP="003F0A3A">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Circulante en trámite por Clase de Asunto a nivel de todos los Juzgados Agrarios</w:t>
      </w:r>
    </w:p>
    <w:p w14:paraId="1E5B25AB" w14:textId="78EB7C9B" w:rsidR="00A367B7" w:rsidRPr="00033E65" w:rsidRDefault="00604C03" w:rsidP="003F0A3A">
      <w:pPr>
        <w:pStyle w:val="Ttulo"/>
        <w:spacing w:before="0" w:after="0"/>
        <w:jc w:val="center"/>
        <w:rPr>
          <w:rFonts w:eastAsia="Times New Roman" w:cs="Arial"/>
          <w:iCs/>
          <w:spacing w:val="0"/>
          <w:szCs w:val="28"/>
          <w:lang w:val="es-CR" w:eastAsia="es-ES"/>
        </w:rPr>
      </w:pPr>
      <w:r w:rsidRPr="00033E65">
        <w:rPr>
          <w:rFonts w:eastAsia="Times New Roman" w:cs="Arial"/>
          <w:spacing w:val="0"/>
          <w:szCs w:val="28"/>
          <w:lang w:val="es-CR" w:eastAsia="es-ES"/>
        </w:rPr>
        <w:t>Febrero 2023</w:t>
      </w:r>
      <w:r w:rsidR="00CE790D" w:rsidRPr="00033E65">
        <w:rPr>
          <w:rFonts w:eastAsia="Times New Roman" w:cs="Arial"/>
          <w:iCs/>
          <w:spacing w:val="0"/>
          <w:szCs w:val="28"/>
          <w:lang w:val="es-CR" w:eastAsia="es-ES"/>
        </w:rPr>
        <w:t xml:space="preserve"> </w:t>
      </w:r>
    </w:p>
    <w:p w14:paraId="35E5FBD0" w14:textId="63B80E98" w:rsidR="00A367B7" w:rsidRPr="00033E65" w:rsidRDefault="00BC715F" w:rsidP="00304743">
      <w:pPr>
        <w:rPr>
          <w:b/>
          <w:i/>
          <w:sz w:val="18"/>
          <w:lang w:eastAsia="en-US"/>
        </w:rPr>
      </w:pPr>
      <w:r w:rsidRPr="00033E65">
        <w:rPr>
          <w:noProof/>
          <w:lang w:eastAsia="es-CR"/>
        </w:rPr>
        <w:drawing>
          <wp:inline distT="0" distB="0" distL="0" distR="0" wp14:anchorId="41A05A02" wp14:editId="4621801F">
            <wp:extent cx="5470497" cy="3070253"/>
            <wp:effectExtent l="0" t="0" r="16510" b="1587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bookmarkStart w:id="224" w:name="_Hlk39751857"/>
      <w:r w:rsidR="00A367B7" w:rsidRPr="00033E65">
        <w:rPr>
          <w:b/>
          <w:i/>
          <w:sz w:val="18"/>
          <w:lang w:eastAsia="en-US"/>
        </w:rPr>
        <w:t xml:space="preserve">Fuente: </w:t>
      </w:r>
      <w:r w:rsidR="00A367B7" w:rsidRPr="00033E65">
        <w:rPr>
          <w:b/>
          <w:i/>
          <w:sz w:val="18"/>
        </w:rPr>
        <w:t>Subproceso de Modernización Institucional</w:t>
      </w:r>
      <w:r w:rsidR="00D36EE1" w:rsidRPr="00033E65">
        <w:rPr>
          <w:b/>
          <w:i/>
          <w:sz w:val="18"/>
        </w:rPr>
        <w:t>,</w:t>
      </w:r>
      <w:r w:rsidR="00A367B7" w:rsidRPr="00033E65">
        <w:rPr>
          <w:b/>
          <w:i/>
          <w:sz w:val="18"/>
        </w:rPr>
        <w:t xml:space="preserve"> </w:t>
      </w:r>
      <w:r w:rsidR="00D36EE1" w:rsidRPr="00033E65">
        <w:rPr>
          <w:b/>
          <w:i/>
          <w:sz w:val="18"/>
          <w:lang w:eastAsia="en-US"/>
        </w:rPr>
        <w:t>área No Penal, con base en el Balance General Interactivo de la página web de la Dirección de Planificación.</w:t>
      </w:r>
      <w:r w:rsidR="00A367B7" w:rsidRPr="00033E65">
        <w:rPr>
          <w:b/>
          <w:i/>
          <w:sz w:val="18"/>
          <w:lang w:eastAsia="en-US"/>
        </w:rPr>
        <w:t xml:space="preserve">, </w:t>
      </w:r>
      <w:r w:rsidR="00371D70" w:rsidRPr="00033E65">
        <w:rPr>
          <w:b/>
          <w:i/>
          <w:sz w:val="18"/>
          <w:lang w:eastAsia="en-US"/>
        </w:rPr>
        <w:t>febrero</w:t>
      </w:r>
      <w:r w:rsidR="000B7BF2" w:rsidRPr="00033E65">
        <w:rPr>
          <w:b/>
          <w:i/>
          <w:sz w:val="18"/>
          <w:lang w:eastAsia="en-US"/>
        </w:rPr>
        <w:t xml:space="preserve"> 202</w:t>
      </w:r>
      <w:r w:rsidR="00371D70" w:rsidRPr="00033E65">
        <w:rPr>
          <w:b/>
          <w:i/>
          <w:sz w:val="18"/>
          <w:lang w:eastAsia="en-US"/>
        </w:rPr>
        <w:t>3</w:t>
      </w:r>
      <w:r w:rsidR="00A367B7" w:rsidRPr="00033E65">
        <w:rPr>
          <w:b/>
          <w:i/>
          <w:sz w:val="18"/>
          <w:lang w:eastAsia="en-US"/>
        </w:rPr>
        <w:t xml:space="preserve">. </w:t>
      </w:r>
    </w:p>
    <w:p w14:paraId="3C6CB990" w14:textId="2E64835C" w:rsidR="00BC715F" w:rsidRPr="00033E65" w:rsidRDefault="00BC715F" w:rsidP="00BC715F">
      <w:pPr>
        <w:ind w:left="283"/>
        <w:jc w:val="center"/>
      </w:pPr>
    </w:p>
    <w:p w14:paraId="01334602" w14:textId="7C727148" w:rsidR="00317843" w:rsidRPr="00033E65" w:rsidRDefault="00317843" w:rsidP="00317843">
      <w:pPr>
        <w:rPr>
          <w:szCs w:val="22"/>
          <w:lang w:eastAsia="en-US"/>
        </w:rPr>
      </w:pPr>
      <w:r w:rsidRPr="00033E65">
        <w:rPr>
          <w:szCs w:val="22"/>
          <w:lang w:eastAsia="en-US"/>
        </w:rPr>
        <w:t xml:space="preserve">El circulante por clase de asunto a nivel nacional entre los Juzgados Agrarios, está mayormente compuesto por casos Ordinarios y de Informaciones Posesorias con un 37% y 32% respectivamente, seguido de Amparos de Posesión 10%, Sucesorios 4% y Monitorios 3%; y otras clases de asuntos con un 14%, donde se encuentran los asuntos no contenciosos de Localización de Derechos, Sumario de Derribo, Ejecución Hipotecaria, entre otros. </w:t>
      </w:r>
    </w:p>
    <w:p w14:paraId="7CB239C9" w14:textId="77777777" w:rsidR="00317843" w:rsidRPr="00033E65" w:rsidRDefault="00317843" w:rsidP="00317843">
      <w:pPr>
        <w:rPr>
          <w:szCs w:val="22"/>
          <w:lang w:eastAsia="en-US"/>
        </w:rPr>
      </w:pPr>
    </w:p>
    <w:p w14:paraId="271177B8" w14:textId="77777777" w:rsidR="00317843" w:rsidRPr="00033E65" w:rsidRDefault="00317843" w:rsidP="00317843">
      <w:pPr>
        <w:rPr>
          <w:szCs w:val="22"/>
          <w:lang w:eastAsia="en-US"/>
        </w:rPr>
      </w:pPr>
      <w:r w:rsidRPr="00033E65">
        <w:rPr>
          <w:szCs w:val="22"/>
          <w:lang w:eastAsia="en-US"/>
        </w:rPr>
        <w:t xml:space="preserve">Para poder dar una solución expedita en la reducción de los circulantes de los Despachos, es importante enfocarse en los asuntos de Informaciones Posesorias (por ser procesos expeditos y poder disminuir el circulante rápidamente) por ser una de la clase de asunto más representativo de los circulantes, los cuales podrán ser mayormente resueltos por el personal juzgador, están distribuidos por Despacho y Fase de la siguiente manera: </w:t>
      </w:r>
    </w:p>
    <w:p w14:paraId="642AA223" w14:textId="77777777" w:rsidR="00317843" w:rsidRPr="00033E65" w:rsidRDefault="00317843" w:rsidP="00317843">
      <w:pPr>
        <w:pStyle w:val="Ttulo"/>
        <w:spacing w:before="0" w:after="0"/>
        <w:jc w:val="center"/>
        <w:rPr>
          <w:rFonts w:eastAsia="Times New Roman" w:cs="Arial"/>
          <w:iCs/>
          <w:spacing w:val="0"/>
          <w:szCs w:val="28"/>
          <w:lang w:val="es-CR" w:eastAsia="es-ES"/>
        </w:rPr>
      </w:pPr>
    </w:p>
    <w:p w14:paraId="529B0B51" w14:textId="3F63748E" w:rsidR="00317843" w:rsidRPr="00033E65" w:rsidRDefault="00317843" w:rsidP="00317843">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 xml:space="preserve">Cuadro </w:t>
      </w:r>
      <w:r w:rsidR="003E0ACE" w:rsidRPr="00033E65">
        <w:rPr>
          <w:rFonts w:eastAsia="Times New Roman" w:cs="Arial"/>
          <w:spacing w:val="0"/>
          <w:szCs w:val="28"/>
          <w:lang w:val="es-CR" w:eastAsia="es-ES"/>
        </w:rPr>
        <w:t>24</w:t>
      </w:r>
    </w:p>
    <w:p w14:paraId="661846A0" w14:textId="58ACC40B" w:rsidR="00B344A8" w:rsidRPr="00033E65" w:rsidRDefault="00317843" w:rsidP="00A23085">
      <w:pPr>
        <w:spacing w:before="0" w:line="252" w:lineRule="auto"/>
        <w:jc w:val="center"/>
        <w:rPr>
          <w:rFonts w:cs="Arial"/>
          <w:b/>
          <w:iCs/>
          <w:color w:val="244061" w:themeColor="accent1" w:themeShade="80"/>
          <w:sz w:val="24"/>
          <w:szCs w:val="28"/>
        </w:rPr>
      </w:pPr>
      <w:r w:rsidRPr="00033E65">
        <w:rPr>
          <w:rFonts w:cs="Arial"/>
          <w:b/>
          <w:color w:val="244061" w:themeColor="accent1" w:themeShade="80"/>
          <w:sz w:val="24"/>
          <w:szCs w:val="28"/>
        </w:rPr>
        <w:t>Informaciones Posesorias en el Circulante en Trámite por Fase de los Juzgados Agrarios a Nivel Nacional, febrero 2023</w:t>
      </w:r>
      <w:r w:rsidR="00B20318" w:rsidRPr="00033E65">
        <w:rPr>
          <w:rFonts w:cs="Arial"/>
          <w:b/>
          <w:iCs/>
          <w:color w:val="244061" w:themeColor="accent1" w:themeShade="80"/>
          <w:sz w:val="24"/>
          <w:szCs w:val="28"/>
        </w:rPr>
        <w:t xml:space="preserve"> </w:t>
      </w:r>
    </w:p>
    <w:tbl>
      <w:tblPr>
        <w:tblW w:w="11199" w:type="dxa"/>
        <w:tblInd w:w="-1299" w:type="dxa"/>
        <w:tblLayout w:type="fixed"/>
        <w:tblCellMar>
          <w:left w:w="70" w:type="dxa"/>
          <w:right w:w="70" w:type="dxa"/>
        </w:tblCellMar>
        <w:tblLook w:val="04A0" w:firstRow="1" w:lastRow="0" w:firstColumn="1" w:lastColumn="0" w:noHBand="0" w:noVBand="1"/>
      </w:tblPr>
      <w:tblGrid>
        <w:gridCol w:w="2410"/>
        <w:gridCol w:w="1134"/>
        <w:gridCol w:w="1560"/>
        <w:gridCol w:w="1275"/>
        <w:gridCol w:w="1134"/>
        <w:gridCol w:w="1418"/>
        <w:gridCol w:w="992"/>
        <w:gridCol w:w="1276"/>
      </w:tblGrid>
      <w:tr w:rsidR="00AF3382" w:rsidRPr="00033E65" w14:paraId="6DBEA666" w14:textId="77777777" w:rsidTr="00F52071">
        <w:trPr>
          <w:trHeight w:val="840"/>
          <w:tblHeader/>
        </w:trPr>
        <w:tc>
          <w:tcPr>
            <w:tcW w:w="2410"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24F83781" w14:textId="77777777" w:rsidR="00CA3525" w:rsidRPr="00033E65" w:rsidRDefault="00CA3525" w:rsidP="00CA3525">
            <w:pPr>
              <w:spacing w:before="0" w:after="0"/>
              <w:jc w:val="center"/>
              <w:rPr>
                <w:rFonts w:cs="Calibri"/>
                <w:b/>
                <w:bCs/>
                <w:color w:val="FFFFFF"/>
                <w:szCs w:val="22"/>
                <w:lang w:eastAsia="es-CR"/>
              </w:rPr>
            </w:pPr>
            <w:r w:rsidRPr="00033E65">
              <w:rPr>
                <w:rFonts w:cs="Arial"/>
                <w:b/>
                <w:bCs/>
                <w:color w:val="FFFFFF"/>
                <w:szCs w:val="22"/>
                <w:lang w:eastAsia="es-CR"/>
              </w:rPr>
              <w:t>Juzgado Agrario</w:t>
            </w:r>
          </w:p>
        </w:tc>
        <w:tc>
          <w:tcPr>
            <w:tcW w:w="1134" w:type="dxa"/>
            <w:tcBorders>
              <w:top w:val="double" w:sz="6" w:space="0" w:color="1F497D"/>
              <w:left w:val="nil"/>
              <w:bottom w:val="double" w:sz="6" w:space="0" w:color="1F497D"/>
              <w:right w:val="double" w:sz="6" w:space="0" w:color="1F497D"/>
            </w:tcBorders>
            <w:shd w:val="clear" w:color="000000" w:fill="0673A5"/>
            <w:noWrap/>
            <w:vAlign w:val="center"/>
            <w:hideMark/>
          </w:tcPr>
          <w:p w14:paraId="617622A8" w14:textId="77777777" w:rsidR="00CA3525" w:rsidRPr="00033E65" w:rsidRDefault="00CA3525" w:rsidP="00CA3525">
            <w:pPr>
              <w:spacing w:before="0" w:after="0"/>
              <w:jc w:val="center"/>
              <w:rPr>
                <w:rFonts w:cs="Calibri"/>
                <w:b/>
                <w:bCs/>
                <w:color w:val="FFFFFF"/>
                <w:szCs w:val="22"/>
                <w:lang w:eastAsia="es-CR"/>
              </w:rPr>
            </w:pPr>
            <w:r w:rsidRPr="00033E65">
              <w:rPr>
                <w:rFonts w:cs="Arial"/>
                <w:b/>
                <w:bCs/>
                <w:color w:val="FFFFFF"/>
                <w:szCs w:val="22"/>
                <w:lang w:eastAsia="es-CR"/>
              </w:rPr>
              <w:t>1. Demanda</w:t>
            </w:r>
          </w:p>
        </w:tc>
        <w:tc>
          <w:tcPr>
            <w:tcW w:w="1560" w:type="dxa"/>
            <w:tcBorders>
              <w:top w:val="double" w:sz="6" w:space="0" w:color="1F497D"/>
              <w:left w:val="nil"/>
              <w:bottom w:val="double" w:sz="6" w:space="0" w:color="1F497D"/>
              <w:right w:val="double" w:sz="6" w:space="0" w:color="1F497D"/>
            </w:tcBorders>
            <w:shd w:val="clear" w:color="000000" w:fill="0673A5"/>
            <w:noWrap/>
            <w:vAlign w:val="center"/>
            <w:hideMark/>
          </w:tcPr>
          <w:p w14:paraId="0C1C7C39" w14:textId="77777777" w:rsidR="00CA3525" w:rsidRPr="00033E65" w:rsidRDefault="00CA3525" w:rsidP="00CA3525">
            <w:pPr>
              <w:spacing w:before="0" w:after="0"/>
              <w:jc w:val="center"/>
              <w:rPr>
                <w:rFonts w:cs="Calibri"/>
                <w:b/>
                <w:bCs/>
                <w:color w:val="FFFFFF"/>
                <w:szCs w:val="22"/>
                <w:lang w:eastAsia="es-CR"/>
              </w:rPr>
            </w:pPr>
            <w:r w:rsidRPr="00033E65">
              <w:rPr>
                <w:rFonts w:cs="Arial"/>
                <w:b/>
                <w:bCs/>
                <w:color w:val="FFFFFF"/>
                <w:szCs w:val="22"/>
                <w:lang w:eastAsia="es-CR"/>
              </w:rPr>
              <w:t>2. Demostrativa</w:t>
            </w:r>
          </w:p>
        </w:tc>
        <w:tc>
          <w:tcPr>
            <w:tcW w:w="1275" w:type="dxa"/>
            <w:tcBorders>
              <w:top w:val="double" w:sz="6" w:space="0" w:color="1F497D"/>
              <w:left w:val="nil"/>
              <w:bottom w:val="double" w:sz="6" w:space="0" w:color="1F497D"/>
              <w:right w:val="double" w:sz="6" w:space="0" w:color="1F497D"/>
            </w:tcBorders>
            <w:shd w:val="clear" w:color="000000" w:fill="0673A5"/>
            <w:noWrap/>
            <w:vAlign w:val="center"/>
            <w:hideMark/>
          </w:tcPr>
          <w:p w14:paraId="3BD64D7B" w14:textId="77777777" w:rsidR="00CA3525" w:rsidRPr="00033E65" w:rsidRDefault="00CA3525" w:rsidP="00CA3525">
            <w:pPr>
              <w:spacing w:before="0" w:after="0"/>
              <w:jc w:val="center"/>
              <w:rPr>
                <w:rFonts w:cs="Calibri"/>
                <w:b/>
                <w:bCs/>
                <w:color w:val="FFFFFF"/>
                <w:szCs w:val="22"/>
                <w:lang w:eastAsia="es-CR"/>
              </w:rPr>
            </w:pPr>
            <w:r w:rsidRPr="00033E65">
              <w:rPr>
                <w:rFonts w:cs="Arial"/>
                <w:b/>
                <w:bCs/>
                <w:color w:val="FFFFFF"/>
                <w:szCs w:val="22"/>
                <w:lang w:eastAsia="es-CR"/>
              </w:rPr>
              <w:t>3. Conclusiva</w:t>
            </w:r>
          </w:p>
        </w:tc>
        <w:tc>
          <w:tcPr>
            <w:tcW w:w="1134" w:type="dxa"/>
            <w:tcBorders>
              <w:top w:val="double" w:sz="6" w:space="0" w:color="1F497D"/>
              <w:left w:val="nil"/>
              <w:bottom w:val="double" w:sz="6" w:space="0" w:color="1F497D"/>
              <w:right w:val="double" w:sz="6" w:space="0" w:color="1F497D"/>
            </w:tcBorders>
            <w:shd w:val="clear" w:color="000000" w:fill="0673A5"/>
            <w:noWrap/>
            <w:vAlign w:val="center"/>
            <w:hideMark/>
          </w:tcPr>
          <w:p w14:paraId="2767390F" w14:textId="77777777" w:rsidR="00CA3525" w:rsidRPr="00033E65" w:rsidRDefault="00CA3525" w:rsidP="00CA3525">
            <w:pPr>
              <w:spacing w:before="0" w:after="0"/>
              <w:jc w:val="center"/>
              <w:rPr>
                <w:rFonts w:cs="Calibri"/>
                <w:b/>
                <w:bCs/>
                <w:color w:val="FFFFFF"/>
                <w:szCs w:val="22"/>
                <w:lang w:eastAsia="es-CR"/>
              </w:rPr>
            </w:pPr>
            <w:r w:rsidRPr="00033E65">
              <w:rPr>
                <w:rFonts w:cs="Arial"/>
                <w:b/>
                <w:bCs/>
                <w:color w:val="FFFFFF"/>
                <w:szCs w:val="22"/>
                <w:lang w:eastAsia="es-CR"/>
              </w:rPr>
              <w:t>4. En Ejecución</w:t>
            </w:r>
          </w:p>
        </w:tc>
        <w:tc>
          <w:tcPr>
            <w:tcW w:w="1418" w:type="dxa"/>
            <w:tcBorders>
              <w:top w:val="double" w:sz="6" w:space="0" w:color="1F497D"/>
              <w:left w:val="nil"/>
              <w:bottom w:val="double" w:sz="6" w:space="0" w:color="1F497D"/>
              <w:right w:val="double" w:sz="6" w:space="0" w:color="1F497D"/>
            </w:tcBorders>
            <w:shd w:val="clear" w:color="000000" w:fill="0673A5"/>
            <w:vAlign w:val="center"/>
            <w:hideMark/>
          </w:tcPr>
          <w:p w14:paraId="3E04B1F7" w14:textId="77777777" w:rsidR="00CA3525" w:rsidRPr="00033E65" w:rsidRDefault="00CA3525" w:rsidP="00CA3525">
            <w:pPr>
              <w:spacing w:before="0" w:after="0"/>
              <w:jc w:val="center"/>
              <w:rPr>
                <w:rFonts w:cs="Calibri"/>
                <w:b/>
                <w:bCs/>
                <w:color w:val="FFFFFF"/>
                <w:szCs w:val="22"/>
                <w:lang w:eastAsia="es-CR"/>
              </w:rPr>
            </w:pPr>
            <w:r w:rsidRPr="00033E65">
              <w:rPr>
                <w:rFonts w:cs="Arial"/>
                <w:b/>
                <w:bCs/>
                <w:color w:val="FFFFFF"/>
                <w:szCs w:val="22"/>
                <w:lang w:eastAsia="es-CR"/>
              </w:rPr>
              <w:t>Itinerado (Actualizar)</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552C2F70" w14:textId="77777777" w:rsidR="00CA3525" w:rsidRPr="00033E65" w:rsidRDefault="00CA3525" w:rsidP="00CA3525">
            <w:pPr>
              <w:spacing w:before="0" w:after="0"/>
              <w:jc w:val="center"/>
              <w:rPr>
                <w:rFonts w:cs="Calibri"/>
                <w:b/>
                <w:bCs/>
                <w:color w:val="FFFFFF"/>
                <w:szCs w:val="22"/>
                <w:lang w:eastAsia="es-CR"/>
              </w:rPr>
            </w:pPr>
            <w:r w:rsidRPr="00033E65">
              <w:rPr>
                <w:rFonts w:cs="Arial"/>
                <w:b/>
                <w:bCs/>
                <w:color w:val="FFFFFF"/>
                <w:szCs w:val="22"/>
                <w:lang w:eastAsia="es-CR"/>
              </w:rPr>
              <w:t>Total general</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1B24CC4F" w14:textId="77777777" w:rsidR="00CA3525" w:rsidRPr="00033E65" w:rsidRDefault="00CA3525" w:rsidP="00CA3525">
            <w:pPr>
              <w:spacing w:before="0" w:after="0"/>
              <w:jc w:val="center"/>
              <w:rPr>
                <w:rFonts w:cs="Calibri"/>
                <w:b/>
                <w:bCs/>
                <w:color w:val="FFFFFF"/>
                <w:szCs w:val="22"/>
                <w:lang w:eastAsia="es-CR"/>
              </w:rPr>
            </w:pPr>
            <w:r w:rsidRPr="00033E65">
              <w:rPr>
                <w:rFonts w:cs="Arial"/>
                <w:b/>
                <w:bCs/>
                <w:color w:val="FFFFFF"/>
                <w:szCs w:val="22"/>
                <w:lang w:eastAsia="es-CR"/>
              </w:rPr>
              <w:t>Porcentaje</w:t>
            </w:r>
          </w:p>
        </w:tc>
      </w:tr>
      <w:tr w:rsidR="00A51FCE" w:rsidRPr="00033E65" w14:paraId="3AE4A317" w14:textId="77777777" w:rsidTr="00CA3525">
        <w:trPr>
          <w:trHeight w:val="840"/>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46027DA2"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Agrario II Circ. Jud. Guanacaste (Santa Cruz)</w:t>
            </w:r>
          </w:p>
        </w:tc>
        <w:tc>
          <w:tcPr>
            <w:tcW w:w="1134" w:type="dxa"/>
            <w:tcBorders>
              <w:top w:val="nil"/>
              <w:left w:val="nil"/>
              <w:bottom w:val="double" w:sz="6" w:space="0" w:color="1F497D"/>
              <w:right w:val="double" w:sz="6" w:space="0" w:color="1F497D"/>
            </w:tcBorders>
            <w:shd w:val="clear" w:color="auto" w:fill="auto"/>
            <w:vAlign w:val="center"/>
            <w:hideMark/>
          </w:tcPr>
          <w:p w14:paraId="689A7CF3"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449</w:t>
            </w:r>
          </w:p>
        </w:tc>
        <w:tc>
          <w:tcPr>
            <w:tcW w:w="1560" w:type="dxa"/>
            <w:tcBorders>
              <w:top w:val="nil"/>
              <w:left w:val="nil"/>
              <w:bottom w:val="double" w:sz="6" w:space="0" w:color="1F497D"/>
              <w:right w:val="double" w:sz="6" w:space="0" w:color="1F497D"/>
            </w:tcBorders>
            <w:shd w:val="clear" w:color="auto" w:fill="auto"/>
            <w:vAlign w:val="center"/>
            <w:hideMark/>
          </w:tcPr>
          <w:p w14:paraId="09B872F6"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48</w:t>
            </w:r>
          </w:p>
        </w:tc>
        <w:tc>
          <w:tcPr>
            <w:tcW w:w="1275" w:type="dxa"/>
            <w:tcBorders>
              <w:top w:val="nil"/>
              <w:left w:val="nil"/>
              <w:bottom w:val="double" w:sz="6" w:space="0" w:color="1F497D"/>
              <w:right w:val="double" w:sz="6" w:space="0" w:color="1F497D"/>
            </w:tcBorders>
            <w:shd w:val="clear" w:color="auto" w:fill="auto"/>
            <w:vAlign w:val="center"/>
            <w:hideMark/>
          </w:tcPr>
          <w:p w14:paraId="041F0470"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36</w:t>
            </w:r>
          </w:p>
        </w:tc>
        <w:tc>
          <w:tcPr>
            <w:tcW w:w="1134" w:type="dxa"/>
            <w:tcBorders>
              <w:top w:val="nil"/>
              <w:left w:val="nil"/>
              <w:bottom w:val="double" w:sz="6" w:space="0" w:color="1F497D"/>
              <w:right w:val="double" w:sz="6" w:space="0" w:color="1F497D"/>
            </w:tcBorders>
            <w:shd w:val="clear" w:color="auto" w:fill="auto"/>
            <w:vAlign w:val="center"/>
            <w:hideMark/>
          </w:tcPr>
          <w:p w14:paraId="34F9F196"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73B5EA78"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992" w:type="dxa"/>
            <w:tcBorders>
              <w:top w:val="nil"/>
              <w:left w:val="nil"/>
              <w:bottom w:val="double" w:sz="6" w:space="0" w:color="1F497D"/>
              <w:right w:val="double" w:sz="6" w:space="0" w:color="1F497D"/>
            </w:tcBorders>
            <w:shd w:val="clear" w:color="000000" w:fill="DCE6F1"/>
            <w:noWrap/>
            <w:vAlign w:val="center"/>
            <w:hideMark/>
          </w:tcPr>
          <w:p w14:paraId="24F0FBC6"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533</w:t>
            </w:r>
          </w:p>
        </w:tc>
        <w:tc>
          <w:tcPr>
            <w:tcW w:w="1276" w:type="dxa"/>
            <w:tcBorders>
              <w:top w:val="nil"/>
              <w:left w:val="nil"/>
              <w:bottom w:val="double" w:sz="6" w:space="0" w:color="1F497D"/>
              <w:right w:val="double" w:sz="6" w:space="0" w:color="1F497D"/>
            </w:tcBorders>
            <w:shd w:val="clear" w:color="000000" w:fill="DCE6F1"/>
            <w:vAlign w:val="center"/>
            <w:hideMark/>
          </w:tcPr>
          <w:p w14:paraId="4BF7B046"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18%</w:t>
            </w:r>
          </w:p>
        </w:tc>
      </w:tr>
      <w:tr w:rsidR="00A51FCE" w:rsidRPr="00033E65" w14:paraId="160F6914" w14:textId="77777777" w:rsidTr="00CA3525">
        <w:trPr>
          <w:trHeight w:val="408"/>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3B411B1C"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Agrario de Cartago</w:t>
            </w:r>
          </w:p>
        </w:tc>
        <w:tc>
          <w:tcPr>
            <w:tcW w:w="1134" w:type="dxa"/>
            <w:tcBorders>
              <w:top w:val="nil"/>
              <w:left w:val="nil"/>
              <w:bottom w:val="double" w:sz="6" w:space="0" w:color="1F497D"/>
              <w:right w:val="double" w:sz="6" w:space="0" w:color="1F497D"/>
            </w:tcBorders>
            <w:shd w:val="clear" w:color="auto" w:fill="auto"/>
            <w:vAlign w:val="center"/>
            <w:hideMark/>
          </w:tcPr>
          <w:p w14:paraId="4BB9DF5B"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181</w:t>
            </w:r>
          </w:p>
        </w:tc>
        <w:tc>
          <w:tcPr>
            <w:tcW w:w="1560" w:type="dxa"/>
            <w:tcBorders>
              <w:top w:val="nil"/>
              <w:left w:val="nil"/>
              <w:bottom w:val="double" w:sz="6" w:space="0" w:color="1F497D"/>
              <w:right w:val="double" w:sz="6" w:space="0" w:color="1F497D"/>
            </w:tcBorders>
            <w:shd w:val="clear" w:color="auto" w:fill="auto"/>
            <w:vAlign w:val="center"/>
            <w:hideMark/>
          </w:tcPr>
          <w:p w14:paraId="34BA8C43"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15</w:t>
            </w:r>
          </w:p>
        </w:tc>
        <w:tc>
          <w:tcPr>
            <w:tcW w:w="1275" w:type="dxa"/>
            <w:tcBorders>
              <w:top w:val="nil"/>
              <w:left w:val="nil"/>
              <w:bottom w:val="double" w:sz="6" w:space="0" w:color="1F497D"/>
              <w:right w:val="double" w:sz="6" w:space="0" w:color="1F497D"/>
            </w:tcBorders>
            <w:shd w:val="clear" w:color="auto" w:fill="auto"/>
            <w:vAlign w:val="center"/>
            <w:hideMark/>
          </w:tcPr>
          <w:p w14:paraId="73A3B6E3"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19</w:t>
            </w:r>
          </w:p>
        </w:tc>
        <w:tc>
          <w:tcPr>
            <w:tcW w:w="1134" w:type="dxa"/>
            <w:tcBorders>
              <w:top w:val="nil"/>
              <w:left w:val="nil"/>
              <w:bottom w:val="double" w:sz="6" w:space="0" w:color="1F497D"/>
              <w:right w:val="double" w:sz="6" w:space="0" w:color="1F497D"/>
            </w:tcBorders>
            <w:shd w:val="clear" w:color="auto" w:fill="auto"/>
            <w:vAlign w:val="center"/>
            <w:hideMark/>
          </w:tcPr>
          <w:p w14:paraId="6AAC066B"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647F1CB2"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992" w:type="dxa"/>
            <w:tcBorders>
              <w:top w:val="nil"/>
              <w:left w:val="nil"/>
              <w:bottom w:val="double" w:sz="6" w:space="0" w:color="1F497D"/>
              <w:right w:val="double" w:sz="6" w:space="0" w:color="1F497D"/>
            </w:tcBorders>
            <w:shd w:val="clear" w:color="000000" w:fill="DCE6F1"/>
            <w:noWrap/>
            <w:vAlign w:val="center"/>
            <w:hideMark/>
          </w:tcPr>
          <w:p w14:paraId="7B7CD318"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215</w:t>
            </w:r>
          </w:p>
        </w:tc>
        <w:tc>
          <w:tcPr>
            <w:tcW w:w="1276" w:type="dxa"/>
            <w:tcBorders>
              <w:top w:val="nil"/>
              <w:left w:val="nil"/>
              <w:bottom w:val="double" w:sz="6" w:space="0" w:color="1F497D"/>
              <w:right w:val="double" w:sz="6" w:space="0" w:color="1F497D"/>
            </w:tcBorders>
            <w:shd w:val="clear" w:color="000000" w:fill="DCE6F1"/>
            <w:vAlign w:val="center"/>
            <w:hideMark/>
          </w:tcPr>
          <w:p w14:paraId="7EBB3846"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7%</w:t>
            </w:r>
          </w:p>
        </w:tc>
      </w:tr>
      <w:tr w:rsidR="00A51FCE" w:rsidRPr="00033E65" w14:paraId="655F4EC2" w14:textId="77777777" w:rsidTr="00CA3525">
        <w:trPr>
          <w:trHeight w:val="840"/>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7213A844"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Agrario I Circ. Jud. Zona Atlántica (Limón)</w:t>
            </w:r>
          </w:p>
        </w:tc>
        <w:tc>
          <w:tcPr>
            <w:tcW w:w="1134" w:type="dxa"/>
            <w:tcBorders>
              <w:top w:val="nil"/>
              <w:left w:val="nil"/>
              <w:bottom w:val="double" w:sz="6" w:space="0" w:color="1F497D"/>
              <w:right w:val="double" w:sz="6" w:space="0" w:color="1F497D"/>
            </w:tcBorders>
            <w:shd w:val="clear" w:color="auto" w:fill="auto"/>
            <w:vAlign w:val="center"/>
            <w:hideMark/>
          </w:tcPr>
          <w:p w14:paraId="772B305C"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167</w:t>
            </w:r>
          </w:p>
        </w:tc>
        <w:tc>
          <w:tcPr>
            <w:tcW w:w="1560" w:type="dxa"/>
            <w:tcBorders>
              <w:top w:val="nil"/>
              <w:left w:val="nil"/>
              <w:bottom w:val="double" w:sz="6" w:space="0" w:color="1F497D"/>
              <w:right w:val="double" w:sz="6" w:space="0" w:color="1F497D"/>
            </w:tcBorders>
            <w:shd w:val="clear" w:color="auto" w:fill="auto"/>
            <w:vAlign w:val="center"/>
            <w:hideMark/>
          </w:tcPr>
          <w:p w14:paraId="4EEB3CC5"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115</w:t>
            </w:r>
          </w:p>
        </w:tc>
        <w:tc>
          <w:tcPr>
            <w:tcW w:w="1275" w:type="dxa"/>
            <w:tcBorders>
              <w:top w:val="nil"/>
              <w:left w:val="nil"/>
              <w:bottom w:val="double" w:sz="6" w:space="0" w:color="1F497D"/>
              <w:right w:val="double" w:sz="6" w:space="0" w:color="1F497D"/>
            </w:tcBorders>
            <w:shd w:val="clear" w:color="auto" w:fill="auto"/>
            <w:vAlign w:val="center"/>
            <w:hideMark/>
          </w:tcPr>
          <w:p w14:paraId="31873B71"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14</w:t>
            </w:r>
          </w:p>
        </w:tc>
        <w:tc>
          <w:tcPr>
            <w:tcW w:w="1134" w:type="dxa"/>
            <w:tcBorders>
              <w:top w:val="nil"/>
              <w:left w:val="nil"/>
              <w:bottom w:val="double" w:sz="6" w:space="0" w:color="1F497D"/>
              <w:right w:val="double" w:sz="6" w:space="0" w:color="1F497D"/>
            </w:tcBorders>
            <w:shd w:val="clear" w:color="auto" w:fill="auto"/>
            <w:vAlign w:val="center"/>
            <w:hideMark/>
          </w:tcPr>
          <w:p w14:paraId="2C002AC7"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1D75EE22"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992" w:type="dxa"/>
            <w:tcBorders>
              <w:top w:val="nil"/>
              <w:left w:val="nil"/>
              <w:bottom w:val="double" w:sz="6" w:space="0" w:color="1F497D"/>
              <w:right w:val="double" w:sz="6" w:space="0" w:color="1F497D"/>
            </w:tcBorders>
            <w:shd w:val="clear" w:color="000000" w:fill="DCE6F1"/>
            <w:noWrap/>
            <w:vAlign w:val="center"/>
            <w:hideMark/>
          </w:tcPr>
          <w:p w14:paraId="503D6006"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296</w:t>
            </w:r>
          </w:p>
        </w:tc>
        <w:tc>
          <w:tcPr>
            <w:tcW w:w="1276" w:type="dxa"/>
            <w:tcBorders>
              <w:top w:val="nil"/>
              <w:left w:val="nil"/>
              <w:bottom w:val="double" w:sz="6" w:space="0" w:color="1F497D"/>
              <w:right w:val="double" w:sz="6" w:space="0" w:color="1F497D"/>
            </w:tcBorders>
            <w:shd w:val="clear" w:color="000000" w:fill="DCE6F1"/>
            <w:vAlign w:val="center"/>
            <w:hideMark/>
          </w:tcPr>
          <w:p w14:paraId="5D999F91"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10%</w:t>
            </w:r>
          </w:p>
        </w:tc>
      </w:tr>
      <w:tr w:rsidR="00A51FCE" w:rsidRPr="00033E65" w14:paraId="30738F10" w14:textId="77777777" w:rsidTr="00CA3525">
        <w:trPr>
          <w:trHeight w:val="501"/>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25AB6675"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Agrario I Circ. Jud. Alajuela</w:t>
            </w:r>
          </w:p>
        </w:tc>
        <w:tc>
          <w:tcPr>
            <w:tcW w:w="1134" w:type="dxa"/>
            <w:tcBorders>
              <w:top w:val="nil"/>
              <w:left w:val="nil"/>
              <w:bottom w:val="double" w:sz="6" w:space="0" w:color="1F497D"/>
              <w:right w:val="double" w:sz="6" w:space="0" w:color="1F497D"/>
            </w:tcBorders>
            <w:shd w:val="clear" w:color="auto" w:fill="auto"/>
            <w:vAlign w:val="center"/>
            <w:hideMark/>
          </w:tcPr>
          <w:p w14:paraId="3B86627B"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142</w:t>
            </w:r>
          </w:p>
        </w:tc>
        <w:tc>
          <w:tcPr>
            <w:tcW w:w="1560" w:type="dxa"/>
            <w:tcBorders>
              <w:top w:val="nil"/>
              <w:left w:val="nil"/>
              <w:bottom w:val="double" w:sz="6" w:space="0" w:color="1F497D"/>
              <w:right w:val="double" w:sz="6" w:space="0" w:color="1F497D"/>
            </w:tcBorders>
            <w:shd w:val="clear" w:color="auto" w:fill="auto"/>
            <w:vAlign w:val="center"/>
            <w:hideMark/>
          </w:tcPr>
          <w:p w14:paraId="2D7CE991"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26</w:t>
            </w:r>
          </w:p>
        </w:tc>
        <w:tc>
          <w:tcPr>
            <w:tcW w:w="1275" w:type="dxa"/>
            <w:tcBorders>
              <w:top w:val="nil"/>
              <w:left w:val="nil"/>
              <w:bottom w:val="double" w:sz="6" w:space="0" w:color="1F497D"/>
              <w:right w:val="double" w:sz="6" w:space="0" w:color="1F497D"/>
            </w:tcBorders>
            <w:shd w:val="clear" w:color="auto" w:fill="auto"/>
            <w:vAlign w:val="center"/>
            <w:hideMark/>
          </w:tcPr>
          <w:p w14:paraId="2C193432"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18</w:t>
            </w:r>
          </w:p>
        </w:tc>
        <w:tc>
          <w:tcPr>
            <w:tcW w:w="1134" w:type="dxa"/>
            <w:tcBorders>
              <w:top w:val="nil"/>
              <w:left w:val="nil"/>
              <w:bottom w:val="double" w:sz="6" w:space="0" w:color="1F497D"/>
              <w:right w:val="double" w:sz="6" w:space="0" w:color="1F497D"/>
            </w:tcBorders>
            <w:shd w:val="clear" w:color="auto" w:fill="auto"/>
            <w:vAlign w:val="center"/>
            <w:hideMark/>
          </w:tcPr>
          <w:p w14:paraId="5DF437CE"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7D0DCB46"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992" w:type="dxa"/>
            <w:tcBorders>
              <w:top w:val="nil"/>
              <w:left w:val="nil"/>
              <w:bottom w:val="double" w:sz="6" w:space="0" w:color="1F497D"/>
              <w:right w:val="double" w:sz="6" w:space="0" w:color="1F497D"/>
            </w:tcBorders>
            <w:shd w:val="clear" w:color="000000" w:fill="DCE6F1"/>
            <w:noWrap/>
            <w:vAlign w:val="center"/>
            <w:hideMark/>
          </w:tcPr>
          <w:p w14:paraId="153C3CC9"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186</w:t>
            </w:r>
          </w:p>
        </w:tc>
        <w:tc>
          <w:tcPr>
            <w:tcW w:w="1276" w:type="dxa"/>
            <w:tcBorders>
              <w:top w:val="nil"/>
              <w:left w:val="nil"/>
              <w:bottom w:val="double" w:sz="6" w:space="0" w:color="1F497D"/>
              <w:right w:val="double" w:sz="6" w:space="0" w:color="1F497D"/>
            </w:tcBorders>
            <w:shd w:val="clear" w:color="000000" w:fill="DCE6F1"/>
            <w:vAlign w:val="center"/>
            <w:hideMark/>
          </w:tcPr>
          <w:p w14:paraId="42F4A457"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6%</w:t>
            </w:r>
          </w:p>
        </w:tc>
      </w:tr>
      <w:tr w:rsidR="00A51FCE" w:rsidRPr="00033E65" w14:paraId="01ECDBC2" w14:textId="77777777" w:rsidTr="00CA3525">
        <w:trPr>
          <w:trHeight w:val="750"/>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561E050F"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Agrario de Puntarenas, Sede Jicaral</w:t>
            </w:r>
          </w:p>
        </w:tc>
        <w:tc>
          <w:tcPr>
            <w:tcW w:w="1134" w:type="dxa"/>
            <w:tcBorders>
              <w:top w:val="nil"/>
              <w:left w:val="nil"/>
              <w:bottom w:val="double" w:sz="6" w:space="0" w:color="1F497D"/>
              <w:right w:val="double" w:sz="6" w:space="0" w:color="1F497D"/>
            </w:tcBorders>
            <w:shd w:val="clear" w:color="auto" w:fill="auto"/>
            <w:vAlign w:val="center"/>
            <w:hideMark/>
          </w:tcPr>
          <w:p w14:paraId="58B4FBE5"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133</w:t>
            </w:r>
          </w:p>
        </w:tc>
        <w:tc>
          <w:tcPr>
            <w:tcW w:w="1560" w:type="dxa"/>
            <w:tcBorders>
              <w:top w:val="nil"/>
              <w:left w:val="nil"/>
              <w:bottom w:val="double" w:sz="6" w:space="0" w:color="1F497D"/>
              <w:right w:val="double" w:sz="6" w:space="0" w:color="1F497D"/>
            </w:tcBorders>
            <w:shd w:val="clear" w:color="auto" w:fill="auto"/>
            <w:vAlign w:val="center"/>
            <w:hideMark/>
          </w:tcPr>
          <w:p w14:paraId="32306C2A"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18</w:t>
            </w:r>
          </w:p>
        </w:tc>
        <w:tc>
          <w:tcPr>
            <w:tcW w:w="1275" w:type="dxa"/>
            <w:tcBorders>
              <w:top w:val="nil"/>
              <w:left w:val="nil"/>
              <w:bottom w:val="double" w:sz="6" w:space="0" w:color="1F497D"/>
              <w:right w:val="double" w:sz="6" w:space="0" w:color="1F497D"/>
            </w:tcBorders>
            <w:shd w:val="clear" w:color="auto" w:fill="auto"/>
            <w:vAlign w:val="center"/>
            <w:hideMark/>
          </w:tcPr>
          <w:p w14:paraId="06B25749"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5</w:t>
            </w:r>
          </w:p>
        </w:tc>
        <w:tc>
          <w:tcPr>
            <w:tcW w:w="1134" w:type="dxa"/>
            <w:tcBorders>
              <w:top w:val="nil"/>
              <w:left w:val="nil"/>
              <w:bottom w:val="double" w:sz="6" w:space="0" w:color="1F497D"/>
              <w:right w:val="double" w:sz="6" w:space="0" w:color="1F497D"/>
            </w:tcBorders>
            <w:shd w:val="clear" w:color="auto" w:fill="auto"/>
            <w:vAlign w:val="center"/>
            <w:hideMark/>
          </w:tcPr>
          <w:p w14:paraId="02CB3EB3"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4A310ED3"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992" w:type="dxa"/>
            <w:tcBorders>
              <w:top w:val="nil"/>
              <w:left w:val="nil"/>
              <w:bottom w:val="double" w:sz="6" w:space="0" w:color="1F497D"/>
              <w:right w:val="double" w:sz="6" w:space="0" w:color="1F497D"/>
            </w:tcBorders>
            <w:shd w:val="clear" w:color="000000" w:fill="DCE6F1"/>
            <w:noWrap/>
            <w:vAlign w:val="center"/>
            <w:hideMark/>
          </w:tcPr>
          <w:p w14:paraId="57129E87"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156</w:t>
            </w:r>
          </w:p>
        </w:tc>
        <w:tc>
          <w:tcPr>
            <w:tcW w:w="1276" w:type="dxa"/>
            <w:tcBorders>
              <w:top w:val="nil"/>
              <w:left w:val="nil"/>
              <w:bottom w:val="double" w:sz="6" w:space="0" w:color="1F497D"/>
              <w:right w:val="double" w:sz="6" w:space="0" w:color="1F497D"/>
            </w:tcBorders>
            <w:shd w:val="clear" w:color="000000" w:fill="DCE6F1"/>
            <w:vAlign w:val="center"/>
            <w:hideMark/>
          </w:tcPr>
          <w:p w14:paraId="005884C7"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5%</w:t>
            </w:r>
          </w:p>
        </w:tc>
      </w:tr>
      <w:tr w:rsidR="00A51FCE" w:rsidRPr="00033E65" w14:paraId="0A7F9726" w14:textId="77777777" w:rsidTr="00CA3525">
        <w:trPr>
          <w:trHeight w:val="840"/>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62F27BE3"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Agrario I Circ. Jud. Guanacaste (Liberia)</w:t>
            </w:r>
          </w:p>
        </w:tc>
        <w:tc>
          <w:tcPr>
            <w:tcW w:w="1134" w:type="dxa"/>
            <w:tcBorders>
              <w:top w:val="nil"/>
              <w:left w:val="nil"/>
              <w:bottom w:val="double" w:sz="6" w:space="0" w:color="1F497D"/>
              <w:right w:val="double" w:sz="6" w:space="0" w:color="1F497D"/>
            </w:tcBorders>
            <w:shd w:val="clear" w:color="auto" w:fill="auto"/>
            <w:vAlign w:val="center"/>
            <w:hideMark/>
          </w:tcPr>
          <w:p w14:paraId="0B879B2B"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127</w:t>
            </w:r>
          </w:p>
        </w:tc>
        <w:tc>
          <w:tcPr>
            <w:tcW w:w="1560" w:type="dxa"/>
            <w:tcBorders>
              <w:top w:val="nil"/>
              <w:left w:val="nil"/>
              <w:bottom w:val="double" w:sz="6" w:space="0" w:color="1F497D"/>
              <w:right w:val="double" w:sz="6" w:space="0" w:color="1F497D"/>
            </w:tcBorders>
            <w:shd w:val="clear" w:color="auto" w:fill="auto"/>
            <w:vAlign w:val="center"/>
            <w:hideMark/>
          </w:tcPr>
          <w:p w14:paraId="6C588315"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66</w:t>
            </w:r>
          </w:p>
        </w:tc>
        <w:tc>
          <w:tcPr>
            <w:tcW w:w="1275" w:type="dxa"/>
            <w:tcBorders>
              <w:top w:val="nil"/>
              <w:left w:val="nil"/>
              <w:bottom w:val="double" w:sz="6" w:space="0" w:color="1F497D"/>
              <w:right w:val="double" w:sz="6" w:space="0" w:color="1F497D"/>
            </w:tcBorders>
            <w:shd w:val="clear" w:color="auto" w:fill="auto"/>
            <w:vAlign w:val="center"/>
            <w:hideMark/>
          </w:tcPr>
          <w:p w14:paraId="1AA99AE4"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43</w:t>
            </w:r>
          </w:p>
        </w:tc>
        <w:tc>
          <w:tcPr>
            <w:tcW w:w="1134" w:type="dxa"/>
            <w:tcBorders>
              <w:top w:val="nil"/>
              <w:left w:val="nil"/>
              <w:bottom w:val="double" w:sz="6" w:space="0" w:color="1F497D"/>
              <w:right w:val="double" w:sz="6" w:space="0" w:color="1F497D"/>
            </w:tcBorders>
            <w:shd w:val="clear" w:color="auto" w:fill="auto"/>
            <w:vAlign w:val="center"/>
            <w:hideMark/>
          </w:tcPr>
          <w:p w14:paraId="77A7E3C8"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7EDA7061"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w:t>
            </w:r>
          </w:p>
        </w:tc>
        <w:tc>
          <w:tcPr>
            <w:tcW w:w="992" w:type="dxa"/>
            <w:tcBorders>
              <w:top w:val="nil"/>
              <w:left w:val="nil"/>
              <w:bottom w:val="double" w:sz="6" w:space="0" w:color="1F497D"/>
              <w:right w:val="double" w:sz="6" w:space="0" w:color="1F497D"/>
            </w:tcBorders>
            <w:shd w:val="clear" w:color="000000" w:fill="DCE6F1"/>
            <w:noWrap/>
            <w:vAlign w:val="center"/>
            <w:hideMark/>
          </w:tcPr>
          <w:p w14:paraId="1D163BD7"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237</w:t>
            </w:r>
          </w:p>
        </w:tc>
        <w:tc>
          <w:tcPr>
            <w:tcW w:w="1276" w:type="dxa"/>
            <w:tcBorders>
              <w:top w:val="nil"/>
              <w:left w:val="nil"/>
              <w:bottom w:val="double" w:sz="6" w:space="0" w:color="1F497D"/>
              <w:right w:val="double" w:sz="6" w:space="0" w:color="1F497D"/>
            </w:tcBorders>
            <w:shd w:val="clear" w:color="000000" w:fill="DCE6F1"/>
            <w:vAlign w:val="center"/>
            <w:hideMark/>
          </w:tcPr>
          <w:p w14:paraId="790271A8"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8%</w:t>
            </w:r>
          </w:p>
        </w:tc>
      </w:tr>
      <w:tr w:rsidR="00A51FCE" w:rsidRPr="00033E65" w14:paraId="0C2CA86A" w14:textId="77777777" w:rsidTr="00CA3525">
        <w:trPr>
          <w:trHeight w:val="840"/>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40701356"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Agrario II Circ. Jud. Zona Sur (Corredores)</w:t>
            </w:r>
          </w:p>
        </w:tc>
        <w:tc>
          <w:tcPr>
            <w:tcW w:w="1134" w:type="dxa"/>
            <w:tcBorders>
              <w:top w:val="nil"/>
              <w:left w:val="nil"/>
              <w:bottom w:val="double" w:sz="6" w:space="0" w:color="1F497D"/>
              <w:right w:val="double" w:sz="6" w:space="0" w:color="1F497D"/>
            </w:tcBorders>
            <w:shd w:val="clear" w:color="auto" w:fill="auto"/>
            <w:vAlign w:val="center"/>
            <w:hideMark/>
          </w:tcPr>
          <w:p w14:paraId="26A2A6C8"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118</w:t>
            </w:r>
          </w:p>
        </w:tc>
        <w:tc>
          <w:tcPr>
            <w:tcW w:w="1560" w:type="dxa"/>
            <w:tcBorders>
              <w:top w:val="nil"/>
              <w:left w:val="nil"/>
              <w:bottom w:val="double" w:sz="6" w:space="0" w:color="1F497D"/>
              <w:right w:val="double" w:sz="6" w:space="0" w:color="1F497D"/>
            </w:tcBorders>
            <w:shd w:val="clear" w:color="auto" w:fill="auto"/>
            <w:vAlign w:val="center"/>
            <w:hideMark/>
          </w:tcPr>
          <w:p w14:paraId="48E506A5"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39</w:t>
            </w:r>
          </w:p>
        </w:tc>
        <w:tc>
          <w:tcPr>
            <w:tcW w:w="1275" w:type="dxa"/>
            <w:tcBorders>
              <w:top w:val="nil"/>
              <w:left w:val="nil"/>
              <w:bottom w:val="double" w:sz="6" w:space="0" w:color="1F497D"/>
              <w:right w:val="double" w:sz="6" w:space="0" w:color="1F497D"/>
            </w:tcBorders>
            <w:shd w:val="clear" w:color="auto" w:fill="auto"/>
            <w:vAlign w:val="center"/>
            <w:hideMark/>
          </w:tcPr>
          <w:p w14:paraId="153CC66E"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14</w:t>
            </w:r>
          </w:p>
        </w:tc>
        <w:tc>
          <w:tcPr>
            <w:tcW w:w="1134" w:type="dxa"/>
            <w:tcBorders>
              <w:top w:val="nil"/>
              <w:left w:val="nil"/>
              <w:bottom w:val="double" w:sz="6" w:space="0" w:color="1F497D"/>
              <w:right w:val="double" w:sz="6" w:space="0" w:color="1F497D"/>
            </w:tcBorders>
            <w:shd w:val="clear" w:color="auto" w:fill="auto"/>
            <w:vAlign w:val="center"/>
            <w:hideMark/>
          </w:tcPr>
          <w:p w14:paraId="57951F4F"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0EDF0021"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992" w:type="dxa"/>
            <w:tcBorders>
              <w:top w:val="nil"/>
              <w:left w:val="nil"/>
              <w:bottom w:val="double" w:sz="6" w:space="0" w:color="1F497D"/>
              <w:right w:val="double" w:sz="6" w:space="0" w:color="1F497D"/>
            </w:tcBorders>
            <w:shd w:val="clear" w:color="000000" w:fill="DCE6F1"/>
            <w:noWrap/>
            <w:vAlign w:val="center"/>
            <w:hideMark/>
          </w:tcPr>
          <w:p w14:paraId="1C14B115"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171</w:t>
            </w:r>
          </w:p>
        </w:tc>
        <w:tc>
          <w:tcPr>
            <w:tcW w:w="1276" w:type="dxa"/>
            <w:tcBorders>
              <w:top w:val="nil"/>
              <w:left w:val="nil"/>
              <w:bottom w:val="double" w:sz="6" w:space="0" w:color="1F497D"/>
              <w:right w:val="double" w:sz="6" w:space="0" w:color="1F497D"/>
            </w:tcBorders>
            <w:shd w:val="clear" w:color="000000" w:fill="DCE6F1"/>
            <w:vAlign w:val="center"/>
            <w:hideMark/>
          </w:tcPr>
          <w:p w14:paraId="60DA23DB"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6%</w:t>
            </w:r>
          </w:p>
        </w:tc>
      </w:tr>
      <w:tr w:rsidR="00A51FCE" w:rsidRPr="00033E65" w14:paraId="4DC4FEE4" w14:textId="77777777" w:rsidTr="00CA3525">
        <w:trPr>
          <w:trHeight w:val="840"/>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7822FE5A"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Agrario II Circ. Jud. Zona Atlántica (Pococí)</w:t>
            </w:r>
          </w:p>
        </w:tc>
        <w:tc>
          <w:tcPr>
            <w:tcW w:w="1134" w:type="dxa"/>
            <w:tcBorders>
              <w:top w:val="nil"/>
              <w:left w:val="nil"/>
              <w:bottom w:val="double" w:sz="6" w:space="0" w:color="1F497D"/>
              <w:right w:val="double" w:sz="6" w:space="0" w:color="1F497D"/>
            </w:tcBorders>
            <w:shd w:val="clear" w:color="auto" w:fill="auto"/>
            <w:vAlign w:val="center"/>
            <w:hideMark/>
          </w:tcPr>
          <w:p w14:paraId="7184AC0B"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104</w:t>
            </w:r>
          </w:p>
        </w:tc>
        <w:tc>
          <w:tcPr>
            <w:tcW w:w="1560" w:type="dxa"/>
            <w:tcBorders>
              <w:top w:val="nil"/>
              <w:left w:val="nil"/>
              <w:bottom w:val="double" w:sz="6" w:space="0" w:color="1F497D"/>
              <w:right w:val="double" w:sz="6" w:space="0" w:color="1F497D"/>
            </w:tcBorders>
            <w:shd w:val="clear" w:color="auto" w:fill="auto"/>
            <w:vAlign w:val="center"/>
            <w:hideMark/>
          </w:tcPr>
          <w:p w14:paraId="09C90AD3"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43</w:t>
            </w:r>
          </w:p>
        </w:tc>
        <w:tc>
          <w:tcPr>
            <w:tcW w:w="1275" w:type="dxa"/>
            <w:tcBorders>
              <w:top w:val="nil"/>
              <w:left w:val="nil"/>
              <w:bottom w:val="double" w:sz="6" w:space="0" w:color="1F497D"/>
              <w:right w:val="double" w:sz="6" w:space="0" w:color="1F497D"/>
            </w:tcBorders>
            <w:shd w:val="clear" w:color="auto" w:fill="auto"/>
            <w:vAlign w:val="center"/>
            <w:hideMark/>
          </w:tcPr>
          <w:p w14:paraId="00B0F8A1"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16</w:t>
            </w:r>
          </w:p>
        </w:tc>
        <w:tc>
          <w:tcPr>
            <w:tcW w:w="1134" w:type="dxa"/>
            <w:tcBorders>
              <w:top w:val="nil"/>
              <w:left w:val="nil"/>
              <w:bottom w:val="double" w:sz="6" w:space="0" w:color="1F497D"/>
              <w:right w:val="double" w:sz="6" w:space="0" w:color="1F497D"/>
            </w:tcBorders>
            <w:shd w:val="clear" w:color="auto" w:fill="auto"/>
            <w:vAlign w:val="center"/>
            <w:hideMark/>
          </w:tcPr>
          <w:p w14:paraId="203EDFE7"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2720693A"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992" w:type="dxa"/>
            <w:tcBorders>
              <w:top w:val="nil"/>
              <w:left w:val="nil"/>
              <w:bottom w:val="double" w:sz="6" w:space="0" w:color="1F497D"/>
              <w:right w:val="double" w:sz="6" w:space="0" w:color="1F497D"/>
            </w:tcBorders>
            <w:shd w:val="clear" w:color="000000" w:fill="DCE6F1"/>
            <w:noWrap/>
            <w:vAlign w:val="center"/>
            <w:hideMark/>
          </w:tcPr>
          <w:p w14:paraId="21719FEA"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163</w:t>
            </w:r>
          </w:p>
        </w:tc>
        <w:tc>
          <w:tcPr>
            <w:tcW w:w="1276" w:type="dxa"/>
            <w:tcBorders>
              <w:top w:val="nil"/>
              <w:left w:val="nil"/>
              <w:bottom w:val="double" w:sz="6" w:space="0" w:color="1F497D"/>
              <w:right w:val="double" w:sz="6" w:space="0" w:color="1F497D"/>
            </w:tcBorders>
            <w:shd w:val="clear" w:color="000000" w:fill="DCE6F1"/>
            <w:vAlign w:val="center"/>
            <w:hideMark/>
          </w:tcPr>
          <w:p w14:paraId="1F109AEE"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5%</w:t>
            </w:r>
          </w:p>
        </w:tc>
      </w:tr>
      <w:tr w:rsidR="00A51FCE" w:rsidRPr="00033E65" w14:paraId="26529A43" w14:textId="77777777" w:rsidTr="00CA3525">
        <w:trPr>
          <w:trHeight w:val="840"/>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37B9CFDC"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Civil, Trabajo, Agrario, Familia, Penal Juvenil, Contra la Violencia Doméstica y Protección Cautelar II Circuito Judicial de Alajuela, sede Upala</w:t>
            </w:r>
          </w:p>
        </w:tc>
        <w:tc>
          <w:tcPr>
            <w:tcW w:w="1134" w:type="dxa"/>
            <w:tcBorders>
              <w:top w:val="nil"/>
              <w:left w:val="nil"/>
              <w:bottom w:val="double" w:sz="6" w:space="0" w:color="1F497D"/>
              <w:right w:val="double" w:sz="6" w:space="0" w:color="1F497D"/>
            </w:tcBorders>
            <w:shd w:val="clear" w:color="auto" w:fill="auto"/>
            <w:vAlign w:val="center"/>
            <w:hideMark/>
          </w:tcPr>
          <w:p w14:paraId="6E680DAD"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88</w:t>
            </w:r>
          </w:p>
        </w:tc>
        <w:tc>
          <w:tcPr>
            <w:tcW w:w="1560" w:type="dxa"/>
            <w:tcBorders>
              <w:top w:val="nil"/>
              <w:left w:val="nil"/>
              <w:bottom w:val="double" w:sz="6" w:space="0" w:color="1F497D"/>
              <w:right w:val="double" w:sz="6" w:space="0" w:color="1F497D"/>
            </w:tcBorders>
            <w:shd w:val="clear" w:color="auto" w:fill="auto"/>
            <w:vAlign w:val="center"/>
            <w:hideMark/>
          </w:tcPr>
          <w:p w14:paraId="28E18F20"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82</w:t>
            </w:r>
          </w:p>
        </w:tc>
        <w:tc>
          <w:tcPr>
            <w:tcW w:w="1275" w:type="dxa"/>
            <w:tcBorders>
              <w:top w:val="nil"/>
              <w:left w:val="nil"/>
              <w:bottom w:val="double" w:sz="6" w:space="0" w:color="1F497D"/>
              <w:right w:val="double" w:sz="6" w:space="0" w:color="1F497D"/>
            </w:tcBorders>
            <w:shd w:val="clear" w:color="auto" w:fill="auto"/>
            <w:vAlign w:val="center"/>
            <w:hideMark/>
          </w:tcPr>
          <w:p w14:paraId="703C7A0A"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18</w:t>
            </w:r>
          </w:p>
        </w:tc>
        <w:tc>
          <w:tcPr>
            <w:tcW w:w="1134" w:type="dxa"/>
            <w:tcBorders>
              <w:top w:val="nil"/>
              <w:left w:val="nil"/>
              <w:bottom w:val="double" w:sz="6" w:space="0" w:color="1F497D"/>
              <w:right w:val="double" w:sz="6" w:space="0" w:color="1F497D"/>
            </w:tcBorders>
            <w:shd w:val="clear" w:color="auto" w:fill="auto"/>
            <w:vAlign w:val="center"/>
            <w:hideMark/>
          </w:tcPr>
          <w:p w14:paraId="5B22D368"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62152DB2"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992" w:type="dxa"/>
            <w:tcBorders>
              <w:top w:val="nil"/>
              <w:left w:val="nil"/>
              <w:bottom w:val="double" w:sz="6" w:space="0" w:color="1F497D"/>
              <w:right w:val="double" w:sz="6" w:space="0" w:color="1F497D"/>
            </w:tcBorders>
            <w:shd w:val="clear" w:color="000000" w:fill="DCE6F1"/>
            <w:noWrap/>
            <w:vAlign w:val="center"/>
            <w:hideMark/>
          </w:tcPr>
          <w:p w14:paraId="6186FB99"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188</w:t>
            </w:r>
          </w:p>
        </w:tc>
        <w:tc>
          <w:tcPr>
            <w:tcW w:w="1276" w:type="dxa"/>
            <w:tcBorders>
              <w:top w:val="nil"/>
              <w:left w:val="nil"/>
              <w:bottom w:val="double" w:sz="6" w:space="0" w:color="1F497D"/>
              <w:right w:val="double" w:sz="6" w:space="0" w:color="1F497D"/>
            </w:tcBorders>
            <w:shd w:val="clear" w:color="000000" w:fill="DCE6F1"/>
            <w:vAlign w:val="center"/>
            <w:hideMark/>
          </w:tcPr>
          <w:p w14:paraId="126F190B"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6%</w:t>
            </w:r>
          </w:p>
        </w:tc>
      </w:tr>
      <w:tr w:rsidR="00A51FCE" w:rsidRPr="00033E65" w14:paraId="43630438" w14:textId="77777777" w:rsidTr="00CA3525">
        <w:trPr>
          <w:trHeight w:val="840"/>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3488DD28"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Agrario I Circ. Jud. Zona Sur (Pérez Zeledón)</w:t>
            </w:r>
          </w:p>
        </w:tc>
        <w:tc>
          <w:tcPr>
            <w:tcW w:w="1134" w:type="dxa"/>
            <w:tcBorders>
              <w:top w:val="nil"/>
              <w:left w:val="nil"/>
              <w:bottom w:val="double" w:sz="6" w:space="0" w:color="1F497D"/>
              <w:right w:val="double" w:sz="6" w:space="0" w:color="1F497D"/>
            </w:tcBorders>
            <w:shd w:val="clear" w:color="auto" w:fill="auto"/>
            <w:vAlign w:val="center"/>
            <w:hideMark/>
          </w:tcPr>
          <w:p w14:paraId="01992964"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87</w:t>
            </w:r>
          </w:p>
        </w:tc>
        <w:tc>
          <w:tcPr>
            <w:tcW w:w="1560" w:type="dxa"/>
            <w:tcBorders>
              <w:top w:val="nil"/>
              <w:left w:val="nil"/>
              <w:bottom w:val="double" w:sz="6" w:space="0" w:color="1F497D"/>
              <w:right w:val="double" w:sz="6" w:space="0" w:color="1F497D"/>
            </w:tcBorders>
            <w:shd w:val="clear" w:color="auto" w:fill="auto"/>
            <w:vAlign w:val="center"/>
            <w:hideMark/>
          </w:tcPr>
          <w:p w14:paraId="6BD59D58"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81</w:t>
            </w:r>
          </w:p>
        </w:tc>
        <w:tc>
          <w:tcPr>
            <w:tcW w:w="1275" w:type="dxa"/>
            <w:tcBorders>
              <w:top w:val="nil"/>
              <w:left w:val="nil"/>
              <w:bottom w:val="double" w:sz="6" w:space="0" w:color="1F497D"/>
              <w:right w:val="double" w:sz="6" w:space="0" w:color="1F497D"/>
            </w:tcBorders>
            <w:shd w:val="clear" w:color="auto" w:fill="auto"/>
            <w:vAlign w:val="center"/>
            <w:hideMark/>
          </w:tcPr>
          <w:p w14:paraId="7D0225C3"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45</w:t>
            </w:r>
          </w:p>
        </w:tc>
        <w:tc>
          <w:tcPr>
            <w:tcW w:w="1134" w:type="dxa"/>
            <w:tcBorders>
              <w:top w:val="nil"/>
              <w:left w:val="nil"/>
              <w:bottom w:val="double" w:sz="6" w:space="0" w:color="1F497D"/>
              <w:right w:val="double" w:sz="6" w:space="0" w:color="1F497D"/>
            </w:tcBorders>
            <w:shd w:val="clear" w:color="auto" w:fill="auto"/>
            <w:vAlign w:val="center"/>
            <w:hideMark/>
          </w:tcPr>
          <w:p w14:paraId="566FABB1"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151A76E7"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992" w:type="dxa"/>
            <w:tcBorders>
              <w:top w:val="nil"/>
              <w:left w:val="nil"/>
              <w:bottom w:val="double" w:sz="6" w:space="0" w:color="1F497D"/>
              <w:right w:val="double" w:sz="6" w:space="0" w:color="1F497D"/>
            </w:tcBorders>
            <w:shd w:val="clear" w:color="000000" w:fill="DCE6F1"/>
            <w:noWrap/>
            <w:vAlign w:val="center"/>
            <w:hideMark/>
          </w:tcPr>
          <w:p w14:paraId="335027FA"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213</w:t>
            </w:r>
          </w:p>
        </w:tc>
        <w:tc>
          <w:tcPr>
            <w:tcW w:w="1276" w:type="dxa"/>
            <w:tcBorders>
              <w:top w:val="nil"/>
              <w:left w:val="nil"/>
              <w:bottom w:val="double" w:sz="6" w:space="0" w:color="1F497D"/>
              <w:right w:val="double" w:sz="6" w:space="0" w:color="1F497D"/>
            </w:tcBorders>
            <w:shd w:val="clear" w:color="000000" w:fill="DCE6F1"/>
            <w:vAlign w:val="center"/>
            <w:hideMark/>
          </w:tcPr>
          <w:p w14:paraId="251A742B"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7%</w:t>
            </w:r>
          </w:p>
        </w:tc>
      </w:tr>
      <w:tr w:rsidR="00A51FCE" w:rsidRPr="00033E65" w14:paraId="69B13453" w14:textId="77777777" w:rsidTr="00CA3525">
        <w:trPr>
          <w:trHeight w:val="840"/>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01810C81"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Agrario III Circ. Jud. Alajuela (San Ramón)</w:t>
            </w:r>
          </w:p>
        </w:tc>
        <w:tc>
          <w:tcPr>
            <w:tcW w:w="1134" w:type="dxa"/>
            <w:tcBorders>
              <w:top w:val="nil"/>
              <w:left w:val="nil"/>
              <w:bottom w:val="double" w:sz="6" w:space="0" w:color="1F497D"/>
              <w:right w:val="double" w:sz="6" w:space="0" w:color="1F497D"/>
            </w:tcBorders>
            <w:shd w:val="clear" w:color="auto" w:fill="auto"/>
            <w:vAlign w:val="center"/>
            <w:hideMark/>
          </w:tcPr>
          <w:p w14:paraId="4EC959A0"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77</w:t>
            </w:r>
          </w:p>
        </w:tc>
        <w:tc>
          <w:tcPr>
            <w:tcW w:w="1560" w:type="dxa"/>
            <w:tcBorders>
              <w:top w:val="nil"/>
              <w:left w:val="nil"/>
              <w:bottom w:val="double" w:sz="6" w:space="0" w:color="1F497D"/>
              <w:right w:val="double" w:sz="6" w:space="0" w:color="1F497D"/>
            </w:tcBorders>
            <w:shd w:val="clear" w:color="auto" w:fill="auto"/>
            <w:vAlign w:val="center"/>
            <w:hideMark/>
          </w:tcPr>
          <w:p w14:paraId="1D8038C5"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29</w:t>
            </w:r>
          </w:p>
        </w:tc>
        <w:tc>
          <w:tcPr>
            <w:tcW w:w="1275" w:type="dxa"/>
            <w:tcBorders>
              <w:top w:val="nil"/>
              <w:left w:val="nil"/>
              <w:bottom w:val="double" w:sz="6" w:space="0" w:color="1F497D"/>
              <w:right w:val="double" w:sz="6" w:space="0" w:color="1F497D"/>
            </w:tcBorders>
            <w:shd w:val="clear" w:color="auto" w:fill="auto"/>
            <w:vAlign w:val="center"/>
            <w:hideMark/>
          </w:tcPr>
          <w:p w14:paraId="5B0EA8A5"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6</w:t>
            </w:r>
          </w:p>
        </w:tc>
        <w:tc>
          <w:tcPr>
            <w:tcW w:w="1134" w:type="dxa"/>
            <w:tcBorders>
              <w:top w:val="nil"/>
              <w:left w:val="nil"/>
              <w:bottom w:val="double" w:sz="6" w:space="0" w:color="1F497D"/>
              <w:right w:val="double" w:sz="6" w:space="0" w:color="1F497D"/>
            </w:tcBorders>
            <w:shd w:val="clear" w:color="auto" w:fill="auto"/>
            <w:vAlign w:val="center"/>
            <w:hideMark/>
          </w:tcPr>
          <w:p w14:paraId="5C689BEE"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3432D912"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5</w:t>
            </w:r>
          </w:p>
        </w:tc>
        <w:tc>
          <w:tcPr>
            <w:tcW w:w="992" w:type="dxa"/>
            <w:tcBorders>
              <w:top w:val="nil"/>
              <w:left w:val="nil"/>
              <w:bottom w:val="double" w:sz="6" w:space="0" w:color="1F497D"/>
              <w:right w:val="double" w:sz="6" w:space="0" w:color="1F497D"/>
            </w:tcBorders>
            <w:shd w:val="clear" w:color="000000" w:fill="DCE6F1"/>
            <w:noWrap/>
            <w:vAlign w:val="center"/>
            <w:hideMark/>
          </w:tcPr>
          <w:p w14:paraId="1DBE58B0"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117</w:t>
            </w:r>
          </w:p>
        </w:tc>
        <w:tc>
          <w:tcPr>
            <w:tcW w:w="1276" w:type="dxa"/>
            <w:tcBorders>
              <w:top w:val="nil"/>
              <w:left w:val="nil"/>
              <w:bottom w:val="double" w:sz="6" w:space="0" w:color="1F497D"/>
              <w:right w:val="double" w:sz="6" w:space="0" w:color="1F497D"/>
            </w:tcBorders>
            <w:shd w:val="clear" w:color="000000" w:fill="DCE6F1"/>
            <w:vAlign w:val="center"/>
            <w:hideMark/>
          </w:tcPr>
          <w:p w14:paraId="2A5D26EA"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4%</w:t>
            </w:r>
          </w:p>
        </w:tc>
      </w:tr>
      <w:tr w:rsidR="00A51FCE" w:rsidRPr="00033E65" w14:paraId="3FFDC607" w14:textId="77777777" w:rsidTr="00CA3525">
        <w:trPr>
          <w:trHeight w:val="840"/>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775792F9"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Agrario II Circ. Jud. Alajuela (San Carlos)</w:t>
            </w:r>
          </w:p>
        </w:tc>
        <w:tc>
          <w:tcPr>
            <w:tcW w:w="1134" w:type="dxa"/>
            <w:tcBorders>
              <w:top w:val="nil"/>
              <w:left w:val="nil"/>
              <w:bottom w:val="double" w:sz="6" w:space="0" w:color="1F497D"/>
              <w:right w:val="double" w:sz="6" w:space="0" w:color="1F497D"/>
            </w:tcBorders>
            <w:shd w:val="clear" w:color="auto" w:fill="auto"/>
            <w:vAlign w:val="center"/>
            <w:hideMark/>
          </w:tcPr>
          <w:p w14:paraId="75AE3F15"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65</w:t>
            </w:r>
          </w:p>
        </w:tc>
        <w:tc>
          <w:tcPr>
            <w:tcW w:w="1560" w:type="dxa"/>
            <w:tcBorders>
              <w:top w:val="nil"/>
              <w:left w:val="nil"/>
              <w:bottom w:val="double" w:sz="6" w:space="0" w:color="1F497D"/>
              <w:right w:val="double" w:sz="6" w:space="0" w:color="1F497D"/>
            </w:tcBorders>
            <w:shd w:val="clear" w:color="auto" w:fill="auto"/>
            <w:vAlign w:val="center"/>
            <w:hideMark/>
          </w:tcPr>
          <w:p w14:paraId="38B706BC"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65</w:t>
            </w:r>
          </w:p>
        </w:tc>
        <w:tc>
          <w:tcPr>
            <w:tcW w:w="1275" w:type="dxa"/>
            <w:tcBorders>
              <w:top w:val="nil"/>
              <w:left w:val="nil"/>
              <w:bottom w:val="double" w:sz="6" w:space="0" w:color="1F497D"/>
              <w:right w:val="double" w:sz="6" w:space="0" w:color="1F497D"/>
            </w:tcBorders>
            <w:shd w:val="clear" w:color="auto" w:fill="auto"/>
            <w:vAlign w:val="center"/>
            <w:hideMark/>
          </w:tcPr>
          <w:p w14:paraId="608A28BF"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22</w:t>
            </w:r>
          </w:p>
        </w:tc>
        <w:tc>
          <w:tcPr>
            <w:tcW w:w="1134" w:type="dxa"/>
            <w:tcBorders>
              <w:top w:val="nil"/>
              <w:left w:val="nil"/>
              <w:bottom w:val="double" w:sz="6" w:space="0" w:color="1F497D"/>
              <w:right w:val="double" w:sz="6" w:space="0" w:color="1F497D"/>
            </w:tcBorders>
            <w:shd w:val="clear" w:color="auto" w:fill="auto"/>
            <w:vAlign w:val="center"/>
            <w:hideMark/>
          </w:tcPr>
          <w:p w14:paraId="2F4A080C"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462373F9"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2</w:t>
            </w:r>
          </w:p>
        </w:tc>
        <w:tc>
          <w:tcPr>
            <w:tcW w:w="992" w:type="dxa"/>
            <w:tcBorders>
              <w:top w:val="nil"/>
              <w:left w:val="nil"/>
              <w:bottom w:val="double" w:sz="6" w:space="0" w:color="1F497D"/>
              <w:right w:val="double" w:sz="6" w:space="0" w:color="1F497D"/>
            </w:tcBorders>
            <w:shd w:val="clear" w:color="000000" w:fill="DCE6F1"/>
            <w:noWrap/>
            <w:vAlign w:val="center"/>
            <w:hideMark/>
          </w:tcPr>
          <w:p w14:paraId="5924F976"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154</w:t>
            </w:r>
          </w:p>
        </w:tc>
        <w:tc>
          <w:tcPr>
            <w:tcW w:w="1276" w:type="dxa"/>
            <w:tcBorders>
              <w:top w:val="nil"/>
              <w:left w:val="nil"/>
              <w:bottom w:val="double" w:sz="6" w:space="0" w:color="1F497D"/>
              <w:right w:val="double" w:sz="6" w:space="0" w:color="1F497D"/>
            </w:tcBorders>
            <w:shd w:val="clear" w:color="000000" w:fill="DCE6F1"/>
            <w:vAlign w:val="center"/>
            <w:hideMark/>
          </w:tcPr>
          <w:p w14:paraId="7A83142E"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5%</w:t>
            </w:r>
          </w:p>
        </w:tc>
      </w:tr>
      <w:tr w:rsidR="00A51FCE" w:rsidRPr="00033E65" w14:paraId="498613E4" w14:textId="77777777" w:rsidTr="00CA3525">
        <w:trPr>
          <w:trHeight w:val="495"/>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498B7856"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Agrario II Circ. Jud. San José</w:t>
            </w:r>
          </w:p>
        </w:tc>
        <w:tc>
          <w:tcPr>
            <w:tcW w:w="1134" w:type="dxa"/>
            <w:tcBorders>
              <w:top w:val="nil"/>
              <w:left w:val="nil"/>
              <w:bottom w:val="double" w:sz="6" w:space="0" w:color="1F497D"/>
              <w:right w:val="double" w:sz="6" w:space="0" w:color="1F497D"/>
            </w:tcBorders>
            <w:shd w:val="clear" w:color="auto" w:fill="auto"/>
            <w:vAlign w:val="center"/>
            <w:hideMark/>
          </w:tcPr>
          <w:p w14:paraId="069454B6"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41</w:t>
            </w:r>
          </w:p>
        </w:tc>
        <w:tc>
          <w:tcPr>
            <w:tcW w:w="1560" w:type="dxa"/>
            <w:tcBorders>
              <w:top w:val="nil"/>
              <w:left w:val="nil"/>
              <w:bottom w:val="double" w:sz="6" w:space="0" w:color="1F497D"/>
              <w:right w:val="double" w:sz="6" w:space="0" w:color="1F497D"/>
            </w:tcBorders>
            <w:shd w:val="clear" w:color="auto" w:fill="auto"/>
            <w:vAlign w:val="center"/>
            <w:hideMark/>
          </w:tcPr>
          <w:p w14:paraId="038278F4"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32</w:t>
            </w:r>
          </w:p>
        </w:tc>
        <w:tc>
          <w:tcPr>
            <w:tcW w:w="1275" w:type="dxa"/>
            <w:tcBorders>
              <w:top w:val="nil"/>
              <w:left w:val="nil"/>
              <w:bottom w:val="double" w:sz="6" w:space="0" w:color="1F497D"/>
              <w:right w:val="double" w:sz="6" w:space="0" w:color="1F497D"/>
            </w:tcBorders>
            <w:shd w:val="clear" w:color="auto" w:fill="auto"/>
            <w:vAlign w:val="center"/>
            <w:hideMark/>
          </w:tcPr>
          <w:p w14:paraId="3F66C9E9"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19</w:t>
            </w:r>
          </w:p>
        </w:tc>
        <w:tc>
          <w:tcPr>
            <w:tcW w:w="1134" w:type="dxa"/>
            <w:tcBorders>
              <w:top w:val="nil"/>
              <w:left w:val="nil"/>
              <w:bottom w:val="double" w:sz="6" w:space="0" w:color="1F497D"/>
              <w:right w:val="double" w:sz="6" w:space="0" w:color="1F497D"/>
            </w:tcBorders>
            <w:shd w:val="clear" w:color="auto" w:fill="auto"/>
            <w:vAlign w:val="center"/>
            <w:hideMark/>
          </w:tcPr>
          <w:p w14:paraId="655CBBFF"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31A50300"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992" w:type="dxa"/>
            <w:tcBorders>
              <w:top w:val="nil"/>
              <w:left w:val="nil"/>
              <w:bottom w:val="double" w:sz="6" w:space="0" w:color="1F497D"/>
              <w:right w:val="double" w:sz="6" w:space="0" w:color="1F497D"/>
            </w:tcBorders>
            <w:shd w:val="clear" w:color="000000" w:fill="DCE6F1"/>
            <w:noWrap/>
            <w:vAlign w:val="center"/>
            <w:hideMark/>
          </w:tcPr>
          <w:p w14:paraId="2270D6EA"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92</w:t>
            </w:r>
          </w:p>
        </w:tc>
        <w:tc>
          <w:tcPr>
            <w:tcW w:w="1276" w:type="dxa"/>
            <w:tcBorders>
              <w:top w:val="nil"/>
              <w:left w:val="nil"/>
              <w:bottom w:val="double" w:sz="6" w:space="0" w:color="1F497D"/>
              <w:right w:val="double" w:sz="6" w:space="0" w:color="1F497D"/>
            </w:tcBorders>
            <w:shd w:val="clear" w:color="000000" w:fill="DCE6F1"/>
            <w:vAlign w:val="center"/>
            <w:hideMark/>
          </w:tcPr>
          <w:p w14:paraId="5DF1A686"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3%</w:t>
            </w:r>
          </w:p>
        </w:tc>
      </w:tr>
      <w:tr w:rsidR="00A51FCE" w:rsidRPr="00033E65" w14:paraId="366DE3B3" w14:textId="77777777" w:rsidTr="00CA3525">
        <w:trPr>
          <w:trHeight w:val="840"/>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5E9A81A4"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Civil, Trabajo, Familia, Agrario, Penal Juvenil, Contra la Violencia Doméstica y Protección Cautelar Buenos Aires</w:t>
            </w:r>
          </w:p>
        </w:tc>
        <w:tc>
          <w:tcPr>
            <w:tcW w:w="1134" w:type="dxa"/>
            <w:tcBorders>
              <w:top w:val="nil"/>
              <w:left w:val="nil"/>
              <w:bottom w:val="double" w:sz="6" w:space="0" w:color="1F497D"/>
              <w:right w:val="double" w:sz="6" w:space="0" w:color="1F497D"/>
            </w:tcBorders>
            <w:shd w:val="clear" w:color="auto" w:fill="auto"/>
            <w:vAlign w:val="center"/>
            <w:hideMark/>
          </w:tcPr>
          <w:p w14:paraId="686C598D"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32</w:t>
            </w:r>
          </w:p>
        </w:tc>
        <w:tc>
          <w:tcPr>
            <w:tcW w:w="1560" w:type="dxa"/>
            <w:tcBorders>
              <w:top w:val="nil"/>
              <w:left w:val="nil"/>
              <w:bottom w:val="double" w:sz="6" w:space="0" w:color="1F497D"/>
              <w:right w:val="double" w:sz="6" w:space="0" w:color="1F497D"/>
            </w:tcBorders>
            <w:shd w:val="clear" w:color="auto" w:fill="auto"/>
            <w:vAlign w:val="center"/>
            <w:hideMark/>
          </w:tcPr>
          <w:p w14:paraId="1FB4626C"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33</w:t>
            </w:r>
          </w:p>
        </w:tc>
        <w:tc>
          <w:tcPr>
            <w:tcW w:w="1275" w:type="dxa"/>
            <w:tcBorders>
              <w:top w:val="nil"/>
              <w:left w:val="nil"/>
              <w:bottom w:val="double" w:sz="6" w:space="0" w:color="1F497D"/>
              <w:right w:val="double" w:sz="6" w:space="0" w:color="1F497D"/>
            </w:tcBorders>
            <w:shd w:val="clear" w:color="auto" w:fill="auto"/>
            <w:vAlign w:val="center"/>
            <w:hideMark/>
          </w:tcPr>
          <w:p w14:paraId="663087CC"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12</w:t>
            </w:r>
          </w:p>
        </w:tc>
        <w:tc>
          <w:tcPr>
            <w:tcW w:w="1134" w:type="dxa"/>
            <w:tcBorders>
              <w:top w:val="nil"/>
              <w:left w:val="nil"/>
              <w:bottom w:val="double" w:sz="6" w:space="0" w:color="1F497D"/>
              <w:right w:val="double" w:sz="6" w:space="0" w:color="1F497D"/>
            </w:tcBorders>
            <w:shd w:val="clear" w:color="auto" w:fill="auto"/>
            <w:vAlign w:val="center"/>
            <w:hideMark/>
          </w:tcPr>
          <w:p w14:paraId="6ED690A5"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38780D97"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992" w:type="dxa"/>
            <w:tcBorders>
              <w:top w:val="nil"/>
              <w:left w:val="nil"/>
              <w:bottom w:val="double" w:sz="6" w:space="0" w:color="1F497D"/>
              <w:right w:val="double" w:sz="6" w:space="0" w:color="1F497D"/>
            </w:tcBorders>
            <w:shd w:val="clear" w:color="000000" w:fill="DCE6F1"/>
            <w:noWrap/>
            <w:vAlign w:val="center"/>
            <w:hideMark/>
          </w:tcPr>
          <w:p w14:paraId="70AE393D"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77</w:t>
            </w:r>
          </w:p>
        </w:tc>
        <w:tc>
          <w:tcPr>
            <w:tcW w:w="1276" w:type="dxa"/>
            <w:tcBorders>
              <w:top w:val="nil"/>
              <w:left w:val="nil"/>
              <w:bottom w:val="double" w:sz="6" w:space="0" w:color="1F497D"/>
              <w:right w:val="double" w:sz="6" w:space="0" w:color="1F497D"/>
            </w:tcBorders>
            <w:shd w:val="clear" w:color="000000" w:fill="DCE6F1"/>
            <w:vAlign w:val="center"/>
            <w:hideMark/>
          </w:tcPr>
          <w:p w14:paraId="66D6BBC4"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3%</w:t>
            </w:r>
          </w:p>
        </w:tc>
      </w:tr>
      <w:tr w:rsidR="00A51FCE" w:rsidRPr="00033E65" w14:paraId="61F51D44" w14:textId="77777777" w:rsidTr="00CA3525">
        <w:trPr>
          <w:trHeight w:val="485"/>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09BC7D16"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Civil, Trabajo y Agrario Turrialba</w:t>
            </w:r>
          </w:p>
        </w:tc>
        <w:tc>
          <w:tcPr>
            <w:tcW w:w="1134" w:type="dxa"/>
            <w:tcBorders>
              <w:top w:val="nil"/>
              <w:left w:val="nil"/>
              <w:bottom w:val="double" w:sz="6" w:space="0" w:color="1F497D"/>
              <w:right w:val="double" w:sz="6" w:space="0" w:color="1F497D"/>
            </w:tcBorders>
            <w:shd w:val="clear" w:color="auto" w:fill="auto"/>
            <w:vAlign w:val="center"/>
            <w:hideMark/>
          </w:tcPr>
          <w:p w14:paraId="1F176253"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17</w:t>
            </w:r>
          </w:p>
        </w:tc>
        <w:tc>
          <w:tcPr>
            <w:tcW w:w="1560" w:type="dxa"/>
            <w:tcBorders>
              <w:top w:val="nil"/>
              <w:left w:val="nil"/>
              <w:bottom w:val="double" w:sz="6" w:space="0" w:color="1F497D"/>
              <w:right w:val="double" w:sz="6" w:space="0" w:color="1F497D"/>
            </w:tcBorders>
            <w:shd w:val="clear" w:color="auto" w:fill="auto"/>
            <w:vAlign w:val="center"/>
            <w:hideMark/>
          </w:tcPr>
          <w:p w14:paraId="5F23DFDE"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15</w:t>
            </w:r>
          </w:p>
        </w:tc>
        <w:tc>
          <w:tcPr>
            <w:tcW w:w="1275" w:type="dxa"/>
            <w:tcBorders>
              <w:top w:val="nil"/>
              <w:left w:val="nil"/>
              <w:bottom w:val="double" w:sz="6" w:space="0" w:color="1F497D"/>
              <w:right w:val="double" w:sz="6" w:space="0" w:color="1F497D"/>
            </w:tcBorders>
            <w:shd w:val="clear" w:color="auto" w:fill="auto"/>
            <w:vAlign w:val="center"/>
            <w:hideMark/>
          </w:tcPr>
          <w:p w14:paraId="7E50400E"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9</w:t>
            </w:r>
          </w:p>
        </w:tc>
        <w:tc>
          <w:tcPr>
            <w:tcW w:w="1134" w:type="dxa"/>
            <w:tcBorders>
              <w:top w:val="nil"/>
              <w:left w:val="nil"/>
              <w:bottom w:val="double" w:sz="6" w:space="0" w:color="1F497D"/>
              <w:right w:val="double" w:sz="6" w:space="0" w:color="1F497D"/>
            </w:tcBorders>
            <w:shd w:val="clear" w:color="auto" w:fill="auto"/>
            <w:vAlign w:val="center"/>
            <w:hideMark/>
          </w:tcPr>
          <w:p w14:paraId="67B65551"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1418" w:type="dxa"/>
            <w:tcBorders>
              <w:top w:val="nil"/>
              <w:left w:val="nil"/>
              <w:bottom w:val="double" w:sz="6" w:space="0" w:color="1F497D"/>
              <w:right w:val="double" w:sz="6" w:space="0" w:color="1F497D"/>
            </w:tcBorders>
            <w:shd w:val="clear" w:color="auto" w:fill="auto"/>
            <w:vAlign w:val="center"/>
            <w:hideMark/>
          </w:tcPr>
          <w:p w14:paraId="58F3E48F"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992" w:type="dxa"/>
            <w:tcBorders>
              <w:top w:val="nil"/>
              <w:left w:val="nil"/>
              <w:bottom w:val="double" w:sz="6" w:space="0" w:color="1F497D"/>
              <w:right w:val="double" w:sz="6" w:space="0" w:color="1F497D"/>
            </w:tcBorders>
            <w:shd w:val="clear" w:color="000000" w:fill="DCE6F1"/>
            <w:noWrap/>
            <w:vAlign w:val="center"/>
            <w:hideMark/>
          </w:tcPr>
          <w:p w14:paraId="1F941D84"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41</w:t>
            </w:r>
          </w:p>
        </w:tc>
        <w:tc>
          <w:tcPr>
            <w:tcW w:w="1276" w:type="dxa"/>
            <w:tcBorders>
              <w:top w:val="nil"/>
              <w:left w:val="nil"/>
              <w:bottom w:val="double" w:sz="6" w:space="0" w:color="1F497D"/>
              <w:right w:val="double" w:sz="6" w:space="0" w:color="1F497D"/>
            </w:tcBorders>
            <w:shd w:val="clear" w:color="000000" w:fill="DCE6F1"/>
            <w:vAlign w:val="center"/>
            <w:hideMark/>
          </w:tcPr>
          <w:p w14:paraId="103D0315"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w:t>
            </w:r>
          </w:p>
        </w:tc>
      </w:tr>
      <w:tr w:rsidR="00A51FCE" w:rsidRPr="00033E65" w14:paraId="04E6F996" w14:textId="77777777" w:rsidTr="00CA3525">
        <w:trPr>
          <w:trHeight w:val="465"/>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14:paraId="5520CB35"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Juzgado Agrario de Puntarenas</w:t>
            </w:r>
          </w:p>
        </w:tc>
        <w:tc>
          <w:tcPr>
            <w:tcW w:w="1134" w:type="dxa"/>
            <w:tcBorders>
              <w:top w:val="nil"/>
              <w:left w:val="nil"/>
              <w:bottom w:val="double" w:sz="6" w:space="0" w:color="1F497D"/>
              <w:right w:val="double" w:sz="6" w:space="0" w:color="1F497D"/>
            </w:tcBorders>
            <w:shd w:val="clear" w:color="auto" w:fill="auto"/>
            <w:vAlign w:val="center"/>
            <w:hideMark/>
          </w:tcPr>
          <w:p w14:paraId="66209E19"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6</w:t>
            </w:r>
          </w:p>
        </w:tc>
        <w:tc>
          <w:tcPr>
            <w:tcW w:w="1560" w:type="dxa"/>
            <w:tcBorders>
              <w:top w:val="nil"/>
              <w:left w:val="nil"/>
              <w:bottom w:val="double" w:sz="6" w:space="0" w:color="1F497D"/>
              <w:right w:val="double" w:sz="6" w:space="0" w:color="1F497D"/>
            </w:tcBorders>
            <w:shd w:val="clear" w:color="auto" w:fill="auto"/>
            <w:vAlign w:val="center"/>
            <w:hideMark/>
          </w:tcPr>
          <w:p w14:paraId="0C5E09DD"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163</w:t>
            </w:r>
          </w:p>
        </w:tc>
        <w:tc>
          <w:tcPr>
            <w:tcW w:w="1275" w:type="dxa"/>
            <w:tcBorders>
              <w:top w:val="nil"/>
              <w:left w:val="nil"/>
              <w:bottom w:val="double" w:sz="6" w:space="0" w:color="1F497D"/>
              <w:right w:val="double" w:sz="6" w:space="0" w:color="1F497D"/>
            </w:tcBorders>
            <w:shd w:val="clear" w:color="auto" w:fill="auto"/>
            <w:vAlign w:val="center"/>
            <w:hideMark/>
          </w:tcPr>
          <w:p w14:paraId="0EAD2287"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14</w:t>
            </w:r>
          </w:p>
        </w:tc>
        <w:tc>
          <w:tcPr>
            <w:tcW w:w="1134" w:type="dxa"/>
            <w:tcBorders>
              <w:top w:val="nil"/>
              <w:left w:val="nil"/>
              <w:bottom w:val="double" w:sz="6" w:space="0" w:color="1F497D"/>
              <w:right w:val="double" w:sz="6" w:space="0" w:color="1F497D"/>
            </w:tcBorders>
            <w:shd w:val="clear" w:color="auto" w:fill="auto"/>
            <w:vAlign w:val="center"/>
            <w:hideMark/>
          </w:tcPr>
          <w:p w14:paraId="23125436"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w:t>
            </w:r>
          </w:p>
        </w:tc>
        <w:tc>
          <w:tcPr>
            <w:tcW w:w="1418" w:type="dxa"/>
            <w:tcBorders>
              <w:top w:val="nil"/>
              <w:left w:val="nil"/>
              <w:bottom w:val="double" w:sz="6" w:space="0" w:color="1F497D"/>
              <w:right w:val="double" w:sz="6" w:space="0" w:color="1F497D"/>
            </w:tcBorders>
            <w:shd w:val="clear" w:color="auto" w:fill="auto"/>
            <w:vAlign w:val="center"/>
            <w:hideMark/>
          </w:tcPr>
          <w:p w14:paraId="113553D1"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0</w:t>
            </w:r>
          </w:p>
        </w:tc>
        <w:tc>
          <w:tcPr>
            <w:tcW w:w="992" w:type="dxa"/>
            <w:tcBorders>
              <w:top w:val="nil"/>
              <w:left w:val="nil"/>
              <w:bottom w:val="double" w:sz="6" w:space="0" w:color="1F497D"/>
              <w:right w:val="double" w:sz="6" w:space="0" w:color="1F497D"/>
            </w:tcBorders>
            <w:shd w:val="clear" w:color="000000" w:fill="DCE6F1"/>
            <w:noWrap/>
            <w:vAlign w:val="center"/>
            <w:hideMark/>
          </w:tcPr>
          <w:p w14:paraId="45DD353E"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184</w:t>
            </w:r>
          </w:p>
        </w:tc>
        <w:tc>
          <w:tcPr>
            <w:tcW w:w="1276" w:type="dxa"/>
            <w:tcBorders>
              <w:top w:val="nil"/>
              <w:left w:val="nil"/>
              <w:bottom w:val="double" w:sz="6" w:space="0" w:color="1F497D"/>
              <w:right w:val="double" w:sz="6" w:space="0" w:color="1F497D"/>
            </w:tcBorders>
            <w:shd w:val="clear" w:color="000000" w:fill="DCE6F1"/>
            <w:vAlign w:val="center"/>
            <w:hideMark/>
          </w:tcPr>
          <w:p w14:paraId="52506DD4"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6%</w:t>
            </w:r>
          </w:p>
        </w:tc>
      </w:tr>
      <w:tr w:rsidR="00AF3382" w:rsidRPr="00033E65" w14:paraId="3DF0DD99" w14:textId="77777777" w:rsidTr="00CA3525">
        <w:trPr>
          <w:trHeight w:val="394"/>
        </w:trPr>
        <w:tc>
          <w:tcPr>
            <w:tcW w:w="2410" w:type="dxa"/>
            <w:tcBorders>
              <w:top w:val="nil"/>
              <w:left w:val="double" w:sz="6" w:space="0" w:color="0673A5"/>
              <w:bottom w:val="nil"/>
              <w:right w:val="double" w:sz="6" w:space="0" w:color="0673A5"/>
            </w:tcBorders>
            <w:shd w:val="clear" w:color="000000" w:fill="DCE6F1"/>
            <w:vAlign w:val="center"/>
            <w:hideMark/>
          </w:tcPr>
          <w:p w14:paraId="70418989"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Total general</w:t>
            </w:r>
          </w:p>
        </w:tc>
        <w:tc>
          <w:tcPr>
            <w:tcW w:w="1134" w:type="dxa"/>
            <w:tcBorders>
              <w:top w:val="nil"/>
              <w:left w:val="nil"/>
              <w:bottom w:val="nil"/>
              <w:right w:val="double" w:sz="6" w:space="0" w:color="0673A5"/>
            </w:tcBorders>
            <w:shd w:val="clear" w:color="000000" w:fill="DCE6F1"/>
            <w:noWrap/>
            <w:vAlign w:val="center"/>
            <w:hideMark/>
          </w:tcPr>
          <w:p w14:paraId="1D46457B"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1834</w:t>
            </w:r>
          </w:p>
        </w:tc>
        <w:tc>
          <w:tcPr>
            <w:tcW w:w="1560" w:type="dxa"/>
            <w:tcBorders>
              <w:top w:val="nil"/>
              <w:left w:val="nil"/>
              <w:bottom w:val="nil"/>
              <w:right w:val="double" w:sz="6" w:space="0" w:color="0673A5"/>
            </w:tcBorders>
            <w:shd w:val="clear" w:color="000000" w:fill="DCE6F1"/>
            <w:noWrap/>
            <w:vAlign w:val="center"/>
            <w:hideMark/>
          </w:tcPr>
          <w:p w14:paraId="2BE44B23"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870</w:t>
            </w:r>
          </w:p>
        </w:tc>
        <w:tc>
          <w:tcPr>
            <w:tcW w:w="1275" w:type="dxa"/>
            <w:tcBorders>
              <w:top w:val="nil"/>
              <w:left w:val="nil"/>
              <w:bottom w:val="nil"/>
              <w:right w:val="double" w:sz="6" w:space="0" w:color="0673A5"/>
            </w:tcBorders>
            <w:shd w:val="clear" w:color="000000" w:fill="DCE6F1"/>
            <w:noWrap/>
            <w:vAlign w:val="center"/>
            <w:hideMark/>
          </w:tcPr>
          <w:p w14:paraId="7023542E"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310</w:t>
            </w:r>
          </w:p>
        </w:tc>
        <w:tc>
          <w:tcPr>
            <w:tcW w:w="1134" w:type="dxa"/>
            <w:tcBorders>
              <w:top w:val="nil"/>
              <w:left w:val="nil"/>
              <w:bottom w:val="nil"/>
              <w:right w:val="double" w:sz="6" w:space="0" w:color="0673A5"/>
            </w:tcBorders>
            <w:shd w:val="clear" w:color="000000" w:fill="DCE6F1"/>
            <w:noWrap/>
            <w:vAlign w:val="center"/>
            <w:hideMark/>
          </w:tcPr>
          <w:p w14:paraId="16615A15"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1</w:t>
            </w:r>
          </w:p>
        </w:tc>
        <w:tc>
          <w:tcPr>
            <w:tcW w:w="1418" w:type="dxa"/>
            <w:tcBorders>
              <w:top w:val="nil"/>
              <w:left w:val="nil"/>
              <w:bottom w:val="nil"/>
              <w:right w:val="double" w:sz="6" w:space="0" w:color="0673A5"/>
            </w:tcBorders>
            <w:shd w:val="clear" w:color="000000" w:fill="DCE6F1"/>
            <w:noWrap/>
            <w:vAlign w:val="center"/>
            <w:hideMark/>
          </w:tcPr>
          <w:p w14:paraId="2FC9845D"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8</w:t>
            </w:r>
          </w:p>
        </w:tc>
        <w:tc>
          <w:tcPr>
            <w:tcW w:w="992" w:type="dxa"/>
            <w:tcBorders>
              <w:top w:val="nil"/>
              <w:left w:val="nil"/>
              <w:bottom w:val="double" w:sz="6" w:space="0" w:color="1F497D"/>
              <w:right w:val="double" w:sz="6" w:space="0" w:color="1F497D"/>
            </w:tcBorders>
            <w:shd w:val="clear" w:color="000000" w:fill="DCE6F1"/>
            <w:noWrap/>
            <w:vAlign w:val="center"/>
            <w:hideMark/>
          </w:tcPr>
          <w:p w14:paraId="60E7A81E"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3023</w:t>
            </w:r>
          </w:p>
        </w:tc>
        <w:tc>
          <w:tcPr>
            <w:tcW w:w="1276" w:type="dxa"/>
            <w:tcBorders>
              <w:top w:val="nil"/>
              <w:left w:val="nil"/>
              <w:bottom w:val="double" w:sz="6" w:space="0" w:color="1F497D"/>
              <w:right w:val="double" w:sz="6" w:space="0" w:color="1F497D"/>
            </w:tcBorders>
            <w:shd w:val="clear" w:color="000000" w:fill="DCE6F1"/>
            <w:vAlign w:val="center"/>
            <w:hideMark/>
          </w:tcPr>
          <w:p w14:paraId="322979EA" w14:textId="77777777" w:rsidR="00CA3525" w:rsidRPr="00033E65" w:rsidRDefault="00CA3525" w:rsidP="00CA3525">
            <w:pPr>
              <w:spacing w:before="0" w:after="0"/>
              <w:jc w:val="center"/>
              <w:rPr>
                <w:rFonts w:cs="Calibri"/>
                <w:color w:val="000000"/>
                <w:szCs w:val="22"/>
                <w:lang w:eastAsia="es-CR"/>
              </w:rPr>
            </w:pPr>
            <w:r w:rsidRPr="00033E65">
              <w:rPr>
                <w:rFonts w:cs="Arial"/>
                <w:color w:val="000000"/>
                <w:szCs w:val="22"/>
                <w:lang w:eastAsia="es-CR"/>
              </w:rPr>
              <w:t>100%</w:t>
            </w:r>
          </w:p>
        </w:tc>
      </w:tr>
      <w:tr w:rsidR="00AF3382" w:rsidRPr="00033E65" w14:paraId="001BDE59" w14:textId="77777777" w:rsidTr="00CA3525">
        <w:trPr>
          <w:trHeight w:val="387"/>
        </w:trPr>
        <w:tc>
          <w:tcPr>
            <w:tcW w:w="2410" w:type="dxa"/>
            <w:tcBorders>
              <w:top w:val="double" w:sz="6" w:space="0" w:color="1F497D"/>
              <w:left w:val="double" w:sz="6" w:space="0" w:color="1F497D"/>
              <w:bottom w:val="double" w:sz="6" w:space="0" w:color="1F497D"/>
              <w:right w:val="double" w:sz="6" w:space="0" w:color="1F497D"/>
            </w:tcBorders>
            <w:shd w:val="clear" w:color="000000" w:fill="DAEEF3"/>
            <w:vAlign w:val="center"/>
            <w:hideMark/>
          </w:tcPr>
          <w:p w14:paraId="5F2B0588"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Porcentaje</w:t>
            </w:r>
          </w:p>
        </w:tc>
        <w:tc>
          <w:tcPr>
            <w:tcW w:w="1134" w:type="dxa"/>
            <w:tcBorders>
              <w:top w:val="double" w:sz="6" w:space="0" w:color="1F497D"/>
              <w:left w:val="nil"/>
              <w:bottom w:val="double" w:sz="6" w:space="0" w:color="1F497D"/>
              <w:right w:val="double" w:sz="6" w:space="0" w:color="1F497D"/>
            </w:tcBorders>
            <w:shd w:val="clear" w:color="000000" w:fill="DAEEF3"/>
            <w:noWrap/>
            <w:vAlign w:val="center"/>
            <w:hideMark/>
          </w:tcPr>
          <w:p w14:paraId="10800B80"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60,67%</w:t>
            </w:r>
          </w:p>
        </w:tc>
        <w:tc>
          <w:tcPr>
            <w:tcW w:w="1560" w:type="dxa"/>
            <w:tcBorders>
              <w:top w:val="double" w:sz="6" w:space="0" w:color="1F497D"/>
              <w:left w:val="nil"/>
              <w:bottom w:val="double" w:sz="6" w:space="0" w:color="1F497D"/>
              <w:right w:val="double" w:sz="6" w:space="0" w:color="1F497D"/>
            </w:tcBorders>
            <w:shd w:val="clear" w:color="000000" w:fill="DAEEF3"/>
            <w:noWrap/>
            <w:vAlign w:val="center"/>
            <w:hideMark/>
          </w:tcPr>
          <w:p w14:paraId="1B45DFDB"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28,78%</w:t>
            </w:r>
          </w:p>
        </w:tc>
        <w:tc>
          <w:tcPr>
            <w:tcW w:w="1275" w:type="dxa"/>
            <w:tcBorders>
              <w:top w:val="double" w:sz="6" w:space="0" w:color="1F497D"/>
              <w:left w:val="nil"/>
              <w:bottom w:val="double" w:sz="6" w:space="0" w:color="1F497D"/>
              <w:right w:val="double" w:sz="6" w:space="0" w:color="1F497D"/>
            </w:tcBorders>
            <w:shd w:val="clear" w:color="000000" w:fill="DAEEF3"/>
            <w:noWrap/>
            <w:vAlign w:val="center"/>
            <w:hideMark/>
          </w:tcPr>
          <w:p w14:paraId="62A98A6E"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10,25%</w:t>
            </w:r>
          </w:p>
        </w:tc>
        <w:tc>
          <w:tcPr>
            <w:tcW w:w="1134" w:type="dxa"/>
            <w:tcBorders>
              <w:top w:val="double" w:sz="6" w:space="0" w:color="1F497D"/>
              <w:left w:val="nil"/>
              <w:bottom w:val="double" w:sz="6" w:space="0" w:color="1F497D"/>
              <w:right w:val="double" w:sz="6" w:space="0" w:color="1F497D"/>
            </w:tcBorders>
            <w:shd w:val="clear" w:color="000000" w:fill="DAEEF3"/>
            <w:noWrap/>
            <w:vAlign w:val="center"/>
            <w:hideMark/>
          </w:tcPr>
          <w:p w14:paraId="1D308ECE"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0,03%</w:t>
            </w:r>
          </w:p>
        </w:tc>
        <w:tc>
          <w:tcPr>
            <w:tcW w:w="1418" w:type="dxa"/>
            <w:tcBorders>
              <w:top w:val="double" w:sz="6" w:space="0" w:color="1F497D"/>
              <w:left w:val="nil"/>
              <w:bottom w:val="double" w:sz="6" w:space="0" w:color="1F497D"/>
              <w:right w:val="double" w:sz="6" w:space="0" w:color="1F497D"/>
            </w:tcBorders>
            <w:shd w:val="clear" w:color="000000" w:fill="DAEEF3"/>
            <w:noWrap/>
            <w:vAlign w:val="center"/>
            <w:hideMark/>
          </w:tcPr>
          <w:p w14:paraId="6AE33D70"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0,26%</w:t>
            </w:r>
          </w:p>
        </w:tc>
        <w:tc>
          <w:tcPr>
            <w:tcW w:w="992" w:type="dxa"/>
            <w:tcBorders>
              <w:top w:val="nil"/>
              <w:left w:val="nil"/>
              <w:bottom w:val="double" w:sz="6" w:space="0" w:color="1F497D"/>
              <w:right w:val="double" w:sz="6" w:space="0" w:color="1F497D"/>
            </w:tcBorders>
            <w:shd w:val="clear" w:color="000000" w:fill="DCE6F1"/>
            <w:noWrap/>
            <w:vAlign w:val="center"/>
            <w:hideMark/>
          </w:tcPr>
          <w:p w14:paraId="2AB8F244"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100,00%</w:t>
            </w:r>
          </w:p>
        </w:tc>
        <w:tc>
          <w:tcPr>
            <w:tcW w:w="1276" w:type="dxa"/>
            <w:tcBorders>
              <w:top w:val="nil"/>
              <w:left w:val="nil"/>
              <w:bottom w:val="double" w:sz="6" w:space="0" w:color="1F497D"/>
              <w:right w:val="double" w:sz="6" w:space="0" w:color="1F497D"/>
            </w:tcBorders>
            <w:shd w:val="clear" w:color="000000" w:fill="A6A6A6"/>
            <w:vAlign w:val="center"/>
            <w:hideMark/>
          </w:tcPr>
          <w:p w14:paraId="1432E8DB" w14:textId="77777777" w:rsidR="00CA3525" w:rsidRPr="00033E65" w:rsidRDefault="00CA3525" w:rsidP="00CA3525">
            <w:pPr>
              <w:spacing w:before="0" w:after="0"/>
              <w:jc w:val="left"/>
              <w:rPr>
                <w:rFonts w:cs="Calibri"/>
                <w:color w:val="000000"/>
                <w:szCs w:val="22"/>
                <w:lang w:eastAsia="es-CR"/>
              </w:rPr>
            </w:pPr>
            <w:r w:rsidRPr="00033E65">
              <w:rPr>
                <w:rFonts w:cs="Calibri"/>
                <w:color w:val="000000"/>
                <w:szCs w:val="22"/>
                <w:lang w:eastAsia="es-CR"/>
              </w:rPr>
              <w:t> </w:t>
            </w:r>
          </w:p>
        </w:tc>
      </w:tr>
      <w:tr w:rsidR="00AF3382" w:rsidRPr="00033E65" w14:paraId="0CBBF83C" w14:textId="77777777" w:rsidTr="00CA3525">
        <w:trPr>
          <w:trHeight w:val="1088"/>
        </w:trPr>
        <w:tc>
          <w:tcPr>
            <w:tcW w:w="2410" w:type="dxa"/>
            <w:tcBorders>
              <w:top w:val="nil"/>
              <w:left w:val="double" w:sz="6" w:space="0" w:color="1F497D"/>
              <w:bottom w:val="double" w:sz="6" w:space="0" w:color="1F497D"/>
              <w:right w:val="double" w:sz="6" w:space="0" w:color="1F497D"/>
            </w:tcBorders>
            <w:shd w:val="clear" w:color="000000" w:fill="92CDDC"/>
            <w:noWrap/>
            <w:vAlign w:val="center"/>
            <w:hideMark/>
          </w:tcPr>
          <w:p w14:paraId="482DA611" w14:textId="77777777" w:rsidR="00CA3525" w:rsidRPr="00033E65" w:rsidRDefault="00CA3525" w:rsidP="00CA3525">
            <w:pPr>
              <w:spacing w:before="0" w:after="0"/>
              <w:jc w:val="center"/>
              <w:rPr>
                <w:rFonts w:cs="Calibri"/>
                <w:b/>
                <w:bCs/>
                <w:i/>
                <w:iCs/>
                <w:color w:val="000000"/>
                <w:szCs w:val="22"/>
                <w:lang w:eastAsia="es-CR"/>
              </w:rPr>
            </w:pPr>
            <w:r w:rsidRPr="00033E65">
              <w:rPr>
                <w:rFonts w:cs="Arial"/>
                <w:b/>
                <w:bCs/>
                <w:i/>
                <w:iCs/>
                <w:color w:val="000000"/>
                <w:szCs w:val="22"/>
                <w:lang w:eastAsia="es-CR"/>
              </w:rPr>
              <w:t>Representación porcentual con el circulante nacional Agrario</w:t>
            </w:r>
          </w:p>
        </w:tc>
        <w:tc>
          <w:tcPr>
            <w:tcW w:w="1134" w:type="dxa"/>
            <w:tcBorders>
              <w:top w:val="nil"/>
              <w:left w:val="nil"/>
              <w:bottom w:val="double" w:sz="6" w:space="0" w:color="1F497D"/>
              <w:right w:val="double" w:sz="6" w:space="0" w:color="1F497D"/>
            </w:tcBorders>
            <w:shd w:val="clear" w:color="000000" w:fill="92CDDC"/>
            <w:noWrap/>
            <w:vAlign w:val="center"/>
            <w:hideMark/>
          </w:tcPr>
          <w:p w14:paraId="1A48BAB0"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36,18%</w:t>
            </w:r>
          </w:p>
        </w:tc>
        <w:tc>
          <w:tcPr>
            <w:tcW w:w="1560" w:type="dxa"/>
            <w:tcBorders>
              <w:top w:val="nil"/>
              <w:left w:val="nil"/>
              <w:bottom w:val="double" w:sz="6" w:space="0" w:color="1F497D"/>
              <w:right w:val="double" w:sz="6" w:space="0" w:color="1F497D"/>
            </w:tcBorders>
            <w:shd w:val="clear" w:color="000000" w:fill="92CDDC"/>
            <w:noWrap/>
            <w:vAlign w:val="center"/>
            <w:hideMark/>
          </w:tcPr>
          <w:p w14:paraId="732EB200"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30,96%</w:t>
            </w:r>
          </w:p>
        </w:tc>
        <w:tc>
          <w:tcPr>
            <w:tcW w:w="1275" w:type="dxa"/>
            <w:tcBorders>
              <w:top w:val="nil"/>
              <w:left w:val="nil"/>
              <w:bottom w:val="double" w:sz="6" w:space="0" w:color="1F497D"/>
              <w:right w:val="double" w:sz="6" w:space="0" w:color="1F497D"/>
            </w:tcBorders>
            <w:shd w:val="clear" w:color="000000" w:fill="92CDDC"/>
            <w:noWrap/>
            <w:vAlign w:val="center"/>
            <w:hideMark/>
          </w:tcPr>
          <w:p w14:paraId="616F8F74"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25,77%</w:t>
            </w:r>
          </w:p>
        </w:tc>
        <w:tc>
          <w:tcPr>
            <w:tcW w:w="1134" w:type="dxa"/>
            <w:tcBorders>
              <w:top w:val="nil"/>
              <w:left w:val="nil"/>
              <w:bottom w:val="double" w:sz="6" w:space="0" w:color="1F497D"/>
              <w:right w:val="double" w:sz="6" w:space="0" w:color="1F497D"/>
            </w:tcBorders>
            <w:shd w:val="clear" w:color="000000" w:fill="92CDDC"/>
            <w:noWrap/>
            <w:vAlign w:val="center"/>
            <w:hideMark/>
          </w:tcPr>
          <w:p w14:paraId="0FDF2CE3"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0,22%</w:t>
            </w:r>
          </w:p>
        </w:tc>
        <w:tc>
          <w:tcPr>
            <w:tcW w:w="1418" w:type="dxa"/>
            <w:tcBorders>
              <w:top w:val="nil"/>
              <w:left w:val="nil"/>
              <w:bottom w:val="double" w:sz="6" w:space="0" w:color="1F497D"/>
              <w:right w:val="double" w:sz="6" w:space="0" w:color="1F497D"/>
            </w:tcBorders>
            <w:shd w:val="clear" w:color="000000" w:fill="92CDDC"/>
            <w:noWrap/>
            <w:vAlign w:val="center"/>
            <w:hideMark/>
          </w:tcPr>
          <w:p w14:paraId="7FC9A879"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27,59%</w:t>
            </w:r>
          </w:p>
        </w:tc>
        <w:tc>
          <w:tcPr>
            <w:tcW w:w="992" w:type="dxa"/>
            <w:tcBorders>
              <w:top w:val="nil"/>
              <w:left w:val="nil"/>
              <w:bottom w:val="double" w:sz="6" w:space="0" w:color="1F497D"/>
              <w:right w:val="double" w:sz="6" w:space="0" w:color="1F497D"/>
            </w:tcBorders>
            <w:shd w:val="clear" w:color="000000" w:fill="DCE6F1"/>
            <w:noWrap/>
            <w:vAlign w:val="center"/>
            <w:hideMark/>
          </w:tcPr>
          <w:p w14:paraId="76512A02" w14:textId="77777777" w:rsidR="00CA3525" w:rsidRPr="00033E65" w:rsidRDefault="00CA3525" w:rsidP="00CA3525">
            <w:pPr>
              <w:spacing w:before="0" w:after="0"/>
              <w:jc w:val="center"/>
              <w:rPr>
                <w:rFonts w:cs="Calibri"/>
                <w:b/>
                <w:bCs/>
                <w:color w:val="000000"/>
                <w:szCs w:val="22"/>
                <w:lang w:eastAsia="es-CR"/>
              </w:rPr>
            </w:pPr>
            <w:r w:rsidRPr="00033E65">
              <w:rPr>
                <w:rFonts w:cs="Arial"/>
                <w:b/>
                <w:bCs/>
                <w:color w:val="000000"/>
                <w:szCs w:val="22"/>
                <w:lang w:eastAsia="es-CR"/>
              </w:rPr>
              <w:t>31,63%</w:t>
            </w:r>
          </w:p>
        </w:tc>
        <w:tc>
          <w:tcPr>
            <w:tcW w:w="1276" w:type="dxa"/>
            <w:tcBorders>
              <w:top w:val="nil"/>
              <w:left w:val="nil"/>
              <w:bottom w:val="double" w:sz="6" w:space="0" w:color="1F497D"/>
              <w:right w:val="double" w:sz="6" w:space="0" w:color="1F497D"/>
            </w:tcBorders>
            <w:shd w:val="clear" w:color="000000" w:fill="A6A6A6"/>
            <w:vAlign w:val="center"/>
            <w:hideMark/>
          </w:tcPr>
          <w:p w14:paraId="22C578E7" w14:textId="77777777" w:rsidR="00CA3525" w:rsidRPr="00033E65" w:rsidRDefault="00CA3525" w:rsidP="00CA3525">
            <w:pPr>
              <w:spacing w:before="0" w:after="0"/>
              <w:jc w:val="left"/>
              <w:rPr>
                <w:rFonts w:cs="Calibri"/>
                <w:color w:val="000000"/>
                <w:szCs w:val="22"/>
                <w:lang w:eastAsia="es-CR"/>
              </w:rPr>
            </w:pPr>
            <w:r w:rsidRPr="00033E65">
              <w:rPr>
                <w:rFonts w:cs="Calibri"/>
                <w:color w:val="000000"/>
                <w:szCs w:val="22"/>
                <w:lang w:eastAsia="es-CR"/>
              </w:rPr>
              <w:t> </w:t>
            </w:r>
          </w:p>
        </w:tc>
      </w:tr>
    </w:tbl>
    <w:p w14:paraId="49716DDC" w14:textId="5F4962A5" w:rsidR="00130251" w:rsidRPr="00033E65" w:rsidRDefault="00130251" w:rsidP="00B344A8">
      <w:pPr>
        <w:ind w:right="-397"/>
        <w:rPr>
          <w:b/>
          <w:i/>
          <w:sz w:val="18"/>
          <w:lang w:eastAsia="en-US"/>
        </w:rPr>
      </w:pPr>
      <w:bookmarkStart w:id="225" w:name="_Hlk39753279"/>
      <w:bookmarkEnd w:id="224"/>
      <w:r w:rsidRPr="00033E65">
        <w:rPr>
          <w:b/>
          <w:i/>
          <w:sz w:val="18"/>
          <w:lang w:eastAsia="en-US"/>
        </w:rPr>
        <w:t xml:space="preserve">Fuente: </w:t>
      </w:r>
      <w:r w:rsidRPr="00033E65">
        <w:rPr>
          <w:b/>
          <w:i/>
          <w:sz w:val="18"/>
        </w:rPr>
        <w:t>Subproceso de Modernización Institucional</w:t>
      </w:r>
      <w:r w:rsidR="00B6699C" w:rsidRPr="00033E65">
        <w:rPr>
          <w:b/>
          <w:i/>
          <w:sz w:val="18"/>
        </w:rPr>
        <w:t>, área No Penal,</w:t>
      </w:r>
      <w:r w:rsidRPr="00033E65">
        <w:rPr>
          <w:b/>
          <w:i/>
          <w:sz w:val="18"/>
        </w:rPr>
        <w:t xml:space="preserve"> </w:t>
      </w:r>
      <w:r w:rsidRPr="00033E65">
        <w:rPr>
          <w:b/>
          <w:i/>
          <w:sz w:val="18"/>
          <w:lang w:eastAsia="en-US"/>
        </w:rPr>
        <w:t xml:space="preserve">con base al reporte del circulante del sistema SIGMA, </w:t>
      </w:r>
      <w:r w:rsidR="00F02F27" w:rsidRPr="00033E65">
        <w:rPr>
          <w:b/>
          <w:i/>
          <w:sz w:val="18"/>
          <w:lang w:eastAsia="en-US"/>
        </w:rPr>
        <w:t>febrero</w:t>
      </w:r>
      <w:r w:rsidRPr="00033E65">
        <w:rPr>
          <w:b/>
          <w:i/>
          <w:sz w:val="18"/>
          <w:lang w:eastAsia="en-US"/>
        </w:rPr>
        <w:t xml:space="preserve"> 202</w:t>
      </w:r>
      <w:r w:rsidR="00F02F27" w:rsidRPr="00033E65">
        <w:rPr>
          <w:b/>
          <w:i/>
          <w:sz w:val="18"/>
          <w:lang w:eastAsia="en-US"/>
        </w:rPr>
        <w:t>3</w:t>
      </w:r>
      <w:r w:rsidRPr="00033E65">
        <w:rPr>
          <w:b/>
          <w:i/>
          <w:sz w:val="18"/>
          <w:lang w:eastAsia="en-US"/>
        </w:rPr>
        <w:t xml:space="preserve">. </w:t>
      </w:r>
    </w:p>
    <w:p w14:paraId="0930B6A0" w14:textId="77777777" w:rsidR="00B344A8" w:rsidRPr="00033E65" w:rsidRDefault="00B344A8" w:rsidP="00B344A8">
      <w:pPr>
        <w:ind w:right="-397"/>
        <w:rPr>
          <w:b/>
          <w:i/>
          <w:sz w:val="18"/>
          <w:lang w:eastAsia="en-US"/>
        </w:rPr>
      </w:pPr>
    </w:p>
    <w:bookmarkEnd w:id="225"/>
    <w:p w14:paraId="0D66F3A5" w14:textId="42822126" w:rsidR="00D216DD" w:rsidRPr="00033E65" w:rsidRDefault="00D216DD" w:rsidP="00D216DD">
      <w:r w:rsidRPr="00033E65">
        <w:t xml:space="preserve">Las Informaciones Posesorias a nivel nacional, como se indica en líneas anteriores, representa un </w:t>
      </w:r>
      <w:r w:rsidR="00C77A17" w:rsidRPr="00033E65">
        <w:t>31,63</w:t>
      </w:r>
      <w:r w:rsidRPr="00033E65">
        <w:t>% del tota</w:t>
      </w:r>
      <w:r w:rsidR="003923DD" w:rsidRPr="00033E65">
        <w:t xml:space="preserve">l del circulante, del cual el </w:t>
      </w:r>
      <w:r w:rsidR="00C77A17" w:rsidRPr="00033E65">
        <w:t>36</w:t>
      </w:r>
      <w:r w:rsidR="001F3165" w:rsidRPr="00033E65">
        <w:t>,</w:t>
      </w:r>
      <w:r w:rsidR="00C77A17" w:rsidRPr="00033E65">
        <w:t>18</w:t>
      </w:r>
      <w:r w:rsidRPr="00033E65">
        <w:t>% se encuentra en fase de Demanda, seguido de un</w:t>
      </w:r>
      <w:r w:rsidR="003923DD" w:rsidRPr="00033E65">
        <w:t xml:space="preserve"> </w:t>
      </w:r>
      <w:r w:rsidR="00F14D78" w:rsidRPr="00033E65">
        <w:t>30,96</w:t>
      </w:r>
      <w:r w:rsidR="003923DD" w:rsidRPr="00033E65">
        <w:t xml:space="preserve">% en fase Demostrativa, un </w:t>
      </w:r>
      <w:r w:rsidR="00F14D78" w:rsidRPr="00033E65">
        <w:t>25,77</w:t>
      </w:r>
      <w:r w:rsidR="003923DD" w:rsidRPr="00033E65">
        <w:t>% en Conclusiva</w:t>
      </w:r>
      <w:r w:rsidR="0049175B" w:rsidRPr="00033E65">
        <w:t xml:space="preserve">, un </w:t>
      </w:r>
      <w:r w:rsidR="00F14D78" w:rsidRPr="00033E65">
        <w:t>0,22</w:t>
      </w:r>
      <w:r w:rsidR="0049175B" w:rsidRPr="00033E65">
        <w:t xml:space="preserve">% en </w:t>
      </w:r>
      <w:r w:rsidR="00624F2C" w:rsidRPr="00033E65">
        <w:t>Ejecución y</w:t>
      </w:r>
      <w:r w:rsidR="003923DD" w:rsidRPr="00033E65">
        <w:t xml:space="preserve"> </w:t>
      </w:r>
      <w:r w:rsidR="00F14D78" w:rsidRPr="00033E65">
        <w:t>27,59</w:t>
      </w:r>
      <w:r w:rsidRPr="00033E65">
        <w:t xml:space="preserve">% en fase de sin fase asignada. </w:t>
      </w:r>
    </w:p>
    <w:p w14:paraId="0A57DC74" w14:textId="0EF5002B" w:rsidR="00A367B7" w:rsidRPr="00033E65" w:rsidRDefault="00D216DD" w:rsidP="00D216DD">
      <w:r w:rsidRPr="00033E65">
        <w:t xml:space="preserve">El </w:t>
      </w:r>
      <w:r w:rsidR="00624F2C" w:rsidRPr="00033E65">
        <w:rPr>
          <w:rFonts w:cs="Arial"/>
          <w:color w:val="000000"/>
          <w:szCs w:val="22"/>
          <w:lang w:eastAsia="es-CR"/>
        </w:rPr>
        <w:t>Juzgado Agrario del I</w:t>
      </w:r>
      <w:r w:rsidR="0091711E" w:rsidRPr="00033E65">
        <w:rPr>
          <w:rFonts w:cs="Arial"/>
          <w:color w:val="000000"/>
          <w:szCs w:val="22"/>
          <w:lang w:eastAsia="es-CR"/>
        </w:rPr>
        <w:t>I</w:t>
      </w:r>
      <w:r w:rsidR="00624F2C" w:rsidRPr="00033E65">
        <w:rPr>
          <w:rFonts w:cs="Arial"/>
          <w:color w:val="000000"/>
          <w:szCs w:val="22"/>
          <w:lang w:eastAsia="es-CR"/>
        </w:rPr>
        <w:t xml:space="preserve"> Circuito Judicial de </w:t>
      </w:r>
      <w:r w:rsidR="0091711E" w:rsidRPr="00033E65">
        <w:rPr>
          <w:rFonts w:cs="Arial"/>
          <w:color w:val="000000"/>
          <w:szCs w:val="22"/>
          <w:lang w:eastAsia="es-CR"/>
        </w:rPr>
        <w:t>Guanacaste</w:t>
      </w:r>
      <w:r w:rsidR="00624F2C" w:rsidRPr="00033E65">
        <w:rPr>
          <w:rFonts w:cs="Arial"/>
          <w:color w:val="000000"/>
          <w:szCs w:val="22"/>
          <w:lang w:eastAsia="es-CR"/>
        </w:rPr>
        <w:t>(</w:t>
      </w:r>
      <w:r w:rsidR="0091711E" w:rsidRPr="00033E65">
        <w:rPr>
          <w:rFonts w:cs="Arial"/>
          <w:color w:val="000000"/>
          <w:szCs w:val="22"/>
          <w:lang w:eastAsia="es-CR"/>
        </w:rPr>
        <w:t>Santa Cruz</w:t>
      </w:r>
      <w:r w:rsidR="00624F2C" w:rsidRPr="00033E65">
        <w:rPr>
          <w:rFonts w:cs="Arial"/>
          <w:color w:val="000000"/>
          <w:szCs w:val="22"/>
          <w:lang w:eastAsia="es-CR"/>
        </w:rPr>
        <w:t>)</w:t>
      </w:r>
      <w:r w:rsidRPr="00033E65">
        <w:t xml:space="preserve"> posee la mayor cantidad de casos de Informac</w:t>
      </w:r>
      <w:r w:rsidR="00422FD4" w:rsidRPr="00033E65">
        <w:t xml:space="preserve">iones Posesorias del país con </w:t>
      </w:r>
      <w:r w:rsidR="003073F0" w:rsidRPr="00033E65">
        <w:t xml:space="preserve">533 </w:t>
      </w:r>
      <w:r w:rsidR="00422FD4" w:rsidRPr="00033E65">
        <w:t>(</w:t>
      </w:r>
      <w:r w:rsidR="00C62A19" w:rsidRPr="00033E65">
        <w:t>18</w:t>
      </w:r>
      <w:r w:rsidRPr="00033E65">
        <w:t xml:space="preserve">% del total) y prácticamente el </w:t>
      </w:r>
      <w:r w:rsidR="00596C5F" w:rsidRPr="00033E65">
        <w:t>84</w:t>
      </w:r>
      <w:r w:rsidRPr="00033E65">
        <w:t xml:space="preserve">% se encuentra en fase de Demanda, por lo que es necesario que el personal juzgador impulse ese circulante a las siguientes fases. </w:t>
      </w:r>
    </w:p>
    <w:p w14:paraId="420A6E7B" w14:textId="6680FC16" w:rsidR="004A5B63" w:rsidRPr="00033E65" w:rsidRDefault="004A5B63" w:rsidP="004A5B63">
      <w:pPr>
        <w:rPr>
          <w:szCs w:val="22"/>
          <w:lang w:eastAsia="en-US"/>
        </w:rPr>
      </w:pPr>
      <w:r w:rsidRPr="00033E65">
        <w:rPr>
          <w:szCs w:val="22"/>
          <w:lang w:eastAsia="en-US"/>
        </w:rPr>
        <w:t xml:space="preserve">Otro Despacho que presenta una gran cantidad de casos de este tipo, es el ubicado en la zona de </w:t>
      </w:r>
      <w:r w:rsidR="005A5BED" w:rsidRPr="00033E65">
        <w:rPr>
          <w:szCs w:val="22"/>
          <w:lang w:eastAsia="en-US"/>
        </w:rPr>
        <w:t>Limón</w:t>
      </w:r>
      <w:r w:rsidRPr="00033E65">
        <w:rPr>
          <w:szCs w:val="22"/>
          <w:lang w:eastAsia="en-US"/>
        </w:rPr>
        <w:t xml:space="preserve">, con </w:t>
      </w:r>
      <w:r w:rsidR="005A5BED" w:rsidRPr="00033E65">
        <w:rPr>
          <w:szCs w:val="22"/>
          <w:lang w:eastAsia="en-US"/>
        </w:rPr>
        <w:t xml:space="preserve">296 </w:t>
      </w:r>
      <w:r w:rsidRPr="00033E65">
        <w:rPr>
          <w:szCs w:val="22"/>
          <w:lang w:eastAsia="en-US"/>
        </w:rPr>
        <w:t>casos (</w:t>
      </w:r>
      <w:r w:rsidR="00E833DC" w:rsidRPr="00033E65">
        <w:rPr>
          <w:szCs w:val="22"/>
          <w:lang w:eastAsia="en-US"/>
        </w:rPr>
        <w:t>10</w:t>
      </w:r>
      <w:r w:rsidR="00DE65B5" w:rsidRPr="00033E65">
        <w:rPr>
          <w:szCs w:val="22"/>
          <w:lang w:eastAsia="en-US"/>
        </w:rPr>
        <w:t xml:space="preserve">% del total) con un </w:t>
      </w:r>
      <w:r w:rsidR="00BF674D" w:rsidRPr="00033E65">
        <w:rPr>
          <w:szCs w:val="22"/>
          <w:lang w:eastAsia="en-US"/>
        </w:rPr>
        <w:t>56</w:t>
      </w:r>
      <w:r w:rsidRPr="00033E65">
        <w:rPr>
          <w:szCs w:val="22"/>
          <w:lang w:eastAsia="en-US"/>
        </w:rPr>
        <w:t xml:space="preserve">% de casos en fase de Demanda. </w:t>
      </w:r>
    </w:p>
    <w:p w14:paraId="7A1224EA" w14:textId="3363B883" w:rsidR="00025ED5" w:rsidRPr="00033E65" w:rsidRDefault="004A5B63" w:rsidP="00025ED5">
      <w:pPr>
        <w:rPr>
          <w:szCs w:val="22"/>
          <w:lang w:eastAsia="en-US"/>
        </w:rPr>
      </w:pPr>
      <w:r w:rsidRPr="00033E65">
        <w:rPr>
          <w:szCs w:val="22"/>
          <w:lang w:eastAsia="en-US"/>
        </w:rPr>
        <w:t>El Juzgado de</w:t>
      </w:r>
      <w:r w:rsidR="00686B9D" w:rsidRPr="00033E65">
        <w:rPr>
          <w:szCs w:val="22"/>
          <w:lang w:eastAsia="en-US"/>
        </w:rPr>
        <w:t xml:space="preserve">l I Circuito Judicial de </w:t>
      </w:r>
      <w:r w:rsidR="00281F9E" w:rsidRPr="00033E65">
        <w:rPr>
          <w:szCs w:val="22"/>
          <w:lang w:eastAsia="en-US"/>
        </w:rPr>
        <w:t xml:space="preserve">Guanacaste (Liberia) </w:t>
      </w:r>
      <w:r w:rsidRPr="00033E65">
        <w:rPr>
          <w:szCs w:val="22"/>
          <w:lang w:eastAsia="en-US"/>
        </w:rPr>
        <w:t xml:space="preserve">tiene un total de </w:t>
      </w:r>
      <w:r w:rsidR="00281F9E" w:rsidRPr="00033E65">
        <w:rPr>
          <w:szCs w:val="22"/>
          <w:lang w:eastAsia="en-US"/>
        </w:rPr>
        <w:t xml:space="preserve">237 </w:t>
      </w:r>
      <w:r w:rsidRPr="00033E65">
        <w:rPr>
          <w:szCs w:val="22"/>
          <w:lang w:eastAsia="en-US"/>
        </w:rPr>
        <w:t>expediente</w:t>
      </w:r>
      <w:r w:rsidR="009D1B23" w:rsidRPr="00033E65">
        <w:rPr>
          <w:szCs w:val="22"/>
          <w:lang w:eastAsia="en-US"/>
        </w:rPr>
        <w:t>s de Informaciones Posesorias (</w:t>
      </w:r>
      <w:r w:rsidR="00281F9E" w:rsidRPr="00033E65">
        <w:rPr>
          <w:szCs w:val="22"/>
          <w:lang w:eastAsia="en-US"/>
        </w:rPr>
        <w:t>8</w:t>
      </w:r>
      <w:r w:rsidRPr="00033E65">
        <w:rPr>
          <w:szCs w:val="22"/>
          <w:lang w:eastAsia="en-US"/>
        </w:rPr>
        <w:t xml:space="preserve">% del total) con un </w:t>
      </w:r>
      <w:r w:rsidR="002E1BEA" w:rsidRPr="00033E65">
        <w:rPr>
          <w:szCs w:val="22"/>
          <w:lang w:eastAsia="en-US"/>
        </w:rPr>
        <w:t>54</w:t>
      </w:r>
      <w:r w:rsidRPr="00033E65">
        <w:rPr>
          <w:szCs w:val="22"/>
          <w:lang w:eastAsia="en-US"/>
        </w:rPr>
        <w:t xml:space="preserve">% en fase de Demanda. </w:t>
      </w:r>
    </w:p>
    <w:p w14:paraId="072EC7DB" w14:textId="0B11D10C" w:rsidR="00902CB7" w:rsidRPr="00033E65" w:rsidRDefault="00880508" w:rsidP="00025ED5">
      <w:pPr>
        <w:rPr>
          <w:szCs w:val="22"/>
          <w:lang w:eastAsia="en-US"/>
        </w:rPr>
      </w:pPr>
      <w:r w:rsidRPr="00033E65">
        <w:rPr>
          <w:szCs w:val="22"/>
          <w:lang w:eastAsia="en-US"/>
        </w:rPr>
        <w:t xml:space="preserve">El </w:t>
      </w:r>
      <w:r w:rsidR="00AC00A2" w:rsidRPr="00033E65">
        <w:rPr>
          <w:szCs w:val="22"/>
          <w:lang w:eastAsia="en-US"/>
        </w:rPr>
        <w:t xml:space="preserve">Juzgado Agrario </w:t>
      </w:r>
      <w:r w:rsidR="00503A75" w:rsidRPr="00033E65">
        <w:rPr>
          <w:szCs w:val="22"/>
          <w:lang w:eastAsia="en-US"/>
        </w:rPr>
        <w:t>de Cartago</w:t>
      </w:r>
      <w:r w:rsidRPr="00033E65">
        <w:rPr>
          <w:szCs w:val="22"/>
          <w:lang w:eastAsia="en-US"/>
        </w:rPr>
        <w:t>,</w:t>
      </w:r>
      <w:r w:rsidR="00FE14D8" w:rsidRPr="00033E65">
        <w:rPr>
          <w:szCs w:val="22"/>
          <w:lang w:eastAsia="en-US"/>
        </w:rPr>
        <w:t xml:space="preserve"> cuenta con un circulante de </w:t>
      </w:r>
      <w:r w:rsidR="00503A75" w:rsidRPr="00033E65">
        <w:rPr>
          <w:szCs w:val="22"/>
          <w:lang w:eastAsia="en-US"/>
        </w:rPr>
        <w:t xml:space="preserve">215 </w:t>
      </w:r>
      <w:r w:rsidRPr="00033E65">
        <w:rPr>
          <w:szCs w:val="22"/>
          <w:lang w:eastAsia="en-US"/>
        </w:rPr>
        <w:t>expedientes en el proceso de Informaciones Posesorias</w:t>
      </w:r>
      <w:r w:rsidR="00FE14D8" w:rsidRPr="00033E65">
        <w:rPr>
          <w:szCs w:val="22"/>
          <w:lang w:eastAsia="en-US"/>
        </w:rPr>
        <w:t xml:space="preserve">, de los cuales el </w:t>
      </w:r>
      <w:r w:rsidR="0048322E" w:rsidRPr="00033E65">
        <w:rPr>
          <w:szCs w:val="22"/>
          <w:lang w:eastAsia="en-US"/>
        </w:rPr>
        <w:t>84</w:t>
      </w:r>
      <w:r w:rsidR="00AC43FD" w:rsidRPr="00033E65">
        <w:rPr>
          <w:szCs w:val="22"/>
          <w:lang w:eastAsia="en-US"/>
        </w:rPr>
        <w:t xml:space="preserve">% se encuentra en </w:t>
      </w:r>
      <w:r w:rsidR="00FE14D8" w:rsidRPr="00033E65">
        <w:rPr>
          <w:szCs w:val="22"/>
          <w:lang w:eastAsia="en-US"/>
        </w:rPr>
        <w:t xml:space="preserve">fase de Demanda, un </w:t>
      </w:r>
      <w:r w:rsidR="0048322E" w:rsidRPr="00033E65">
        <w:rPr>
          <w:szCs w:val="22"/>
          <w:lang w:eastAsia="en-US"/>
        </w:rPr>
        <w:t>7</w:t>
      </w:r>
      <w:r w:rsidR="00FE14D8" w:rsidRPr="00033E65">
        <w:rPr>
          <w:szCs w:val="22"/>
          <w:lang w:eastAsia="en-US"/>
        </w:rPr>
        <w:t xml:space="preserve">% en fase Demostrativa y un </w:t>
      </w:r>
      <w:r w:rsidR="002738AA" w:rsidRPr="00033E65">
        <w:rPr>
          <w:szCs w:val="22"/>
          <w:lang w:eastAsia="en-US"/>
        </w:rPr>
        <w:t>9</w:t>
      </w:r>
      <w:r w:rsidR="00AC43FD" w:rsidRPr="00033E65">
        <w:rPr>
          <w:szCs w:val="22"/>
          <w:lang w:eastAsia="en-US"/>
        </w:rPr>
        <w:t>% en fase Conclusiva.</w:t>
      </w:r>
    </w:p>
    <w:p w14:paraId="6CD2F01E" w14:textId="08330956" w:rsidR="00902CB7" w:rsidRPr="00033E65" w:rsidRDefault="002738AA" w:rsidP="00025ED5">
      <w:pPr>
        <w:rPr>
          <w:szCs w:val="22"/>
          <w:lang w:eastAsia="en-US"/>
        </w:rPr>
      </w:pPr>
      <w:r w:rsidRPr="00033E65">
        <w:rPr>
          <w:szCs w:val="22"/>
          <w:lang w:eastAsia="en-US"/>
        </w:rPr>
        <w:t xml:space="preserve">Pérez Zeledón </w:t>
      </w:r>
      <w:r w:rsidR="00902CB7" w:rsidRPr="00033E65">
        <w:rPr>
          <w:szCs w:val="22"/>
          <w:lang w:eastAsia="en-US"/>
        </w:rPr>
        <w:t xml:space="preserve">tiene en su circulante </w:t>
      </w:r>
      <w:r w:rsidR="00675FD5" w:rsidRPr="00033E65">
        <w:rPr>
          <w:szCs w:val="22"/>
          <w:lang w:eastAsia="en-US"/>
        </w:rPr>
        <w:t xml:space="preserve">213 </w:t>
      </w:r>
      <w:r w:rsidR="00902CB7" w:rsidRPr="00033E65">
        <w:rPr>
          <w:szCs w:val="22"/>
          <w:lang w:eastAsia="en-US"/>
        </w:rPr>
        <w:t>expediente de esta clase de asuntos,</w:t>
      </w:r>
      <w:r w:rsidR="00353488" w:rsidRPr="00033E65">
        <w:rPr>
          <w:szCs w:val="22"/>
          <w:lang w:eastAsia="en-US"/>
        </w:rPr>
        <w:t xml:space="preserve"> de los cuales el </w:t>
      </w:r>
      <w:r w:rsidR="00675FD5" w:rsidRPr="00033E65">
        <w:rPr>
          <w:szCs w:val="22"/>
          <w:lang w:eastAsia="en-US"/>
        </w:rPr>
        <w:t>41</w:t>
      </w:r>
      <w:r w:rsidR="00353488" w:rsidRPr="00033E65">
        <w:rPr>
          <w:szCs w:val="22"/>
          <w:lang w:eastAsia="en-US"/>
        </w:rPr>
        <w:t>% se encuentra en fase de Demanda.</w:t>
      </w:r>
    </w:p>
    <w:p w14:paraId="54B2F5B8" w14:textId="5E207213" w:rsidR="00624BB5" w:rsidRPr="00033E65" w:rsidRDefault="000D7464" w:rsidP="004A5B63">
      <w:pPr>
        <w:rPr>
          <w:szCs w:val="22"/>
          <w:lang w:eastAsia="en-US"/>
        </w:rPr>
      </w:pPr>
      <w:r w:rsidRPr="00033E65">
        <w:rPr>
          <w:szCs w:val="22"/>
          <w:lang w:eastAsia="en-US"/>
        </w:rPr>
        <w:t xml:space="preserve">Puntarenas </w:t>
      </w:r>
      <w:r w:rsidR="00902CB7" w:rsidRPr="00033E65">
        <w:rPr>
          <w:szCs w:val="22"/>
          <w:lang w:eastAsia="en-US"/>
        </w:rPr>
        <w:t xml:space="preserve">cuenta con un total de </w:t>
      </w:r>
      <w:r w:rsidR="00A82C8A" w:rsidRPr="00033E65">
        <w:rPr>
          <w:szCs w:val="22"/>
          <w:lang w:eastAsia="en-US"/>
        </w:rPr>
        <w:t>18</w:t>
      </w:r>
      <w:r w:rsidRPr="00033E65">
        <w:rPr>
          <w:szCs w:val="22"/>
          <w:lang w:eastAsia="en-US"/>
        </w:rPr>
        <w:t>4</w:t>
      </w:r>
      <w:r w:rsidR="00A82C8A" w:rsidRPr="00033E65">
        <w:rPr>
          <w:szCs w:val="22"/>
          <w:lang w:eastAsia="en-US"/>
        </w:rPr>
        <w:t xml:space="preserve"> </w:t>
      </w:r>
      <w:r w:rsidR="00AC43FD" w:rsidRPr="00033E65">
        <w:rPr>
          <w:szCs w:val="22"/>
          <w:lang w:eastAsia="en-US"/>
        </w:rPr>
        <w:t>expedientes en proceso de Informaciones</w:t>
      </w:r>
      <w:r w:rsidR="00902CB7" w:rsidRPr="00033E65">
        <w:rPr>
          <w:szCs w:val="22"/>
          <w:lang w:eastAsia="en-US"/>
        </w:rPr>
        <w:t xml:space="preserve"> Posesorias, </w:t>
      </w:r>
      <w:r w:rsidR="002238ED" w:rsidRPr="00033E65">
        <w:rPr>
          <w:szCs w:val="22"/>
          <w:lang w:eastAsia="en-US"/>
        </w:rPr>
        <w:t xml:space="preserve">pero a diferencia del resto la gran cantidad de casos se encuentra en fase Demostrativa con un </w:t>
      </w:r>
      <w:r w:rsidR="00863B8F" w:rsidRPr="00033E65">
        <w:rPr>
          <w:szCs w:val="22"/>
          <w:lang w:eastAsia="en-US"/>
        </w:rPr>
        <w:t>89</w:t>
      </w:r>
      <w:r w:rsidR="002238ED" w:rsidRPr="00033E65">
        <w:rPr>
          <w:szCs w:val="22"/>
          <w:lang w:eastAsia="en-US"/>
        </w:rPr>
        <w:t>% de su total.</w:t>
      </w:r>
    </w:p>
    <w:p w14:paraId="1DC53AA4" w14:textId="77777777" w:rsidR="00F52071" w:rsidRPr="00033E65" w:rsidRDefault="00F52071" w:rsidP="004A5B63">
      <w:pPr>
        <w:rPr>
          <w:szCs w:val="22"/>
          <w:lang w:eastAsia="en-US"/>
        </w:rPr>
      </w:pPr>
    </w:p>
    <w:p w14:paraId="6CB13C5D" w14:textId="1F1DAE97" w:rsidR="004A5B63" w:rsidRPr="00033E65" w:rsidRDefault="004A5B63" w:rsidP="004A5B63">
      <w:pPr>
        <w:rPr>
          <w:szCs w:val="22"/>
          <w:lang w:eastAsia="en-US"/>
        </w:rPr>
      </w:pPr>
      <w:r w:rsidRPr="00033E65">
        <w:rPr>
          <w:szCs w:val="22"/>
          <w:lang w:eastAsia="en-US"/>
        </w:rPr>
        <w:t>La cantidad de Informaciones Posesorias entradas durante el 2016 a</w:t>
      </w:r>
      <w:r w:rsidR="002F5B59" w:rsidRPr="00033E65">
        <w:rPr>
          <w:szCs w:val="22"/>
          <w:lang w:eastAsia="en-US"/>
        </w:rPr>
        <w:t xml:space="preserve"> </w:t>
      </w:r>
      <w:r w:rsidR="003B09C2" w:rsidRPr="00033E65">
        <w:rPr>
          <w:szCs w:val="22"/>
          <w:lang w:eastAsia="en-US"/>
        </w:rPr>
        <w:t>20</w:t>
      </w:r>
      <w:r w:rsidR="00607958" w:rsidRPr="00033E65">
        <w:rPr>
          <w:szCs w:val="22"/>
          <w:lang w:eastAsia="en-US"/>
        </w:rPr>
        <w:t>2</w:t>
      </w:r>
      <w:r w:rsidR="00D670AA" w:rsidRPr="00033E65">
        <w:rPr>
          <w:szCs w:val="22"/>
          <w:lang w:eastAsia="en-US"/>
        </w:rPr>
        <w:t>2</w:t>
      </w:r>
      <w:r w:rsidR="003B09C2" w:rsidRPr="00033E65">
        <w:rPr>
          <w:szCs w:val="22"/>
          <w:lang w:eastAsia="en-US"/>
        </w:rPr>
        <w:t xml:space="preserve"> </w:t>
      </w:r>
      <w:r w:rsidRPr="00033E65">
        <w:rPr>
          <w:szCs w:val="22"/>
          <w:lang w:eastAsia="en-US"/>
        </w:rPr>
        <w:t xml:space="preserve">por Despacho, se muestra en el siguiente cuadro: </w:t>
      </w:r>
    </w:p>
    <w:p w14:paraId="2433E516" w14:textId="4CBA3ADC" w:rsidR="00216BFD" w:rsidRPr="00033E65" w:rsidRDefault="00216BFD" w:rsidP="003F0A3A">
      <w:pPr>
        <w:pStyle w:val="Ttulo"/>
        <w:spacing w:before="0" w:after="0"/>
        <w:jc w:val="center"/>
        <w:rPr>
          <w:rFonts w:eastAsia="Times New Roman" w:cs="Arial"/>
          <w:spacing w:val="0"/>
          <w:szCs w:val="28"/>
          <w:lang w:val="es-CR" w:eastAsia="es-ES"/>
        </w:rPr>
      </w:pPr>
      <w:r w:rsidRPr="00033E65">
        <w:rPr>
          <w:rFonts w:eastAsia="Times New Roman" w:cs="Arial"/>
          <w:spacing w:val="0"/>
          <w:szCs w:val="28"/>
          <w:lang w:val="es-CR" w:eastAsia="es-ES"/>
        </w:rPr>
        <w:t xml:space="preserve">Cuadro </w:t>
      </w:r>
      <w:r w:rsidR="00A7747F" w:rsidRPr="00033E65">
        <w:rPr>
          <w:rFonts w:eastAsia="Times New Roman" w:cs="Arial"/>
          <w:spacing w:val="0"/>
          <w:szCs w:val="28"/>
          <w:lang w:val="es-CR" w:eastAsia="es-ES"/>
        </w:rPr>
        <w:t>25</w:t>
      </w:r>
    </w:p>
    <w:p w14:paraId="23A22395" w14:textId="69DBB715" w:rsidR="00B2477B" w:rsidRPr="00033E65" w:rsidRDefault="00216BFD" w:rsidP="007426E1">
      <w:pPr>
        <w:spacing w:before="0" w:line="252" w:lineRule="auto"/>
        <w:jc w:val="center"/>
        <w:rPr>
          <w:rFonts w:cs="Arial"/>
          <w:b/>
          <w:iCs/>
          <w:color w:val="244061" w:themeColor="accent1" w:themeShade="80"/>
          <w:sz w:val="24"/>
          <w:szCs w:val="28"/>
        </w:rPr>
      </w:pPr>
      <w:r w:rsidRPr="00033E65">
        <w:rPr>
          <w:rFonts w:cs="Arial"/>
          <w:b/>
          <w:color w:val="244061" w:themeColor="accent1" w:themeShade="80"/>
          <w:sz w:val="24"/>
          <w:szCs w:val="28"/>
        </w:rPr>
        <w:t>Informaciones Posesorias Ingresadas por Despacho en el Periodo 2016-20</w:t>
      </w:r>
      <w:r w:rsidR="00326DCC" w:rsidRPr="00033E65">
        <w:rPr>
          <w:rFonts w:cs="Arial"/>
          <w:b/>
          <w:color w:val="244061" w:themeColor="accent1" w:themeShade="80"/>
          <w:sz w:val="24"/>
          <w:szCs w:val="28"/>
        </w:rPr>
        <w:t>2</w:t>
      </w:r>
      <w:r w:rsidR="003F366B" w:rsidRPr="00033E65">
        <w:rPr>
          <w:rFonts w:cs="Arial"/>
          <w:b/>
          <w:color w:val="244061" w:themeColor="accent1" w:themeShade="80"/>
          <w:sz w:val="24"/>
          <w:szCs w:val="28"/>
        </w:rPr>
        <w:t>2</w:t>
      </w:r>
    </w:p>
    <w:tbl>
      <w:tblPr>
        <w:tblW w:w="11800" w:type="dxa"/>
        <w:jc w:val="center"/>
        <w:tblCellMar>
          <w:left w:w="70" w:type="dxa"/>
          <w:right w:w="70" w:type="dxa"/>
        </w:tblCellMar>
        <w:tblLook w:val="04A0" w:firstRow="1" w:lastRow="0" w:firstColumn="1" w:lastColumn="0" w:noHBand="0" w:noVBand="1"/>
      </w:tblPr>
      <w:tblGrid>
        <w:gridCol w:w="3542"/>
        <w:gridCol w:w="780"/>
        <w:gridCol w:w="920"/>
        <w:gridCol w:w="760"/>
        <w:gridCol w:w="800"/>
        <w:gridCol w:w="860"/>
        <w:gridCol w:w="920"/>
        <w:gridCol w:w="980"/>
        <w:gridCol w:w="1120"/>
        <w:gridCol w:w="1118"/>
      </w:tblGrid>
      <w:tr w:rsidR="00556EF5" w:rsidRPr="00033E65" w14:paraId="15881B97" w14:textId="77777777" w:rsidTr="002740AD">
        <w:trPr>
          <w:trHeight w:val="410"/>
          <w:tblHeader/>
          <w:jc w:val="center"/>
        </w:trPr>
        <w:tc>
          <w:tcPr>
            <w:tcW w:w="3542" w:type="dxa"/>
            <w:vMerge w:val="restart"/>
            <w:tcBorders>
              <w:top w:val="double" w:sz="6" w:space="0" w:color="1F497D"/>
              <w:left w:val="double" w:sz="6" w:space="0" w:color="1F497D"/>
              <w:right w:val="double" w:sz="6" w:space="0" w:color="1F497D"/>
            </w:tcBorders>
            <w:shd w:val="clear" w:color="000000" w:fill="0673A5"/>
            <w:vAlign w:val="center"/>
            <w:hideMark/>
          </w:tcPr>
          <w:p w14:paraId="025C73AC" w14:textId="77777777" w:rsidR="0044746B" w:rsidRPr="00033E65" w:rsidRDefault="0044746B" w:rsidP="0044746B">
            <w:pPr>
              <w:spacing w:before="0" w:after="0"/>
              <w:jc w:val="center"/>
              <w:rPr>
                <w:rFonts w:cs="Arial"/>
                <w:b/>
                <w:bCs/>
                <w:color w:val="FFFFFF"/>
                <w:szCs w:val="22"/>
                <w:lang w:eastAsia="es-CR"/>
              </w:rPr>
            </w:pPr>
            <w:r w:rsidRPr="00033E65">
              <w:rPr>
                <w:rFonts w:cs="Arial"/>
                <w:b/>
                <w:bCs/>
                <w:color w:val="FFFFFF"/>
                <w:szCs w:val="22"/>
                <w:lang w:eastAsia="es-CR"/>
              </w:rPr>
              <w:t xml:space="preserve">Juzgado </w:t>
            </w:r>
          </w:p>
        </w:tc>
        <w:tc>
          <w:tcPr>
            <w:tcW w:w="8258" w:type="dxa"/>
            <w:gridSpan w:val="9"/>
            <w:tcBorders>
              <w:top w:val="single" w:sz="4" w:space="0" w:color="auto"/>
              <w:left w:val="single" w:sz="4" w:space="0" w:color="auto"/>
              <w:bottom w:val="single" w:sz="4" w:space="0" w:color="auto"/>
              <w:right w:val="single" w:sz="4" w:space="0" w:color="auto"/>
            </w:tcBorders>
            <w:shd w:val="clear" w:color="000000" w:fill="0673A5"/>
            <w:vAlign w:val="center"/>
            <w:hideMark/>
          </w:tcPr>
          <w:p w14:paraId="2FCE39B2" w14:textId="77777777" w:rsidR="0044746B" w:rsidRPr="00033E65" w:rsidRDefault="0044746B" w:rsidP="0044746B">
            <w:pPr>
              <w:spacing w:before="0" w:after="0"/>
              <w:jc w:val="center"/>
              <w:rPr>
                <w:rFonts w:cs="Arial"/>
                <w:b/>
                <w:bCs/>
                <w:color w:val="FFFFFF"/>
                <w:szCs w:val="22"/>
                <w:lang w:eastAsia="es-CR"/>
              </w:rPr>
            </w:pPr>
            <w:r w:rsidRPr="00033E65">
              <w:rPr>
                <w:rFonts w:cs="Arial"/>
                <w:b/>
                <w:bCs/>
                <w:color w:val="FFFFFF"/>
                <w:szCs w:val="22"/>
                <w:lang w:eastAsia="es-CR"/>
              </w:rPr>
              <w:t xml:space="preserve">Informaciones Posesorias </w:t>
            </w:r>
          </w:p>
        </w:tc>
      </w:tr>
      <w:tr w:rsidR="000F3A93" w:rsidRPr="00033E65" w14:paraId="746FDBB9" w14:textId="77777777" w:rsidTr="002740AD">
        <w:trPr>
          <w:trHeight w:val="740"/>
          <w:tblHeader/>
          <w:jc w:val="center"/>
        </w:trPr>
        <w:tc>
          <w:tcPr>
            <w:tcW w:w="3542" w:type="dxa"/>
            <w:vMerge/>
            <w:tcBorders>
              <w:left w:val="double" w:sz="6" w:space="0" w:color="1F497D"/>
              <w:bottom w:val="double" w:sz="6" w:space="0" w:color="1F497D"/>
              <w:right w:val="double" w:sz="6" w:space="0" w:color="1F497D"/>
            </w:tcBorders>
            <w:vAlign w:val="center"/>
            <w:hideMark/>
          </w:tcPr>
          <w:p w14:paraId="219723A2" w14:textId="77777777" w:rsidR="0044746B" w:rsidRPr="00033E65" w:rsidRDefault="0044746B" w:rsidP="0044746B">
            <w:pPr>
              <w:spacing w:before="0" w:after="0"/>
              <w:jc w:val="left"/>
              <w:rPr>
                <w:rFonts w:cs="Arial"/>
                <w:b/>
                <w:bCs/>
                <w:color w:val="FFFFFF"/>
                <w:szCs w:val="22"/>
                <w:lang w:eastAsia="es-CR"/>
              </w:rPr>
            </w:pPr>
          </w:p>
        </w:tc>
        <w:tc>
          <w:tcPr>
            <w:tcW w:w="780" w:type="dxa"/>
            <w:tcBorders>
              <w:top w:val="nil"/>
              <w:left w:val="nil"/>
              <w:bottom w:val="double" w:sz="6" w:space="0" w:color="1F497D"/>
              <w:right w:val="double" w:sz="6" w:space="0" w:color="1F497D"/>
            </w:tcBorders>
            <w:shd w:val="clear" w:color="000000" w:fill="0673A5"/>
            <w:vAlign w:val="center"/>
            <w:hideMark/>
          </w:tcPr>
          <w:p w14:paraId="3E3EC509" w14:textId="77777777" w:rsidR="0044746B" w:rsidRPr="00033E65" w:rsidRDefault="0044746B" w:rsidP="0044746B">
            <w:pPr>
              <w:spacing w:before="0" w:after="0"/>
              <w:jc w:val="center"/>
              <w:rPr>
                <w:rFonts w:cs="Arial"/>
                <w:b/>
                <w:bCs/>
                <w:color w:val="FFFFFF"/>
                <w:szCs w:val="22"/>
                <w:lang w:eastAsia="es-CR"/>
              </w:rPr>
            </w:pPr>
            <w:r w:rsidRPr="00033E65">
              <w:rPr>
                <w:rFonts w:cs="Arial"/>
                <w:b/>
                <w:bCs/>
                <w:color w:val="FFFFFF"/>
                <w:szCs w:val="22"/>
                <w:lang w:eastAsia="es-CR"/>
              </w:rPr>
              <w:t>2016</w:t>
            </w:r>
          </w:p>
        </w:tc>
        <w:tc>
          <w:tcPr>
            <w:tcW w:w="920" w:type="dxa"/>
            <w:tcBorders>
              <w:top w:val="nil"/>
              <w:left w:val="nil"/>
              <w:bottom w:val="double" w:sz="6" w:space="0" w:color="1F497D"/>
              <w:right w:val="double" w:sz="6" w:space="0" w:color="1F497D"/>
            </w:tcBorders>
            <w:shd w:val="clear" w:color="000000" w:fill="0673A5"/>
            <w:vAlign w:val="center"/>
            <w:hideMark/>
          </w:tcPr>
          <w:p w14:paraId="0919B32E" w14:textId="77777777" w:rsidR="0044746B" w:rsidRPr="00033E65" w:rsidRDefault="0044746B" w:rsidP="0044746B">
            <w:pPr>
              <w:spacing w:before="0" w:after="0"/>
              <w:jc w:val="center"/>
              <w:rPr>
                <w:rFonts w:cs="Arial"/>
                <w:b/>
                <w:bCs/>
                <w:color w:val="FFFFFF"/>
                <w:szCs w:val="22"/>
                <w:lang w:eastAsia="es-CR"/>
              </w:rPr>
            </w:pPr>
            <w:r w:rsidRPr="00033E65">
              <w:rPr>
                <w:rFonts w:cs="Arial"/>
                <w:b/>
                <w:bCs/>
                <w:color w:val="FFFFFF"/>
                <w:szCs w:val="22"/>
                <w:lang w:eastAsia="es-CR"/>
              </w:rPr>
              <w:t>2017</w:t>
            </w:r>
          </w:p>
        </w:tc>
        <w:tc>
          <w:tcPr>
            <w:tcW w:w="760" w:type="dxa"/>
            <w:tcBorders>
              <w:top w:val="nil"/>
              <w:left w:val="nil"/>
              <w:bottom w:val="double" w:sz="6" w:space="0" w:color="1F497D"/>
              <w:right w:val="double" w:sz="6" w:space="0" w:color="1F497D"/>
            </w:tcBorders>
            <w:shd w:val="clear" w:color="000000" w:fill="0673A5"/>
            <w:vAlign w:val="center"/>
            <w:hideMark/>
          </w:tcPr>
          <w:p w14:paraId="39FB9512" w14:textId="77777777" w:rsidR="0044746B" w:rsidRPr="00033E65" w:rsidRDefault="0044746B" w:rsidP="0044746B">
            <w:pPr>
              <w:spacing w:before="0" w:after="0"/>
              <w:jc w:val="center"/>
              <w:rPr>
                <w:rFonts w:cs="Arial"/>
                <w:b/>
                <w:bCs/>
                <w:color w:val="FFFFFF"/>
                <w:szCs w:val="22"/>
                <w:lang w:eastAsia="es-CR"/>
              </w:rPr>
            </w:pPr>
            <w:r w:rsidRPr="00033E65">
              <w:rPr>
                <w:rFonts w:cs="Arial"/>
                <w:b/>
                <w:bCs/>
                <w:color w:val="FFFFFF"/>
                <w:szCs w:val="22"/>
                <w:lang w:eastAsia="es-CR"/>
              </w:rPr>
              <w:t>2018</w:t>
            </w:r>
          </w:p>
        </w:tc>
        <w:tc>
          <w:tcPr>
            <w:tcW w:w="800" w:type="dxa"/>
            <w:tcBorders>
              <w:top w:val="nil"/>
              <w:left w:val="nil"/>
              <w:bottom w:val="double" w:sz="6" w:space="0" w:color="1F497D"/>
              <w:right w:val="double" w:sz="6" w:space="0" w:color="1F497D"/>
            </w:tcBorders>
            <w:shd w:val="clear" w:color="000000" w:fill="0673A5"/>
            <w:vAlign w:val="center"/>
            <w:hideMark/>
          </w:tcPr>
          <w:p w14:paraId="0392B793" w14:textId="77777777" w:rsidR="0044746B" w:rsidRPr="00033E65" w:rsidRDefault="0044746B" w:rsidP="0044746B">
            <w:pPr>
              <w:spacing w:before="0" w:after="0"/>
              <w:jc w:val="center"/>
              <w:rPr>
                <w:rFonts w:cs="Arial"/>
                <w:b/>
                <w:bCs/>
                <w:color w:val="FFFFFF"/>
                <w:szCs w:val="22"/>
                <w:lang w:eastAsia="es-CR"/>
              </w:rPr>
            </w:pPr>
            <w:r w:rsidRPr="00033E65">
              <w:rPr>
                <w:rFonts w:cs="Arial"/>
                <w:b/>
                <w:bCs/>
                <w:color w:val="FFFFFF"/>
                <w:szCs w:val="22"/>
                <w:lang w:eastAsia="es-CR"/>
              </w:rPr>
              <w:t>2019</w:t>
            </w:r>
          </w:p>
        </w:tc>
        <w:tc>
          <w:tcPr>
            <w:tcW w:w="860" w:type="dxa"/>
            <w:tcBorders>
              <w:top w:val="nil"/>
              <w:left w:val="nil"/>
              <w:bottom w:val="double" w:sz="6" w:space="0" w:color="1F497D"/>
              <w:right w:val="double" w:sz="6" w:space="0" w:color="1F497D"/>
            </w:tcBorders>
            <w:shd w:val="clear" w:color="000000" w:fill="0673A5"/>
            <w:vAlign w:val="center"/>
            <w:hideMark/>
          </w:tcPr>
          <w:p w14:paraId="2E992253" w14:textId="77777777" w:rsidR="0044746B" w:rsidRPr="00033E65" w:rsidRDefault="0044746B" w:rsidP="0044746B">
            <w:pPr>
              <w:spacing w:before="0" w:after="0"/>
              <w:jc w:val="center"/>
              <w:rPr>
                <w:rFonts w:cs="Arial"/>
                <w:b/>
                <w:bCs/>
                <w:color w:val="FFFFFF"/>
                <w:szCs w:val="22"/>
                <w:lang w:eastAsia="es-CR"/>
              </w:rPr>
            </w:pPr>
            <w:r w:rsidRPr="00033E65">
              <w:rPr>
                <w:rFonts w:cs="Arial"/>
                <w:b/>
                <w:bCs/>
                <w:color w:val="FFFFFF"/>
                <w:szCs w:val="22"/>
                <w:lang w:eastAsia="es-CR"/>
              </w:rPr>
              <w:t>2020</w:t>
            </w:r>
          </w:p>
        </w:tc>
        <w:tc>
          <w:tcPr>
            <w:tcW w:w="920" w:type="dxa"/>
            <w:tcBorders>
              <w:top w:val="nil"/>
              <w:left w:val="nil"/>
              <w:bottom w:val="double" w:sz="6" w:space="0" w:color="1F497D"/>
              <w:right w:val="double" w:sz="6" w:space="0" w:color="1F497D"/>
            </w:tcBorders>
            <w:shd w:val="clear" w:color="000000" w:fill="0673A5"/>
            <w:vAlign w:val="center"/>
            <w:hideMark/>
          </w:tcPr>
          <w:p w14:paraId="43C68C2A" w14:textId="77777777" w:rsidR="0044746B" w:rsidRPr="00033E65" w:rsidRDefault="0044746B" w:rsidP="0044746B">
            <w:pPr>
              <w:spacing w:before="0" w:after="0"/>
              <w:jc w:val="center"/>
              <w:rPr>
                <w:rFonts w:cs="Arial"/>
                <w:b/>
                <w:bCs/>
                <w:color w:val="FFFFFF"/>
                <w:szCs w:val="22"/>
                <w:lang w:eastAsia="es-CR"/>
              </w:rPr>
            </w:pPr>
            <w:r w:rsidRPr="00033E65">
              <w:rPr>
                <w:rFonts w:cs="Arial"/>
                <w:b/>
                <w:bCs/>
                <w:color w:val="FFFFFF"/>
                <w:szCs w:val="22"/>
                <w:lang w:eastAsia="es-CR"/>
              </w:rPr>
              <w:t>2021</w:t>
            </w:r>
          </w:p>
        </w:tc>
        <w:tc>
          <w:tcPr>
            <w:tcW w:w="980" w:type="dxa"/>
            <w:tcBorders>
              <w:top w:val="nil"/>
              <w:left w:val="nil"/>
              <w:bottom w:val="double" w:sz="6" w:space="0" w:color="1F497D"/>
              <w:right w:val="double" w:sz="6" w:space="0" w:color="1F497D"/>
            </w:tcBorders>
            <w:shd w:val="clear" w:color="000000" w:fill="0673A5"/>
            <w:vAlign w:val="center"/>
            <w:hideMark/>
          </w:tcPr>
          <w:p w14:paraId="32FC0212" w14:textId="77777777" w:rsidR="0044746B" w:rsidRPr="00033E65" w:rsidRDefault="0044746B" w:rsidP="0044746B">
            <w:pPr>
              <w:spacing w:before="0" w:after="0"/>
              <w:jc w:val="center"/>
              <w:rPr>
                <w:rFonts w:cs="Arial"/>
                <w:b/>
                <w:bCs/>
                <w:color w:val="FFFFFF"/>
                <w:szCs w:val="22"/>
                <w:lang w:eastAsia="es-CR"/>
              </w:rPr>
            </w:pPr>
            <w:r w:rsidRPr="00033E65">
              <w:rPr>
                <w:rFonts w:cs="Arial"/>
                <w:b/>
                <w:bCs/>
                <w:color w:val="FFFFFF"/>
                <w:szCs w:val="22"/>
                <w:lang w:eastAsia="es-CR"/>
              </w:rPr>
              <w:t>2022</w:t>
            </w:r>
          </w:p>
        </w:tc>
        <w:tc>
          <w:tcPr>
            <w:tcW w:w="1120" w:type="dxa"/>
            <w:tcBorders>
              <w:top w:val="nil"/>
              <w:left w:val="nil"/>
              <w:bottom w:val="double" w:sz="6" w:space="0" w:color="1F497D"/>
              <w:right w:val="double" w:sz="6" w:space="0" w:color="1F497D"/>
            </w:tcBorders>
            <w:shd w:val="clear" w:color="000000" w:fill="0673A5"/>
            <w:vAlign w:val="center"/>
            <w:hideMark/>
          </w:tcPr>
          <w:p w14:paraId="08E84C14" w14:textId="77777777" w:rsidR="0044746B" w:rsidRPr="00033E65" w:rsidRDefault="0044746B" w:rsidP="0044746B">
            <w:pPr>
              <w:spacing w:before="0" w:after="0"/>
              <w:jc w:val="center"/>
              <w:rPr>
                <w:rFonts w:cs="Arial"/>
                <w:b/>
                <w:bCs/>
                <w:color w:val="FFFFFF"/>
                <w:szCs w:val="22"/>
                <w:lang w:eastAsia="es-CR"/>
              </w:rPr>
            </w:pPr>
            <w:r w:rsidRPr="00033E65">
              <w:rPr>
                <w:rFonts w:cs="Arial"/>
                <w:b/>
                <w:bCs/>
                <w:color w:val="FFFFFF"/>
                <w:szCs w:val="22"/>
                <w:lang w:eastAsia="es-CR"/>
              </w:rPr>
              <w:t>Promedio Anual</w:t>
            </w:r>
          </w:p>
        </w:tc>
        <w:tc>
          <w:tcPr>
            <w:tcW w:w="1118" w:type="dxa"/>
            <w:tcBorders>
              <w:top w:val="nil"/>
              <w:left w:val="nil"/>
              <w:bottom w:val="double" w:sz="6" w:space="0" w:color="1F497D"/>
              <w:right w:val="double" w:sz="6" w:space="0" w:color="1F497D"/>
            </w:tcBorders>
            <w:shd w:val="clear" w:color="000000" w:fill="0673A5"/>
            <w:vAlign w:val="center"/>
            <w:hideMark/>
          </w:tcPr>
          <w:p w14:paraId="52BB3F15" w14:textId="77777777" w:rsidR="0044746B" w:rsidRPr="00033E65" w:rsidRDefault="0044746B" w:rsidP="0044746B">
            <w:pPr>
              <w:spacing w:before="0" w:after="0"/>
              <w:jc w:val="center"/>
              <w:rPr>
                <w:rFonts w:cs="Arial"/>
                <w:b/>
                <w:bCs/>
                <w:color w:val="FFFFFF"/>
                <w:szCs w:val="22"/>
                <w:lang w:eastAsia="es-CR"/>
              </w:rPr>
            </w:pPr>
            <w:r w:rsidRPr="00033E65">
              <w:rPr>
                <w:rFonts w:cs="Arial"/>
                <w:b/>
                <w:bCs/>
                <w:color w:val="FFFFFF"/>
                <w:szCs w:val="22"/>
                <w:lang w:eastAsia="es-CR"/>
              </w:rPr>
              <w:t xml:space="preserve">Promedio Mensual </w:t>
            </w:r>
          </w:p>
        </w:tc>
      </w:tr>
      <w:tr w:rsidR="0044746B" w:rsidRPr="00033E65" w14:paraId="48A53FAF" w14:textId="77777777" w:rsidTr="003A468E">
        <w:trPr>
          <w:trHeight w:val="60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024D32E9"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Agrario II Circ. Jud. Guanacaste (Santa Cruz)</w:t>
            </w:r>
          </w:p>
        </w:tc>
        <w:tc>
          <w:tcPr>
            <w:tcW w:w="780" w:type="dxa"/>
            <w:tcBorders>
              <w:top w:val="nil"/>
              <w:left w:val="nil"/>
              <w:bottom w:val="double" w:sz="6" w:space="0" w:color="1F497D"/>
              <w:right w:val="double" w:sz="6" w:space="0" w:color="1F497D"/>
            </w:tcBorders>
            <w:shd w:val="clear" w:color="auto" w:fill="auto"/>
            <w:noWrap/>
            <w:vAlign w:val="center"/>
            <w:hideMark/>
          </w:tcPr>
          <w:p w14:paraId="66A6BAEE"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159</w:t>
            </w:r>
          </w:p>
        </w:tc>
        <w:tc>
          <w:tcPr>
            <w:tcW w:w="920" w:type="dxa"/>
            <w:tcBorders>
              <w:top w:val="nil"/>
              <w:left w:val="nil"/>
              <w:bottom w:val="double" w:sz="6" w:space="0" w:color="1F497D"/>
              <w:right w:val="double" w:sz="6" w:space="0" w:color="1F497D"/>
            </w:tcBorders>
            <w:shd w:val="clear" w:color="auto" w:fill="auto"/>
            <w:noWrap/>
            <w:vAlign w:val="center"/>
            <w:hideMark/>
          </w:tcPr>
          <w:p w14:paraId="255E35B3"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172</w:t>
            </w:r>
          </w:p>
        </w:tc>
        <w:tc>
          <w:tcPr>
            <w:tcW w:w="760" w:type="dxa"/>
            <w:tcBorders>
              <w:top w:val="nil"/>
              <w:left w:val="nil"/>
              <w:bottom w:val="double" w:sz="6" w:space="0" w:color="1F497D"/>
              <w:right w:val="double" w:sz="6" w:space="0" w:color="1F497D"/>
            </w:tcBorders>
            <w:shd w:val="clear" w:color="auto" w:fill="auto"/>
            <w:noWrap/>
            <w:vAlign w:val="center"/>
            <w:hideMark/>
          </w:tcPr>
          <w:p w14:paraId="2A3EDA76"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171</w:t>
            </w:r>
          </w:p>
        </w:tc>
        <w:tc>
          <w:tcPr>
            <w:tcW w:w="800" w:type="dxa"/>
            <w:tcBorders>
              <w:top w:val="nil"/>
              <w:left w:val="nil"/>
              <w:bottom w:val="double" w:sz="6" w:space="0" w:color="1F497D"/>
              <w:right w:val="double" w:sz="6" w:space="0" w:color="1F497D"/>
            </w:tcBorders>
            <w:shd w:val="clear" w:color="auto" w:fill="auto"/>
            <w:noWrap/>
            <w:vAlign w:val="center"/>
            <w:hideMark/>
          </w:tcPr>
          <w:p w14:paraId="484FB0D1"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143</w:t>
            </w:r>
          </w:p>
        </w:tc>
        <w:tc>
          <w:tcPr>
            <w:tcW w:w="860" w:type="dxa"/>
            <w:tcBorders>
              <w:top w:val="nil"/>
              <w:left w:val="nil"/>
              <w:bottom w:val="double" w:sz="6" w:space="0" w:color="1F497D"/>
              <w:right w:val="double" w:sz="6" w:space="0" w:color="1F497D"/>
            </w:tcBorders>
            <w:shd w:val="clear" w:color="auto" w:fill="auto"/>
            <w:noWrap/>
            <w:vAlign w:val="center"/>
            <w:hideMark/>
          </w:tcPr>
          <w:p w14:paraId="343F147F"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152</w:t>
            </w:r>
          </w:p>
        </w:tc>
        <w:tc>
          <w:tcPr>
            <w:tcW w:w="920" w:type="dxa"/>
            <w:tcBorders>
              <w:top w:val="nil"/>
              <w:left w:val="nil"/>
              <w:bottom w:val="double" w:sz="6" w:space="0" w:color="1F497D"/>
              <w:right w:val="double" w:sz="6" w:space="0" w:color="1F497D"/>
            </w:tcBorders>
            <w:shd w:val="clear" w:color="auto" w:fill="auto"/>
            <w:noWrap/>
            <w:vAlign w:val="center"/>
            <w:hideMark/>
          </w:tcPr>
          <w:p w14:paraId="73022C6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161</w:t>
            </w:r>
          </w:p>
        </w:tc>
        <w:tc>
          <w:tcPr>
            <w:tcW w:w="980" w:type="dxa"/>
            <w:tcBorders>
              <w:top w:val="nil"/>
              <w:left w:val="nil"/>
              <w:bottom w:val="double" w:sz="6" w:space="0" w:color="1F497D"/>
              <w:right w:val="double" w:sz="6" w:space="0" w:color="1F497D"/>
            </w:tcBorders>
            <w:shd w:val="clear" w:color="auto" w:fill="auto"/>
            <w:noWrap/>
            <w:vAlign w:val="center"/>
            <w:hideMark/>
          </w:tcPr>
          <w:p w14:paraId="356EEE5F"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195</w:t>
            </w:r>
          </w:p>
        </w:tc>
        <w:tc>
          <w:tcPr>
            <w:tcW w:w="1120" w:type="dxa"/>
            <w:tcBorders>
              <w:top w:val="nil"/>
              <w:left w:val="nil"/>
              <w:bottom w:val="double" w:sz="6" w:space="0" w:color="1F497D"/>
              <w:right w:val="double" w:sz="6" w:space="0" w:color="1F497D"/>
            </w:tcBorders>
            <w:shd w:val="clear" w:color="auto" w:fill="auto"/>
            <w:noWrap/>
            <w:vAlign w:val="center"/>
            <w:hideMark/>
          </w:tcPr>
          <w:p w14:paraId="7BBB82C2"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165</w:t>
            </w:r>
          </w:p>
        </w:tc>
        <w:tc>
          <w:tcPr>
            <w:tcW w:w="1118" w:type="dxa"/>
            <w:tcBorders>
              <w:top w:val="nil"/>
              <w:left w:val="nil"/>
              <w:bottom w:val="double" w:sz="6" w:space="0" w:color="1F497D"/>
              <w:right w:val="double" w:sz="6" w:space="0" w:color="1F497D"/>
            </w:tcBorders>
            <w:shd w:val="clear" w:color="auto" w:fill="auto"/>
            <w:noWrap/>
            <w:vAlign w:val="center"/>
            <w:hideMark/>
          </w:tcPr>
          <w:p w14:paraId="63943AE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14</w:t>
            </w:r>
          </w:p>
        </w:tc>
      </w:tr>
      <w:tr w:rsidR="0044746B" w:rsidRPr="00033E65" w14:paraId="3160E9D6" w14:textId="77777777" w:rsidTr="003A468E">
        <w:trPr>
          <w:trHeight w:val="31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0688EF26"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Agrario II Circ. Jud. Zona Sur (Corredores)</w:t>
            </w:r>
          </w:p>
        </w:tc>
        <w:tc>
          <w:tcPr>
            <w:tcW w:w="780" w:type="dxa"/>
            <w:tcBorders>
              <w:top w:val="nil"/>
              <w:left w:val="nil"/>
              <w:bottom w:val="double" w:sz="6" w:space="0" w:color="1F497D"/>
              <w:right w:val="double" w:sz="6" w:space="0" w:color="1F497D"/>
            </w:tcBorders>
            <w:shd w:val="clear" w:color="auto" w:fill="auto"/>
            <w:noWrap/>
            <w:vAlign w:val="center"/>
            <w:hideMark/>
          </w:tcPr>
          <w:p w14:paraId="4E4B3EB9"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56</w:t>
            </w:r>
          </w:p>
        </w:tc>
        <w:tc>
          <w:tcPr>
            <w:tcW w:w="920" w:type="dxa"/>
            <w:tcBorders>
              <w:top w:val="nil"/>
              <w:left w:val="nil"/>
              <w:bottom w:val="double" w:sz="6" w:space="0" w:color="1F497D"/>
              <w:right w:val="double" w:sz="6" w:space="0" w:color="1F497D"/>
            </w:tcBorders>
            <w:shd w:val="clear" w:color="auto" w:fill="auto"/>
            <w:noWrap/>
            <w:vAlign w:val="center"/>
            <w:hideMark/>
          </w:tcPr>
          <w:p w14:paraId="37B228B5"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54</w:t>
            </w:r>
          </w:p>
        </w:tc>
        <w:tc>
          <w:tcPr>
            <w:tcW w:w="760" w:type="dxa"/>
            <w:tcBorders>
              <w:top w:val="nil"/>
              <w:left w:val="nil"/>
              <w:bottom w:val="double" w:sz="6" w:space="0" w:color="1F497D"/>
              <w:right w:val="double" w:sz="6" w:space="0" w:color="1F497D"/>
            </w:tcBorders>
            <w:shd w:val="clear" w:color="auto" w:fill="auto"/>
            <w:noWrap/>
            <w:vAlign w:val="center"/>
            <w:hideMark/>
          </w:tcPr>
          <w:p w14:paraId="48D07800"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54</w:t>
            </w:r>
          </w:p>
        </w:tc>
        <w:tc>
          <w:tcPr>
            <w:tcW w:w="800" w:type="dxa"/>
            <w:tcBorders>
              <w:top w:val="nil"/>
              <w:left w:val="nil"/>
              <w:bottom w:val="double" w:sz="6" w:space="0" w:color="1F497D"/>
              <w:right w:val="double" w:sz="6" w:space="0" w:color="1F497D"/>
            </w:tcBorders>
            <w:shd w:val="clear" w:color="auto" w:fill="auto"/>
            <w:noWrap/>
            <w:vAlign w:val="center"/>
            <w:hideMark/>
          </w:tcPr>
          <w:p w14:paraId="00988673"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32</w:t>
            </w:r>
          </w:p>
        </w:tc>
        <w:tc>
          <w:tcPr>
            <w:tcW w:w="860" w:type="dxa"/>
            <w:tcBorders>
              <w:top w:val="nil"/>
              <w:left w:val="nil"/>
              <w:bottom w:val="double" w:sz="6" w:space="0" w:color="1F497D"/>
              <w:right w:val="double" w:sz="6" w:space="0" w:color="1F497D"/>
            </w:tcBorders>
            <w:shd w:val="clear" w:color="auto" w:fill="auto"/>
            <w:noWrap/>
            <w:vAlign w:val="center"/>
            <w:hideMark/>
          </w:tcPr>
          <w:p w14:paraId="766A9336"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49</w:t>
            </w:r>
          </w:p>
        </w:tc>
        <w:tc>
          <w:tcPr>
            <w:tcW w:w="920" w:type="dxa"/>
            <w:tcBorders>
              <w:top w:val="nil"/>
              <w:left w:val="nil"/>
              <w:bottom w:val="double" w:sz="6" w:space="0" w:color="1F497D"/>
              <w:right w:val="double" w:sz="6" w:space="0" w:color="1F497D"/>
            </w:tcBorders>
            <w:shd w:val="clear" w:color="auto" w:fill="auto"/>
            <w:noWrap/>
            <w:vAlign w:val="center"/>
            <w:hideMark/>
          </w:tcPr>
          <w:p w14:paraId="719E699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65</w:t>
            </w:r>
          </w:p>
        </w:tc>
        <w:tc>
          <w:tcPr>
            <w:tcW w:w="980" w:type="dxa"/>
            <w:tcBorders>
              <w:top w:val="nil"/>
              <w:left w:val="nil"/>
              <w:bottom w:val="double" w:sz="6" w:space="0" w:color="1F497D"/>
              <w:right w:val="double" w:sz="6" w:space="0" w:color="1F497D"/>
            </w:tcBorders>
            <w:shd w:val="clear" w:color="auto" w:fill="auto"/>
            <w:noWrap/>
            <w:vAlign w:val="center"/>
            <w:hideMark/>
          </w:tcPr>
          <w:p w14:paraId="6546A019"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73</w:t>
            </w:r>
          </w:p>
        </w:tc>
        <w:tc>
          <w:tcPr>
            <w:tcW w:w="1120" w:type="dxa"/>
            <w:tcBorders>
              <w:top w:val="nil"/>
              <w:left w:val="nil"/>
              <w:bottom w:val="double" w:sz="6" w:space="0" w:color="1F497D"/>
              <w:right w:val="double" w:sz="6" w:space="0" w:color="1F497D"/>
            </w:tcBorders>
            <w:shd w:val="clear" w:color="auto" w:fill="auto"/>
            <w:noWrap/>
            <w:vAlign w:val="center"/>
            <w:hideMark/>
          </w:tcPr>
          <w:p w14:paraId="6178C6D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55</w:t>
            </w:r>
          </w:p>
        </w:tc>
        <w:tc>
          <w:tcPr>
            <w:tcW w:w="1118" w:type="dxa"/>
            <w:tcBorders>
              <w:top w:val="nil"/>
              <w:left w:val="nil"/>
              <w:bottom w:val="double" w:sz="6" w:space="0" w:color="1F497D"/>
              <w:right w:val="double" w:sz="6" w:space="0" w:color="1F497D"/>
            </w:tcBorders>
            <w:shd w:val="clear" w:color="auto" w:fill="auto"/>
            <w:noWrap/>
            <w:vAlign w:val="center"/>
            <w:hideMark/>
          </w:tcPr>
          <w:p w14:paraId="7171AF59"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w:t>
            </w:r>
          </w:p>
        </w:tc>
      </w:tr>
      <w:tr w:rsidR="0044746B" w:rsidRPr="00033E65" w14:paraId="0B2AE93B" w14:textId="77777777" w:rsidTr="003A468E">
        <w:trPr>
          <w:trHeight w:val="31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6DF77DFF"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Agrario III Circ. Jud. Alajuela (San Ramón)</w:t>
            </w:r>
          </w:p>
        </w:tc>
        <w:tc>
          <w:tcPr>
            <w:tcW w:w="780" w:type="dxa"/>
            <w:tcBorders>
              <w:top w:val="nil"/>
              <w:left w:val="nil"/>
              <w:bottom w:val="double" w:sz="6" w:space="0" w:color="1F497D"/>
              <w:right w:val="double" w:sz="6" w:space="0" w:color="1F497D"/>
            </w:tcBorders>
            <w:shd w:val="clear" w:color="auto" w:fill="auto"/>
            <w:noWrap/>
            <w:vAlign w:val="center"/>
            <w:hideMark/>
          </w:tcPr>
          <w:p w14:paraId="4AA995E0"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71</w:t>
            </w:r>
          </w:p>
        </w:tc>
        <w:tc>
          <w:tcPr>
            <w:tcW w:w="920" w:type="dxa"/>
            <w:tcBorders>
              <w:top w:val="nil"/>
              <w:left w:val="nil"/>
              <w:bottom w:val="double" w:sz="6" w:space="0" w:color="1F497D"/>
              <w:right w:val="double" w:sz="6" w:space="0" w:color="1F497D"/>
            </w:tcBorders>
            <w:shd w:val="clear" w:color="auto" w:fill="auto"/>
            <w:noWrap/>
            <w:vAlign w:val="center"/>
            <w:hideMark/>
          </w:tcPr>
          <w:p w14:paraId="66E77E20"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78</w:t>
            </w:r>
          </w:p>
        </w:tc>
        <w:tc>
          <w:tcPr>
            <w:tcW w:w="760" w:type="dxa"/>
            <w:tcBorders>
              <w:top w:val="nil"/>
              <w:left w:val="nil"/>
              <w:bottom w:val="double" w:sz="6" w:space="0" w:color="1F497D"/>
              <w:right w:val="double" w:sz="6" w:space="0" w:color="1F497D"/>
            </w:tcBorders>
            <w:shd w:val="clear" w:color="auto" w:fill="auto"/>
            <w:noWrap/>
            <w:vAlign w:val="center"/>
            <w:hideMark/>
          </w:tcPr>
          <w:p w14:paraId="59DE83F7"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66</w:t>
            </w:r>
          </w:p>
        </w:tc>
        <w:tc>
          <w:tcPr>
            <w:tcW w:w="800" w:type="dxa"/>
            <w:tcBorders>
              <w:top w:val="nil"/>
              <w:left w:val="nil"/>
              <w:bottom w:val="double" w:sz="6" w:space="0" w:color="1F497D"/>
              <w:right w:val="double" w:sz="6" w:space="0" w:color="1F497D"/>
            </w:tcBorders>
            <w:shd w:val="clear" w:color="auto" w:fill="auto"/>
            <w:noWrap/>
            <w:vAlign w:val="center"/>
            <w:hideMark/>
          </w:tcPr>
          <w:p w14:paraId="48797B9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44</w:t>
            </w:r>
          </w:p>
        </w:tc>
        <w:tc>
          <w:tcPr>
            <w:tcW w:w="860" w:type="dxa"/>
            <w:tcBorders>
              <w:top w:val="nil"/>
              <w:left w:val="nil"/>
              <w:bottom w:val="double" w:sz="6" w:space="0" w:color="1F497D"/>
              <w:right w:val="double" w:sz="6" w:space="0" w:color="1F497D"/>
            </w:tcBorders>
            <w:shd w:val="clear" w:color="auto" w:fill="auto"/>
            <w:noWrap/>
            <w:vAlign w:val="center"/>
            <w:hideMark/>
          </w:tcPr>
          <w:p w14:paraId="77880A8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31</w:t>
            </w:r>
          </w:p>
        </w:tc>
        <w:tc>
          <w:tcPr>
            <w:tcW w:w="920" w:type="dxa"/>
            <w:tcBorders>
              <w:top w:val="nil"/>
              <w:left w:val="nil"/>
              <w:bottom w:val="double" w:sz="6" w:space="0" w:color="1F497D"/>
              <w:right w:val="double" w:sz="6" w:space="0" w:color="1F497D"/>
            </w:tcBorders>
            <w:shd w:val="clear" w:color="auto" w:fill="auto"/>
            <w:noWrap/>
            <w:vAlign w:val="center"/>
            <w:hideMark/>
          </w:tcPr>
          <w:p w14:paraId="3909BF3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39</w:t>
            </w:r>
          </w:p>
        </w:tc>
        <w:tc>
          <w:tcPr>
            <w:tcW w:w="980" w:type="dxa"/>
            <w:tcBorders>
              <w:top w:val="nil"/>
              <w:left w:val="nil"/>
              <w:bottom w:val="double" w:sz="6" w:space="0" w:color="1F497D"/>
              <w:right w:val="double" w:sz="6" w:space="0" w:color="1F497D"/>
            </w:tcBorders>
            <w:shd w:val="clear" w:color="auto" w:fill="auto"/>
            <w:noWrap/>
            <w:vAlign w:val="center"/>
            <w:hideMark/>
          </w:tcPr>
          <w:p w14:paraId="45FA0596"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57</w:t>
            </w:r>
          </w:p>
        </w:tc>
        <w:tc>
          <w:tcPr>
            <w:tcW w:w="1120" w:type="dxa"/>
            <w:tcBorders>
              <w:top w:val="nil"/>
              <w:left w:val="nil"/>
              <w:bottom w:val="double" w:sz="6" w:space="0" w:color="1F497D"/>
              <w:right w:val="double" w:sz="6" w:space="0" w:color="1F497D"/>
            </w:tcBorders>
            <w:shd w:val="clear" w:color="auto" w:fill="auto"/>
            <w:noWrap/>
            <w:vAlign w:val="center"/>
            <w:hideMark/>
          </w:tcPr>
          <w:p w14:paraId="23B52C74"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55</w:t>
            </w:r>
          </w:p>
        </w:tc>
        <w:tc>
          <w:tcPr>
            <w:tcW w:w="1118" w:type="dxa"/>
            <w:tcBorders>
              <w:top w:val="nil"/>
              <w:left w:val="nil"/>
              <w:bottom w:val="double" w:sz="6" w:space="0" w:color="1F497D"/>
              <w:right w:val="double" w:sz="6" w:space="0" w:color="1F497D"/>
            </w:tcBorders>
            <w:shd w:val="clear" w:color="auto" w:fill="auto"/>
            <w:noWrap/>
            <w:vAlign w:val="center"/>
            <w:hideMark/>
          </w:tcPr>
          <w:p w14:paraId="78771343"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w:t>
            </w:r>
          </w:p>
        </w:tc>
      </w:tr>
      <w:tr w:rsidR="0044746B" w:rsidRPr="00033E65" w14:paraId="7FC6684A" w14:textId="77777777" w:rsidTr="003A468E">
        <w:trPr>
          <w:trHeight w:val="89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08422187"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Civil, Trabajo, Agrario, Familia, Penal Juvenil, Contra la Violencia Doméstica y Protección Cautelar II Circuito Judicial de Alajuela, sede Upala</w:t>
            </w:r>
          </w:p>
        </w:tc>
        <w:tc>
          <w:tcPr>
            <w:tcW w:w="780" w:type="dxa"/>
            <w:tcBorders>
              <w:top w:val="nil"/>
              <w:left w:val="nil"/>
              <w:bottom w:val="double" w:sz="6" w:space="0" w:color="1F497D"/>
              <w:right w:val="double" w:sz="6" w:space="0" w:color="1F497D"/>
            </w:tcBorders>
            <w:shd w:val="clear" w:color="auto" w:fill="auto"/>
            <w:noWrap/>
            <w:vAlign w:val="center"/>
            <w:hideMark/>
          </w:tcPr>
          <w:p w14:paraId="6C0CE825"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84</w:t>
            </w:r>
          </w:p>
        </w:tc>
        <w:tc>
          <w:tcPr>
            <w:tcW w:w="920" w:type="dxa"/>
            <w:tcBorders>
              <w:top w:val="nil"/>
              <w:left w:val="nil"/>
              <w:bottom w:val="double" w:sz="6" w:space="0" w:color="1F497D"/>
              <w:right w:val="double" w:sz="6" w:space="0" w:color="1F497D"/>
            </w:tcBorders>
            <w:shd w:val="clear" w:color="auto" w:fill="auto"/>
            <w:noWrap/>
            <w:vAlign w:val="center"/>
            <w:hideMark/>
          </w:tcPr>
          <w:p w14:paraId="4632C4CF"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74</w:t>
            </w:r>
          </w:p>
        </w:tc>
        <w:tc>
          <w:tcPr>
            <w:tcW w:w="760" w:type="dxa"/>
            <w:tcBorders>
              <w:top w:val="nil"/>
              <w:left w:val="nil"/>
              <w:bottom w:val="double" w:sz="6" w:space="0" w:color="1F497D"/>
              <w:right w:val="double" w:sz="6" w:space="0" w:color="1F497D"/>
            </w:tcBorders>
            <w:shd w:val="clear" w:color="auto" w:fill="auto"/>
            <w:noWrap/>
            <w:vAlign w:val="center"/>
            <w:hideMark/>
          </w:tcPr>
          <w:p w14:paraId="24B50C4C"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56</w:t>
            </w:r>
          </w:p>
        </w:tc>
        <w:tc>
          <w:tcPr>
            <w:tcW w:w="800" w:type="dxa"/>
            <w:tcBorders>
              <w:top w:val="nil"/>
              <w:left w:val="nil"/>
              <w:bottom w:val="double" w:sz="6" w:space="0" w:color="1F497D"/>
              <w:right w:val="double" w:sz="6" w:space="0" w:color="1F497D"/>
            </w:tcBorders>
            <w:shd w:val="clear" w:color="auto" w:fill="auto"/>
            <w:noWrap/>
            <w:vAlign w:val="center"/>
            <w:hideMark/>
          </w:tcPr>
          <w:p w14:paraId="50A583F1"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72</w:t>
            </w:r>
          </w:p>
        </w:tc>
        <w:tc>
          <w:tcPr>
            <w:tcW w:w="860" w:type="dxa"/>
            <w:tcBorders>
              <w:top w:val="nil"/>
              <w:left w:val="nil"/>
              <w:bottom w:val="double" w:sz="6" w:space="0" w:color="1F497D"/>
              <w:right w:val="double" w:sz="6" w:space="0" w:color="1F497D"/>
            </w:tcBorders>
            <w:shd w:val="clear" w:color="auto" w:fill="auto"/>
            <w:noWrap/>
            <w:vAlign w:val="center"/>
            <w:hideMark/>
          </w:tcPr>
          <w:p w14:paraId="78C3A790"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54</w:t>
            </w:r>
          </w:p>
        </w:tc>
        <w:tc>
          <w:tcPr>
            <w:tcW w:w="920" w:type="dxa"/>
            <w:tcBorders>
              <w:top w:val="nil"/>
              <w:left w:val="nil"/>
              <w:bottom w:val="double" w:sz="6" w:space="0" w:color="1F497D"/>
              <w:right w:val="double" w:sz="6" w:space="0" w:color="1F497D"/>
            </w:tcBorders>
            <w:shd w:val="clear" w:color="auto" w:fill="auto"/>
            <w:noWrap/>
            <w:vAlign w:val="center"/>
            <w:hideMark/>
          </w:tcPr>
          <w:p w14:paraId="0500388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74</w:t>
            </w:r>
          </w:p>
        </w:tc>
        <w:tc>
          <w:tcPr>
            <w:tcW w:w="980" w:type="dxa"/>
            <w:tcBorders>
              <w:top w:val="nil"/>
              <w:left w:val="nil"/>
              <w:bottom w:val="double" w:sz="6" w:space="0" w:color="1F497D"/>
              <w:right w:val="double" w:sz="6" w:space="0" w:color="1F497D"/>
            </w:tcBorders>
            <w:shd w:val="clear" w:color="auto" w:fill="auto"/>
            <w:noWrap/>
            <w:vAlign w:val="center"/>
            <w:hideMark/>
          </w:tcPr>
          <w:p w14:paraId="748628C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83</w:t>
            </w:r>
          </w:p>
        </w:tc>
        <w:tc>
          <w:tcPr>
            <w:tcW w:w="1120" w:type="dxa"/>
            <w:tcBorders>
              <w:top w:val="nil"/>
              <w:left w:val="nil"/>
              <w:bottom w:val="double" w:sz="6" w:space="0" w:color="1F497D"/>
              <w:right w:val="double" w:sz="6" w:space="0" w:color="1F497D"/>
            </w:tcBorders>
            <w:shd w:val="clear" w:color="auto" w:fill="auto"/>
            <w:noWrap/>
            <w:vAlign w:val="center"/>
            <w:hideMark/>
          </w:tcPr>
          <w:p w14:paraId="59D8276C"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71</w:t>
            </w:r>
          </w:p>
        </w:tc>
        <w:tc>
          <w:tcPr>
            <w:tcW w:w="1118" w:type="dxa"/>
            <w:tcBorders>
              <w:top w:val="nil"/>
              <w:left w:val="nil"/>
              <w:bottom w:val="double" w:sz="6" w:space="0" w:color="1F497D"/>
              <w:right w:val="double" w:sz="6" w:space="0" w:color="1F497D"/>
            </w:tcBorders>
            <w:shd w:val="clear" w:color="auto" w:fill="auto"/>
            <w:noWrap/>
            <w:vAlign w:val="center"/>
            <w:hideMark/>
          </w:tcPr>
          <w:p w14:paraId="546D4A40"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w:t>
            </w:r>
          </w:p>
        </w:tc>
      </w:tr>
      <w:tr w:rsidR="0044746B" w:rsidRPr="00033E65" w14:paraId="41F5B298" w14:textId="77777777" w:rsidTr="003A468E">
        <w:trPr>
          <w:trHeight w:val="31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799BE66D"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Agrario I Circ. Jud. Guanacaste (Liberia)</w:t>
            </w:r>
          </w:p>
        </w:tc>
        <w:tc>
          <w:tcPr>
            <w:tcW w:w="780" w:type="dxa"/>
            <w:tcBorders>
              <w:top w:val="nil"/>
              <w:left w:val="nil"/>
              <w:bottom w:val="double" w:sz="6" w:space="0" w:color="1F497D"/>
              <w:right w:val="double" w:sz="6" w:space="0" w:color="1F497D"/>
            </w:tcBorders>
            <w:shd w:val="clear" w:color="auto" w:fill="auto"/>
            <w:noWrap/>
            <w:vAlign w:val="center"/>
            <w:hideMark/>
          </w:tcPr>
          <w:p w14:paraId="6CE3D410"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75</w:t>
            </w:r>
          </w:p>
        </w:tc>
        <w:tc>
          <w:tcPr>
            <w:tcW w:w="920" w:type="dxa"/>
            <w:tcBorders>
              <w:top w:val="nil"/>
              <w:left w:val="nil"/>
              <w:bottom w:val="double" w:sz="6" w:space="0" w:color="1F497D"/>
              <w:right w:val="double" w:sz="6" w:space="0" w:color="1F497D"/>
            </w:tcBorders>
            <w:shd w:val="clear" w:color="auto" w:fill="auto"/>
            <w:noWrap/>
            <w:vAlign w:val="center"/>
            <w:hideMark/>
          </w:tcPr>
          <w:p w14:paraId="7B4B5C60"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82</w:t>
            </w:r>
          </w:p>
        </w:tc>
        <w:tc>
          <w:tcPr>
            <w:tcW w:w="760" w:type="dxa"/>
            <w:tcBorders>
              <w:top w:val="nil"/>
              <w:left w:val="nil"/>
              <w:bottom w:val="double" w:sz="6" w:space="0" w:color="1F497D"/>
              <w:right w:val="double" w:sz="6" w:space="0" w:color="1F497D"/>
            </w:tcBorders>
            <w:shd w:val="clear" w:color="auto" w:fill="auto"/>
            <w:noWrap/>
            <w:vAlign w:val="center"/>
            <w:hideMark/>
          </w:tcPr>
          <w:p w14:paraId="1523C4B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72</w:t>
            </w:r>
          </w:p>
        </w:tc>
        <w:tc>
          <w:tcPr>
            <w:tcW w:w="800" w:type="dxa"/>
            <w:tcBorders>
              <w:top w:val="nil"/>
              <w:left w:val="nil"/>
              <w:bottom w:val="double" w:sz="6" w:space="0" w:color="1F497D"/>
              <w:right w:val="double" w:sz="6" w:space="0" w:color="1F497D"/>
            </w:tcBorders>
            <w:shd w:val="clear" w:color="auto" w:fill="auto"/>
            <w:noWrap/>
            <w:vAlign w:val="center"/>
            <w:hideMark/>
          </w:tcPr>
          <w:p w14:paraId="183F55D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59</w:t>
            </w:r>
          </w:p>
        </w:tc>
        <w:tc>
          <w:tcPr>
            <w:tcW w:w="860" w:type="dxa"/>
            <w:tcBorders>
              <w:top w:val="nil"/>
              <w:left w:val="nil"/>
              <w:bottom w:val="double" w:sz="6" w:space="0" w:color="1F497D"/>
              <w:right w:val="double" w:sz="6" w:space="0" w:color="1F497D"/>
            </w:tcBorders>
            <w:shd w:val="clear" w:color="auto" w:fill="auto"/>
            <w:noWrap/>
            <w:vAlign w:val="center"/>
            <w:hideMark/>
          </w:tcPr>
          <w:p w14:paraId="50CDB289"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60</w:t>
            </w:r>
          </w:p>
        </w:tc>
        <w:tc>
          <w:tcPr>
            <w:tcW w:w="920" w:type="dxa"/>
            <w:tcBorders>
              <w:top w:val="nil"/>
              <w:left w:val="nil"/>
              <w:bottom w:val="double" w:sz="6" w:space="0" w:color="1F497D"/>
              <w:right w:val="double" w:sz="6" w:space="0" w:color="1F497D"/>
            </w:tcBorders>
            <w:shd w:val="clear" w:color="auto" w:fill="auto"/>
            <w:noWrap/>
            <w:vAlign w:val="center"/>
            <w:hideMark/>
          </w:tcPr>
          <w:p w14:paraId="7E4714E5"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85</w:t>
            </w:r>
          </w:p>
        </w:tc>
        <w:tc>
          <w:tcPr>
            <w:tcW w:w="980" w:type="dxa"/>
            <w:tcBorders>
              <w:top w:val="nil"/>
              <w:left w:val="nil"/>
              <w:bottom w:val="double" w:sz="6" w:space="0" w:color="1F497D"/>
              <w:right w:val="double" w:sz="6" w:space="0" w:color="1F497D"/>
            </w:tcBorders>
            <w:shd w:val="clear" w:color="auto" w:fill="auto"/>
            <w:noWrap/>
            <w:vAlign w:val="center"/>
            <w:hideMark/>
          </w:tcPr>
          <w:p w14:paraId="07F9A150"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106</w:t>
            </w:r>
          </w:p>
        </w:tc>
        <w:tc>
          <w:tcPr>
            <w:tcW w:w="1120" w:type="dxa"/>
            <w:tcBorders>
              <w:top w:val="nil"/>
              <w:left w:val="nil"/>
              <w:bottom w:val="double" w:sz="6" w:space="0" w:color="1F497D"/>
              <w:right w:val="double" w:sz="6" w:space="0" w:color="1F497D"/>
            </w:tcBorders>
            <w:shd w:val="clear" w:color="auto" w:fill="auto"/>
            <w:noWrap/>
            <w:vAlign w:val="center"/>
            <w:hideMark/>
          </w:tcPr>
          <w:p w14:paraId="0EAE20F4"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77</w:t>
            </w:r>
          </w:p>
        </w:tc>
        <w:tc>
          <w:tcPr>
            <w:tcW w:w="1118" w:type="dxa"/>
            <w:tcBorders>
              <w:top w:val="nil"/>
              <w:left w:val="nil"/>
              <w:bottom w:val="double" w:sz="6" w:space="0" w:color="1F497D"/>
              <w:right w:val="double" w:sz="6" w:space="0" w:color="1F497D"/>
            </w:tcBorders>
            <w:shd w:val="clear" w:color="auto" w:fill="auto"/>
            <w:noWrap/>
            <w:vAlign w:val="center"/>
            <w:hideMark/>
          </w:tcPr>
          <w:p w14:paraId="4932EE88"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w:t>
            </w:r>
          </w:p>
        </w:tc>
      </w:tr>
      <w:tr w:rsidR="0044746B" w:rsidRPr="00033E65" w14:paraId="4F143D89" w14:textId="77777777" w:rsidTr="003A468E">
        <w:trPr>
          <w:trHeight w:val="31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09D14D3C"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Agrario II Circ. Jud. Zona Atlántica (Pococí)</w:t>
            </w:r>
          </w:p>
        </w:tc>
        <w:tc>
          <w:tcPr>
            <w:tcW w:w="780" w:type="dxa"/>
            <w:tcBorders>
              <w:top w:val="nil"/>
              <w:left w:val="nil"/>
              <w:bottom w:val="double" w:sz="6" w:space="0" w:color="1F497D"/>
              <w:right w:val="double" w:sz="6" w:space="0" w:color="1F497D"/>
            </w:tcBorders>
            <w:shd w:val="clear" w:color="auto" w:fill="auto"/>
            <w:noWrap/>
            <w:vAlign w:val="center"/>
            <w:hideMark/>
          </w:tcPr>
          <w:p w14:paraId="3D8CAC5F"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61</w:t>
            </w:r>
          </w:p>
        </w:tc>
        <w:tc>
          <w:tcPr>
            <w:tcW w:w="920" w:type="dxa"/>
            <w:tcBorders>
              <w:top w:val="nil"/>
              <w:left w:val="nil"/>
              <w:bottom w:val="double" w:sz="6" w:space="0" w:color="1F497D"/>
              <w:right w:val="double" w:sz="6" w:space="0" w:color="1F497D"/>
            </w:tcBorders>
            <w:shd w:val="clear" w:color="auto" w:fill="auto"/>
            <w:noWrap/>
            <w:vAlign w:val="center"/>
            <w:hideMark/>
          </w:tcPr>
          <w:p w14:paraId="58BD8D7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63</w:t>
            </w:r>
          </w:p>
        </w:tc>
        <w:tc>
          <w:tcPr>
            <w:tcW w:w="760" w:type="dxa"/>
            <w:tcBorders>
              <w:top w:val="nil"/>
              <w:left w:val="nil"/>
              <w:bottom w:val="double" w:sz="6" w:space="0" w:color="1F497D"/>
              <w:right w:val="double" w:sz="6" w:space="0" w:color="1F497D"/>
            </w:tcBorders>
            <w:shd w:val="clear" w:color="auto" w:fill="auto"/>
            <w:noWrap/>
            <w:vAlign w:val="center"/>
            <w:hideMark/>
          </w:tcPr>
          <w:p w14:paraId="7AE980C5"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75</w:t>
            </w:r>
          </w:p>
        </w:tc>
        <w:tc>
          <w:tcPr>
            <w:tcW w:w="800" w:type="dxa"/>
            <w:tcBorders>
              <w:top w:val="nil"/>
              <w:left w:val="nil"/>
              <w:bottom w:val="double" w:sz="6" w:space="0" w:color="1F497D"/>
              <w:right w:val="double" w:sz="6" w:space="0" w:color="1F497D"/>
            </w:tcBorders>
            <w:shd w:val="clear" w:color="auto" w:fill="auto"/>
            <w:noWrap/>
            <w:vAlign w:val="center"/>
            <w:hideMark/>
          </w:tcPr>
          <w:p w14:paraId="6AFE04A4"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73</w:t>
            </w:r>
          </w:p>
        </w:tc>
        <w:tc>
          <w:tcPr>
            <w:tcW w:w="860" w:type="dxa"/>
            <w:tcBorders>
              <w:top w:val="nil"/>
              <w:left w:val="nil"/>
              <w:bottom w:val="double" w:sz="6" w:space="0" w:color="1F497D"/>
              <w:right w:val="double" w:sz="6" w:space="0" w:color="1F497D"/>
            </w:tcBorders>
            <w:shd w:val="clear" w:color="auto" w:fill="auto"/>
            <w:noWrap/>
            <w:vAlign w:val="center"/>
            <w:hideMark/>
          </w:tcPr>
          <w:p w14:paraId="2E050A2E"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66</w:t>
            </w:r>
          </w:p>
        </w:tc>
        <w:tc>
          <w:tcPr>
            <w:tcW w:w="920" w:type="dxa"/>
            <w:tcBorders>
              <w:top w:val="nil"/>
              <w:left w:val="nil"/>
              <w:bottom w:val="double" w:sz="6" w:space="0" w:color="1F497D"/>
              <w:right w:val="double" w:sz="6" w:space="0" w:color="1F497D"/>
            </w:tcBorders>
            <w:shd w:val="clear" w:color="auto" w:fill="auto"/>
            <w:noWrap/>
            <w:vAlign w:val="center"/>
            <w:hideMark/>
          </w:tcPr>
          <w:p w14:paraId="12645145"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57</w:t>
            </w:r>
          </w:p>
        </w:tc>
        <w:tc>
          <w:tcPr>
            <w:tcW w:w="980" w:type="dxa"/>
            <w:tcBorders>
              <w:top w:val="nil"/>
              <w:left w:val="nil"/>
              <w:bottom w:val="double" w:sz="6" w:space="0" w:color="1F497D"/>
              <w:right w:val="double" w:sz="6" w:space="0" w:color="1F497D"/>
            </w:tcBorders>
            <w:shd w:val="clear" w:color="auto" w:fill="auto"/>
            <w:noWrap/>
            <w:vAlign w:val="center"/>
            <w:hideMark/>
          </w:tcPr>
          <w:p w14:paraId="2D8E6D47"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82</w:t>
            </w:r>
          </w:p>
        </w:tc>
        <w:tc>
          <w:tcPr>
            <w:tcW w:w="1120" w:type="dxa"/>
            <w:tcBorders>
              <w:top w:val="nil"/>
              <w:left w:val="nil"/>
              <w:bottom w:val="double" w:sz="6" w:space="0" w:color="1F497D"/>
              <w:right w:val="double" w:sz="6" w:space="0" w:color="1F497D"/>
            </w:tcBorders>
            <w:shd w:val="clear" w:color="auto" w:fill="auto"/>
            <w:noWrap/>
            <w:vAlign w:val="center"/>
            <w:hideMark/>
          </w:tcPr>
          <w:p w14:paraId="4C0312E3"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68</w:t>
            </w:r>
          </w:p>
        </w:tc>
        <w:tc>
          <w:tcPr>
            <w:tcW w:w="1118" w:type="dxa"/>
            <w:tcBorders>
              <w:top w:val="nil"/>
              <w:left w:val="nil"/>
              <w:bottom w:val="double" w:sz="6" w:space="0" w:color="1F497D"/>
              <w:right w:val="double" w:sz="6" w:space="0" w:color="1F497D"/>
            </w:tcBorders>
            <w:shd w:val="clear" w:color="auto" w:fill="auto"/>
            <w:noWrap/>
            <w:vAlign w:val="center"/>
            <w:hideMark/>
          </w:tcPr>
          <w:p w14:paraId="2CF85CFE"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w:t>
            </w:r>
          </w:p>
        </w:tc>
      </w:tr>
      <w:tr w:rsidR="0044746B" w:rsidRPr="00033E65" w14:paraId="1CB56C7B" w14:textId="77777777" w:rsidTr="003A468E">
        <w:trPr>
          <w:trHeight w:val="31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568992A0"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Agrario II Circ. Jud. Alajuela (San Carlos)</w:t>
            </w:r>
          </w:p>
        </w:tc>
        <w:tc>
          <w:tcPr>
            <w:tcW w:w="780" w:type="dxa"/>
            <w:tcBorders>
              <w:top w:val="nil"/>
              <w:left w:val="nil"/>
              <w:bottom w:val="double" w:sz="6" w:space="0" w:color="1F497D"/>
              <w:right w:val="double" w:sz="6" w:space="0" w:color="1F497D"/>
            </w:tcBorders>
            <w:shd w:val="clear" w:color="auto" w:fill="auto"/>
            <w:noWrap/>
            <w:vAlign w:val="center"/>
            <w:hideMark/>
          </w:tcPr>
          <w:p w14:paraId="76CAE681"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68</w:t>
            </w:r>
          </w:p>
        </w:tc>
        <w:tc>
          <w:tcPr>
            <w:tcW w:w="920" w:type="dxa"/>
            <w:tcBorders>
              <w:top w:val="nil"/>
              <w:left w:val="nil"/>
              <w:bottom w:val="double" w:sz="6" w:space="0" w:color="1F497D"/>
              <w:right w:val="double" w:sz="6" w:space="0" w:color="1F497D"/>
            </w:tcBorders>
            <w:shd w:val="clear" w:color="auto" w:fill="auto"/>
            <w:noWrap/>
            <w:vAlign w:val="center"/>
            <w:hideMark/>
          </w:tcPr>
          <w:p w14:paraId="60F9CFA8"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59</w:t>
            </w:r>
          </w:p>
        </w:tc>
        <w:tc>
          <w:tcPr>
            <w:tcW w:w="760" w:type="dxa"/>
            <w:tcBorders>
              <w:top w:val="nil"/>
              <w:left w:val="nil"/>
              <w:bottom w:val="double" w:sz="6" w:space="0" w:color="1F497D"/>
              <w:right w:val="double" w:sz="6" w:space="0" w:color="1F497D"/>
            </w:tcBorders>
            <w:shd w:val="clear" w:color="auto" w:fill="auto"/>
            <w:noWrap/>
            <w:vAlign w:val="center"/>
            <w:hideMark/>
          </w:tcPr>
          <w:p w14:paraId="6AA05657"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66</w:t>
            </w:r>
          </w:p>
        </w:tc>
        <w:tc>
          <w:tcPr>
            <w:tcW w:w="800" w:type="dxa"/>
            <w:tcBorders>
              <w:top w:val="nil"/>
              <w:left w:val="nil"/>
              <w:bottom w:val="double" w:sz="6" w:space="0" w:color="1F497D"/>
              <w:right w:val="double" w:sz="6" w:space="0" w:color="1F497D"/>
            </w:tcBorders>
            <w:shd w:val="clear" w:color="auto" w:fill="auto"/>
            <w:noWrap/>
            <w:vAlign w:val="center"/>
            <w:hideMark/>
          </w:tcPr>
          <w:p w14:paraId="241D408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73</w:t>
            </w:r>
          </w:p>
        </w:tc>
        <w:tc>
          <w:tcPr>
            <w:tcW w:w="860" w:type="dxa"/>
            <w:tcBorders>
              <w:top w:val="nil"/>
              <w:left w:val="nil"/>
              <w:bottom w:val="double" w:sz="6" w:space="0" w:color="1F497D"/>
              <w:right w:val="double" w:sz="6" w:space="0" w:color="1F497D"/>
            </w:tcBorders>
            <w:shd w:val="clear" w:color="auto" w:fill="auto"/>
            <w:noWrap/>
            <w:vAlign w:val="center"/>
            <w:hideMark/>
          </w:tcPr>
          <w:p w14:paraId="1141CE6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61</w:t>
            </w:r>
          </w:p>
        </w:tc>
        <w:tc>
          <w:tcPr>
            <w:tcW w:w="920" w:type="dxa"/>
            <w:tcBorders>
              <w:top w:val="nil"/>
              <w:left w:val="nil"/>
              <w:bottom w:val="double" w:sz="6" w:space="0" w:color="1F497D"/>
              <w:right w:val="double" w:sz="6" w:space="0" w:color="1F497D"/>
            </w:tcBorders>
            <w:shd w:val="clear" w:color="auto" w:fill="auto"/>
            <w:noWrap/>
            <w:vAlign w:val="center"/>
            <w:hideMark/>
          </w:tcPr>
          <w:p w14:paraId="2498A202"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81</w:t>
            </w:r>
          </w:p>
        </w:tc>
        <w:tc>
          <w:tcPr>
            <w:tcW w:w="980" w:type="dxa"/>
            <w:tcBorders>
              <w:top w:val="nil"/>
              <w:left w:val="nil"/>
              <w:bottom w:val="double" w:sz="6" w:space="0" w:color="1F497D"/>
              <w:right w:val="double" w:sz="6" w:space="0" w:color="1F497D"/>
            </w:tcBorders>
            <w:shd w:val="clear" w:color="auto" w:fill="auto"/>
            <w:noWrap/>
            <w:vAlign w:val="center"/>
            <w:hideMark/>
          </w:tcPr>
          <w:p w14:paraId="0E8BF6FA"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83</w:t>
            </w:r>
          </w:p>
        </w:tc>
        <w:tc>
          <w:tcPr>
            <w:tcW w:w="1120" w:type="dxa"/>
            <w:tcBorders>
              <w:top w:val="nil"/>
              <w:left w:val="nil"/>
              <w:bottom w:val="double" w:sz="6" w:space="0" w:color="1F497D"/>
              <w:right w:val="double" w:sz="6" w:space="0" w:color="1F497D"/>
            </w:tcBorders>
            <w:shd w:val="clear" w:color="auto" w:fill="auto"/>
            <w:noWrap/>
            <w:vAlign w:val="center"/>
            <w:hideMark/>
          </w:tcPr>
          <w:p w14:paraId="2A8E9CE7"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70</w:t>
            </w:r>
          </w:p>
        </w:tc>
        <w:tc>
          <w:tcPr>
            <w:tcW w:w="1118" w:type="dxa"/>
            <w:tcBorders>
              <w:top w:val="nil"/>
              <w:left w:val="nil"/>
              <w:bottom w:val="double" w:sz="6" w:space="0" w:color="1F497D"/>
              <w:right w:val="double" w:sz="6" w:space="0" w:color="1F497D"/>
            </w:tcBorders>
            <w:shd w:val="clear" w:color="auto" w:fill="auto"/>
            <w:noWrap/>
            <w:vAlign w:val="center"/>
            <w:hideMark/>
          </w:tcPr>
          <w:p w14:paraId="3C2619B8"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w:t>
            </w:r>
          </w:p>
        </w:tc>
      </w:tr>
      <w:tr w:rsidR="0044746B" w:rsidRPr="00033E65" w14:paraId="33B3C574" w14:textId="77777777" w:rsidTr="003A468E">
        <w:trPr>
          <w:trHeight w:val="31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770F6CD8"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Agrario II Circ. Jud. San José</w:t>
            </w:r>
          </w:p>
        </w:tc>
        <w:tc>
          <w:tcPr>
            <w:tcW w:w="780" w:type="dxa"/>
            <w:tcBorders>
              <w:top w:val="nil"/>
              <w:left w:val="nil"/>
              <w:bottom w:val="double" w:sz="6" w:space="0" w:color="1F497D"/>
              <w:right w:val="double" w:sz="6" w:space="0" w:color="1F497D"/>
            </w:tcBorders>
            <w:shd w:val="clear" w:color="auto" w:fill="auto"/>
            <w:noWrap/>
            <w:vAlign w:val="center"/>
            <w:hideMark/>
          </w:tcPr>
          <w:p w14:paraId="25CF8338"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74</w:t>
            </w:r>
          </w:p>
        </w:tc>
        <w:tc>
          <w:tcPr>
            <w:tcW w:w="920" w:type="dxa"/>
            <w:tcBorders>
              <w:top w:val="nil"/>
              <w:left w:val="nil"/>
              <w:bottom w:val="double" w:sz="6" w:space="0" w:color="1F497D"/>
              <w:right w:val="double" w:sz="6" w:space="0" w:color="1F497D"/>
            </w:tcBorders>
            <w:shd w:val="clear" w:color="auto" w:fill="auto"/>
            <w:noWrap/>
            <w:vAlign w:val="center"/>
            <w:hideMark/>
          </w:tcPr>
          <w:p w14:paraId="24E9D2C9"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51</w:t>
            </w:r>
          </w:p>
        </w:tc>
        <w:tc>
          <w:tcPr>
            <w:tcW w:w="760" w:type="dxa"/>
            <w:tcBorders>
              <w:top w:val="nil"/>
              <w:left w:val="nil"/>
              <w:bottom w:val="double" w:sz="6" w:space="0" w:color="1F497D"/>
              <w:right w:val="double" w:sz="6" w:space="0" w:color="1F497D"/>
            </w:tcBorders>
            <w:shd w:val="clear" w:color="auto" w:fill="auto"/>
            <w:noWrap/>
            <w:vAlign w:val="center"/>
            <w:hideMark/>
          </w:tcPr>
          <w:p w14:paraId="394841E3"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51</w:t>
            </w:r>
          </w:p>
        </w:tc>
        <w:tc>
          <w:tcPr>
            <w:tcW w:w="800" w:type="dxa"/>
            <w:tcBorders>
              <w:top w:val="nil"/>
              <w:left w:val="nil"/>
              <w:bottom w:val="double" w:sz="6" w:space="0" w:color="1F497D"/>
              <w:right w:val="double" w:sz="6" w:space="0" w:color="1F497D"/>
            </w:tcBorders>
            <w:shd w:val="clear" w:color="auto" w:fill="auto"/>
            <w:noWrap/>
            <w:vAlign w:val="center"/>
            <w:hideMark/>
          </w:tcPr>
          <w:p w14:paraId="24146547"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35</w:t>
            </w:r>
          </w:p>
        </w:tc>
        <w:tc>
          <w:tcPr>
            <w:tcW w:w="860" w:type="dxa"/>
            <w:tcBorders>
              <w:top w:val="nil"/>
              <w:left w:val="nil"/>
              <w:bottom w:val="double" w:sz="6" w:space="0" w:color="1F497D"/>
              <w:right w:val="double" w:sz="6" w:space="0" w:color="1F497D"/>
            </w:tcBorders>
            <w:shd w:val="clear" w:color="auto" w:fill="auto"/>
            <w:noWrap/>
            <w:vAlign w:val="center"/>
            <w:hideMark/>
          </w:tcPr>
          <w:p w14:paraId="3D7E1708"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42</w:t>
            </w:r>
          </w:p>
        </w:tc>
        <w:tc>
          <w:tcPr>
            <w:tcW w:w="920" w:type="dxa"/>
            <w:tcBorders>
              <w:top w:val="nil"/>
              <w:left w:val="nil"/>
              <w:bottom w:val="double" w:sz="6" w:space="0" w:color="1F497D"/>
              <w:right w:val="double" w:sz="6" w:space="0" w:color="1F497D"/>
            </w:tcBorders>
            <w:shd w:val="clear" w:color="auto" w:fill="auto"/>
            <w:noWrap/>
            <w:vAlign w:val="center"/>
            <w:hideMark/>
          </w:tcPr>
          <w:p w14:paraId="29465743"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56</w:t>
            </w:r>
          </w:p>
        </w:tc>
        <w:tc>
          <w:tcPr>
            <w:tcW w:w="980" w:type="dxa"/>
            <w:tcBorders>
              <w:top w:val="nil"/>
              <w:left w:val="nil"/>
              <w:bottom w:val="double" w:sz="6" w:space="0" w:color="1F497D"/>
              <w:right w:val="double" w:sz="6" w:space="0" w:color="1F497D"/>
            </w:tcBorders>
            <w:shd w:val="clear" w:color="auto" w:fill="auto"/>
            <w:noWrap/>
            <w:vAlign w:val="center"/>
            <w:hideMark/>
          </w:tcPr>
          <w:p w14:paraId="0A8E7884"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66</w:t>
            </w:r>
          </w:p>
        </w:tc>
        <w:tc>
          <w:tcPr>
            <w:tcW w:w="1120" w:type="dxa"/>
            <w:tcBorders>
              <w:top w:val="nil"/>
              <w:left w:val="nil"/>
              <w:bottom w:val="double" w:sz="6" w:space="0" w:color="1F497D"/>
              <w:right w:val="double" w:sz="6" w:space="0" w:color="1F497D"/>
            </w:tcBorders>
            <w:shd w:val="clear" w:color="auto" w:fill="auto"/>
            <w:noWrap/>
            <w:vAlign w:val="center"/>
            <w:hideMark/>
          </w:tcPr>
          <w:p w14:paraId="16B204E5"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54</w:t>
            </w:r>
          </w:p>
        </w:tc>
        <w:tc>
          <w:tcPr>
            <w:tcW w:w="1118" w:type="dxa"/>
            <w:tcBorders>
              <w:top w:val="nil"/>
              <w:left w:val="nil"/>
              <w:bottom w:val="double" w:sz="6" w:space="0" w:color="1F497D"/>
              <w:right w:val="double" w:sz="6" w:space="0" w:color="1F497D"/>
            </w:tcBorders>
            <w:shd w:val="clear" w:color="auto" w:fill="auto"/>
            <w:noWrap/>
            <w:vAlign w:val="center"/>
            <w:hideMark/>
          </w:tcPr>
          <w:p w14:paraId="46728DB9"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w:t>
            </w:r>
          </w:p>
        </w:tc>
      </w:tr>
      <w:tr w:rsidR="0044746B" w:rsidRPr="00033E65" w14:paraId="4B1E4152" w14:textId="77777777" w:rsidTr="003A468E">
        <w:trPr>
          <w:trHeight w:val="31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12AAC56A"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Agrario Cartago</w:t>
            </w:r>
          </w:p>
        </w:tc>
        <w:tc>
          <w:tcPr>
            <w:tcW w:w="780" w:type="dxa"/>
            <w:tcBorders>
              <w:top w:val="nil"/>
              <w:left w:val="nil"/>
              <w:bottom w:val="double" w:sz="6" w:space="0" w:color="1F497D"/>
              <w:right w:val="double" w:sz="6" w:space="0" w:color="1F497D"/>
            </w:tcBorders>
            <w:shd w:val="clear" w:color="auto" w:fill="auto"/>
            <w:noWrap/>
            <w:vAlign w:val="center"/>
            <w:hideMark/>
          </w:tcPr>
          <w:p w14:paraId="3C6437E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80</w:t>
            </w:r>
          </w:p>
        </w:tc>
        <w:tc>
          <w:tcPr>
            <w:tcW w:w="920" w:type="dxa"/>
            <w:tcBorders>
              <w:top w:val="nil"/>
              <w:left w:val="nil"/>
              <w:bottom w:val="double" w:sz="6" w:space="0" w:color="1F497D"/>
              <w:right w:val="double" w:sz="6" w:space="0" w:color="1F497D"/>
            </w:tcBorders>
            <w:shd w:val="clear" w:color="auto" w:fill="auto"/>
            <w:noWrap/>
            <w:vAlign w:val="center"/>
            <w:hideMark/>
          </w:tcPr>
          <w:p w14:paraId="6BC205F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58</w:t>
            </w:r>
          </w:p>
        </w:tc>
        <w:tc>
          <w:tcPr>
            <w:tcW w:w="760" w:type="dxa"/>
            <w:tcBorders>
              <w:top w:val="nil"/>
              <w:left w:val="nil"/>
              <w:bottom w:val="double" w:sz="6" w:space="0" w:color="1F497D"/>
              <w:right w:val="double" w:sz="6" w:space="0" w:color="1F497D"/>
            </w:tcBorders>
            <w:shd w:val="clear" w:color="auto" w:fill="auto"/>
            <w:noWrap/>
            <w:vAlign w:val="center"/>
            <w:hideMark/>
          </w:tcPr>
          <w:p w14:paraId="0D6CB007"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52</w:t>
            </w:r>
          </w:p>
        </w:tc>
        <w:tc>
          <w:tcPr>
            <w:tcW w:w="800" w:type="dxa"/>
            <w:tcBorders>
              <w:top w:val="nil"/>
              <w:left w:val="nil"/>
              <w:bottom w:val="double" w:sz="6" w:space="0" w:color="1F497D"/>
              <w:right w:val="double" w:sz="6" w:space="0" w:color="1F497D"/>
            </w:tcBorders>
            <w:shd w:val="clear" w:color="auto" w:fill="auto"/>
            <w:noWrap/>
            <w:vAlign w:val="center"/>
            <w:hideMark/>
          </w:tcPr>
          <w:p w14:paraId="1DA9AC6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47</w:t>
            </w:r>
          </w:p>
        </w:tc>
        <w:tc>
          <w:tcPr>
            <w:tcW w:w="860" w:type="dxa"/>
            <w:tcBorders>
              <w:top w:val="nil"/>
              <w:left w:val="nil"/>
              <w:bottom w:val="double" w:sz="6" w:space="0" w:color="1F497D"/>
              <w:right w:val="double" w:sz="6" w:space="0" w:color="1F497D"/>
            </w:tcBorders>
            <w:shd w:val="clear" w:color="auto" w:fill="auto"/>
            <w:noWrap/>
            <w:vAlign w:val="center"/>
            <w:hideMark/>
          </w:tcPr>
          <w:p w14:paraId="114887B3"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52</w:t>
            </w:r>
          </w:p>
        </w:tc>
        <w:tc>
          <w:tcPr>
            <w:tcW w:w="920" w:type="dxa"/>
            <w:tcBorders>
              <w:top w:val="nil"/>
              <w:left w:val="nil"/>
              <w:bottom w:val="double" w:sz="6" w:space="0" w:color="1F497D"/>
              <w:right w:val="double" w:sz="6" w:space="0" w:color="1F497D"/>
            </w:tcBorders>
            <w:shd w:val="clear" w:color="auto" w:fill="auto"/>
            <w:noWrap/>
            <w:vAlign w:val="center"/>
            <w:hideMark/>
          </w:tcPr>
          <w:p w14:paraId="268A970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62</w:t>
            </w:r>
          </w:p>
        </w:tc>
        <w:tc>
          <w:tcPr>
            <w:tcW w:w="980" w:type="dxa"/>
            <w:tcBorders>
              <w:top w:val="nil"/>
              <w:left w:val="nil"/>
              <w:bottom w:val="double" w:sz="6" w:space="0" w:color="1F497D"/>
              <w:right w:val="double" w:sz="6" w:space="0" w:color="1F497D"/>
            </w:tcBorders>
            <w:shd w:val="clear" w:color="auto" w:fill="auto"/>
            <w:noWrap/>
            <w:vAlign w:val="center"/>
            <w:hideMark/>
          </w:tcPr>
          <w:p w14:paraId="2DD189F7"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62</w:t>
            </w:r>
          </w:p>
        </w:tc>
        <w:tc>
          <w:tcPr>
            <w:tcW w:w="1120" w:type="dxa"/>
            <w:tcBorders>
              <w:top w:val="nil"/>
              <w:left w:val="nil"/>
              <w:bottom w:val="double" w:sz="6" w:space="0" w:color="1F497D"/>
              <w:right w:val="double" w:sz="6" w:space="0" w:color="1F497D"/>
            </w:tcBorders>
            <w:shd w:val="clear" w:color="auto" w:fill="auto"/>
            <w:noWrap/>
            <w:vAlign w:val="center"/>
            <w:hideMark/>
          </w:tcPr>
          <w:p w14:paraId="5AA6A411"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59</w:t>
            </w:r>
          </w:p>
        </w:tc>
        <w:tc>
          <w:tcPr>
            <w:tcW w:w="1118" w:type="dxa"/>
            <w:tcBorders>
              <w:top w:val="nil"/>
              <w:left w:val="nil"/>
              <w:bottom w:val="double" w:sz="6" w:space="0" w:color="1F497D"/>
              <w:right w:val="double" w:sz="6" w:space="0" w:color="1F497D"/>
            </w:tcBorders>
            <w:shd w:val="clear" w:color="auto" w:fill="auto"/>
            <w:noWrap/>
            <w:vAlign w:val="center"/>
            <w:hideMark/>
          </w:tcPr>
          <w:p w14:paraId="45F10A20"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w:t>
            </w:r>
          </w:p>
        </w:tc>
      </w:tr>
      <w:tr w:rsidR="0044746B" w:rsidRPr="00033E65" w14:paraId="46CD68A9" w14:textId="77777777" w:rsidTr="003A468E">
        <w:trPr>
          <w:trHeight w:val="31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62BCBC81"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Agrario I Circ. Jud. Zona Atlántica (Limón)</w:t>
            </w:r>
          </w:p>
        </w:tc>
        <w:tc>
          <w:tcPr>
            <w:tcW w:w="780" w:type="dxa"/>
            <w:tcBorders>
              <w:top w:val="nil"/>
              <w:left w:val="nil"/>
              <w:bottom w:val="double" w:sz="6" w:space="0" w:color="1F497D"/>
              <w:right w:val="double" w:sz="6" w:space="0" w:color="1F497D"/>
            </w:tcBorders>
            <w:shd w:val="clear" w:color="auto" w:fill="auto"/>
            <w:noWrap/>
            <w:vAlign w:val="center"/>
            <w:hideMark/>
          </w:tcPr>
          <w:p w14:paraId="7D989945"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55</w:t>
            </w:r>
          </w:p>
        </w:tc>
        <w:tc>
          <w:tcPr>
            <w:tcW w:w="920" w:type="dxa"/>
            <w:tcBorders>
              <w:top w:val="nil"/>
              <w:left w:val="nil"/>
              <w:bottom w:val="double" w:sz="6" w:space="0" w:color="1F497D"/>
              <w:right w:val="double" w:sz="6" w:space="0" w:color="1F497D"/>
            </w:tcBorders>
            <w:shd w:val="clear" w:color="auto" w:fill="auto"/>
            <w:noWrap/>
            <w:vAlign w:val="center"/>
            <w:hideMark/>
          </w:tcPr>
          <w:p w14:paraId="623CE84C"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50</w:t>
            </w:r>
          </w:p>
        </w:tc>
        <w:tc>
          <w:tcPr>
            <w:tcW w:w="760" w:type="dxa"/>
            <w:tcBorders>
              <w:top w:val="nil"/>
              <w:left w:val="nil"/>
              <w:bottom w:val="double" w:sz="6" w:space="0" w:color="1F497D"/>
              <w:right w:val="double" w:sz="6" w:space="0" w:color="1F497D"/>
            </w:tcBorders>
            <w:shd w:val="clear" w:color="auto" w:fill="auto"/>
            <w:noWrap/>
            <w:vAlign w:val="center"/>
            <w:hideMark/>
          </w:tcPr>
          <w:p w14:paraId="55A88BBE"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54</w:t>
            </w:r>
          </w:p>
        </w:tc>
        <w:tc>
          <w:tcPr>
            <w:tcW w:w="800" w:type="dxa"/>
            <w:tcBorders>
              <w:top w:val="nil"/>
              <w:left w:val="nil"/>
              <w:bottom w:val="double" w:sz="6" w:space="0" w:color="1F497D"/>
              <w:right w:val="double" w:sz="6" w:space="0" w:color="1F497D"/>
            </w:tcBorders>
            <w:shd w:val="clear" w:color="auto" w:fill="auto"/>
            <w:noWrap/>
            <w:vAlign w:val="center"/>
            <w:hideMark/>
          </w:tcPr>
          <w:p w14:paraId="3E05D396"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31</w:t>
            </w:r>
          </w:p>
        </w:tc>
        <w:tc>
          <w:tcPr>
            <w:tcW w:w="860" w:type="dxa"/>
            <w:tcBorders>
              <w:top w:val="nil"/>
              <w:left w:val="nil"/>
              <w:bottom w:val="double" w:sz="6" w:space="0" w:color="1F497D"/>
              <w:right w:val="double" w:sz="6" w:space="0" w:color="1F497D"/>
            </w:tcBorders>
            <w:shd w:val="clear" w:color="auto" w:fill="auto"/>
            <w:noWrap/>
            <w:vAlign w:val="center"/>
            <w:hideMark/>
          </w:tcPr>
          <w:p w14:paraId="0092F9F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36</w:t>
            </w:r>
          </w:p>
        </w:tc>
        <w:tc>
          <w:tcPr>
            <w:tcW w:w="920" w:type="dxa"/>
            <w:tcBorders>
              <w:top w:val="nil"/>
              <w:left w:val="nil"/>
              <w:bottom w:val="double" w:sz="6" w:space="0" w:color="1F497D"/>
              <w:right w:val="double" w:sz="6" w:space="0" w:color="1F497D"/>
            </w:tcBorders>
            <w:shd w:val="clear" w:color="auto" w:fill="auto"/>
            <w:noWrap/>
            <w:vAlign w:val="center"/>
            <w:hideMark/>
          </w:tcPr>
          <w:p w14:paraId="218CFFE1"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47</w:t>
            </w:r>
          </w:p>
        </w:tc>
        <w:tc>
          <w:tcPr>
            <w:tcW w:w="980" w:type="dxa"/>
            <w:tcBorders>
              <w:top w:val="nil"/>
              <w:left w:val="nil"/>
              <w:bottom w:val="double" w:sz="6" w:space="0" w:color="1F497D"/>
              <w:right w:val="double" w:sz="6" w:space="0" w:color="1F497D"/>
            </w:tcBorders>
            <w:shd w:val="clear" w:color="auto" w:fill="auto"/>
            <w:noWrap/>
            <w:vAlign w:val="center"/>
            <w:hideMark/>
          </w:tcPr>
          <w:p w14:paraId="39413195"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57</w:t>
            </w:r>
          </w:p>
        </w:tc>
        <w:tc>
          <w:tcPr>
            <w:tcW w:w="1120" w:type="dxa"/>
            <w:tcBorders>
              <w:top w:val="nil"/>
              <w:left w:val="nil"/>
              <w:bottom w:val="double" w:sz="6" w:space="0" w:color="1F497D"/>
              <w:right w:val="double" w:sz="6" w:space="0" w:color="1F497D"/>
            </w:tcBorders>
            <w:shd w:val="clear" w:color="auto" w:fill="auto"/>
            <w:noWrap/>
            <w:vAlign w:val="center"/>
            <w:hideMark/>
          </w:tcPr>
          <w:p w14:paraId="1517F41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47</w:t>
            </w:r>
          </w:p>
        </w:tc>
        <w:tc>
          <w:tcPr>
            <w:tcW w:w="1118" w:type="dxa"/>
            <w:tcBorders>
              <w:top w:val="nil"/>
              <w:left w:val="nil"/>
              <w:bottom w:val="double" w:sz="6" w:space="0" w:color="1F497D"/>
              <w:right w:val="double" w:sz="6" w:space="0" w:color="1F497D"/>
            </w:tcBorders>
            <w:shd w:val="clear" w:color="auto" w:fill="auto"/>
            <w:noWrap/>
            <w:vAlign w:val="center"/>
            <w:hideMark/>
          </w:tcPr>
          <w:p w14:paraId="52FCC990"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w:t>
            </w:r>
          </w:p>
        </w:tc>
      </w:tr>
      <w:tr w:rsidR="0044746B" w:rsidRPr="00033E65" w14:paraId="75787491" w14:textId="77777777" w:rsidTr="003A468E">
        <w:trPr>
          <w:trHeight w:val="31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513502F2"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Civil y Agrario Puntarenas</w:t>
            </w:r>
          </w:p>
        </w:tc>
        <w:tc>
          <w:tcPr>
            <w:tcW w:w="780" w:type="dxa"/>
            <w:tcBorders>
              <w:top w:val="nil"/>
              <w:left w:val="nil"/>
              <w:bottom w:val="double" w:sz="6" w:space="0" w:color="1F497D"/>
              <w:right w:val="double" w:sz="6" w:space="0" w:color="1F497D"/>
            </w:tcBorders>
            <w:shd w:val="clear" w:color="auto" w:fill="auto"/>
            <w:noWrap/>
            <w:vAlign w:val="center"/>
            <w:hideMark/>
          </w:tcPr>
          <w:p w14:paraId="79BED8C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44</w:t>
            </w:r>
          </w:p>
        </w:tc>
        <w:tc>
          <w:tcPr>
            <w:tcW w:w="920" w:type="dxa"/>
            <w:tcBorders>
              <w:top w:val="nil"/>
              <w:left w:val="nil"/>
              <w:bottom w:val="double" w:sz="6" w:space="0" w:color="1F497D"/>
              <w:right w:val="double" w:sz="6" w:space="0" w:color="1F497D"/>
            </w:tcBorders>
            <w:shd w:val="clear" w:color="auto" w:fill="auto"/>
            <w:noWrap/>
            <w:vAlign w:val="center"/>
            <w:hideMark/>
          </w:tcPr>
          <w:p w14:paraId="299016FA"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40</w:t>
            </w:r>
          </w:p>
        </w:tc>
        <w:tc>
          <w:tcPr>
            <w:tcW w:w="760" w:type="dxa"/>
            <w:tcBorders>
              <w:top w:val="nil"/>
              <w:left w:val="nil"/>
              <w:bottom w:val="double" w:sz="6" w:space="0" w:color="1F497D"/>
              <w:right w:val="double" w:sz="6" w:space="0" w:color="1F497D"/>
            </w:tcBorders>
            <w:shd w:val="clear" w:color="auto" w:fill="auto"/>
            <w:noWrap/>
            <w:vAlign w:val="center"/>
            <w:hideMark/>
          </w:tcPr>
          <w:p w14:paraId="17CE3AE2"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62</w:t>
            </w:r>
          </w:p>
        </w:tc>
        <w:tc>
          <w:tcPr>
            <w:tcW w:w="800" w:type="dxa"/>
            <w:tcBorders>
              <w:top w:val="nil"/>
              <w:left w:val="nil"/>
              <w:bottom w:val="double" w:sz="6" w:space="0" w:color="1F497D"/>
              <w:right w:val="double" w:sz="6" w:space="0" w:color="1F497D"/>
            </w:tcBorders>
            <w:shd w:val="clear" w:color="auto" w:fill="auto"/>
            <w:noWrap/>
            <w:vAlign w:val="center"/>
            <w:hideMark/>
          </w:tcPr>
          <w:p w14:paraId="5DB59D35"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47</w:t>
            </w:r>
          </w:p>
        </w:tc>
        <w:tc>
          <w:tcPr>
            <w:tcW w:w="860" w:type="dxa"/>
            <w:tcBorders>
              <w:top w:val="nil"/>
              <w:left w:val="nil"/>
              <w:bottom w:val="double" w:sz="6" w:space="0" w:color="1F497D"/>
              <w:right w:val="double" w:sz="6" w:space="0" w:color="1F497D"/>
            </w:tcBorders>
            <w:shd w:val="clear" w:color="auto" w:fill="auto"/>
            <w:noWrap/>
            <w:vAlign w:val="center"/>
            <w:hideMark/>
          </w:tcPr>
          <w:p w14:paraId="1B5CE16F"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73</w:t>
            </w:r>
          </w:p>
        </w:tc>
        <w:tc>
          <w:tcPr>
            <w:tcW w:w="920" w:type="dxa"/>
            <w:tcBorders>
              <w:top w:val="nil"/>
              <w:left w:val="nil"/>
              <w:bottom w:val="double" w:sz="6" w:space="0" w:color="1F497D"/>
              <w:right w:val="double" w:sz="6" w:space="0" w:color="1F497D"/>
            </w:tcBorders>
            <w:shd w:val="clear" w:color="auto" w:fill="auto"/>
            <w:noWrap/>
            <w:vAlign w:val="center"/>
            <w:hideMark/>
          </w:tcPr>
          <w:p w14:paraId="5541175F"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60</w:t>
            </w:r>
          </w:p>
        </w:tc>
        <w:tc>
          <w:tcPr>
            <w:tcW w:w="980" w:type="dxa"/>
            <w:tcBorders>
              <w:top w:val="nil"/>
              <w:left w:val="nil"/>
              <w:bottom w:val="double" w:sz="6" w:space="0" w:color="1F497D"/>
              <w:right w:val="double" w:sz="6" w:space="0" w:color="1F497D"/>
            </w:tcBorders>
            <w:shd w:val="clear" w:color="auto" w:fill="auto"/>
            <w:noWrap/>
            <w:vAlign w:val="center"/>
            <w:hideMark/>
          </w:tcPr>
          <w:p w14:paraId="3D2A6C42"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69</w:t>
            </w:r>
          </w:p>
        </w:tc>
        <w:tc>
          <w:tcPr>
            <w:tcW w:w="1120" w:type="dxa"/>
            <w:tcBorders>
              <w:top w:val="nil"/>
              <w:left w:val="nil"/>
              <w:bottom w:val="double" w:sz="6" w:space="0" w:color="1F497D"/>
              <w:right w:val="double" w:sz="6" w:space="0" w:color="1F497D"/>
            </w:tcBorders>
            <w:shd w:val="clear" w:color="auto" w:fill="auto"/>
            <w:noWrap/>
            <w:vAlign w:val="center"/>
            <w:hideMark/>
          </w:tcPr>
          <w:p w14:paraId="1F87E42A"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56</w:t>
            </w:r>
          </w:p>
        </w:tc>
        <w:tc>
          <w:tcPr>
            <w:tcW w:w="1118" w:type="dxa"/>
            <w:tcBorders>
              <w:top w:val="nil"/>
              <w:left w:val="nil"/>
              <w:bottom w:val="double" w:sz="6" w:space="0" w:color="1F497D"/>
              <w:right w:val="double" w:sz="6" w:space="0" w:color="1F497D"/>
            </w:tcBorders>
            <w:shd w:val="clear" w:color="auto" w:fill="auto"/>
            <w:noWrap/>
            <w:vAlign w:val="center"/>
            <w:hideMark/>
          </w:tcPr>
          <w:p w14:paraId="3B48DDF9"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w:t>
            </w:r>
          </w:p>
        </w:tc>
      </w:tr>
      <w:tr w:rsidR="0044746B" w:rsidRPr="00033E65" w14:paraId="24A7D435" w14:textId="77777777" w:rsidTr="003A468E">
        <w:trPr>
          <w:trHeight w:val="31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291CDA16"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Agrario I Circ. Jud. Alajuela</w:t>
            </w:r>
          </w:p>
        </w:tc>
        <w:tc>
          <w:tcPr>
            <w:tcW w:w="780" w:type="dxa"/>
            <w:tcBorders>
              <w:top w:val="nil"/>
              <w:left w:val="nil"/>
              <w:bottom w:val="double" w:sz="6" w:space="0" w:color="1F497D"/>
              <w:right w:val="double" w:sz="6" w:space="0" w:color="1F497D"/>
            </w:tcBorders>
            <w:shd w:val="clear" w:color="auto" w:fill="auto"/>
            <w:noWrap/>
            <w:vAlign w:val="center"/>
            <w:hideMark/>
          </w:tcPr>
          <w:p w14:paraId="52E737C3"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41</w:t>
            </w:r>
          </w:p>
        </w:tc>
        <w:tc>
          <w:tcPr>
            <w:tcW w:w="920" w:type="dxa"/>
            <w:tcBorders>
              <w:top w:val="nil"/>
              <w:left w:val="nil"/>
              <w:bottom w:val="double" w:sz="6" w:space="0" w:color="1F497D"/>
              <w:right w:val="double" w:sz="6" w:space="0" w:color="1F497D"/>
            </w:tcBorders>
            <w:shd w:val="clear" w:color="auto" w:fill="auto"/>
            <w:noWrap/>
            <w:vAlign w:val="center"/>
            <w:hideMark/>
          </w:tcPr>
          <w:p w14:paraId="0B530F68"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38</w:t>
            </w:r>
          </w:p>
        </w:tc>
        <w:tc>
          <w:tcPr>
            <w:tcW w:w="760" w:type="dxa"/>
            <w:tcBorders>
              <w:top w:val="nil"/>
              <w:left w:val="nil"/>
              <w:bottom w:val="double" w:sz="6" w:space="0" w:color="1F497D"/>
              <w:right w:val="double" w:sz="6" w:space="0" w:color="1F497D"/>
            </w:tcBorders>
            <w:shd w:val="clear" w:color="auto" w:fill="auto"/>
            <w:noWrap/>
            <w:vAlign w:val="center"/>
            <w:hideMark/>
          </w:tcPr>
          <w:p w14:paraId="0C82BAE9"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32</w:t>
            </w:r>
          </w:p>
        </w:tc>
        <w:tc>
          <w:tcPr>
            <w:tcW w:w="800" w:type="dxa"/>
            <w:tcBorders>
              <w:top w:val="nil"/>
              <w:left w:val="nil"/>
              <w:bottom w:val="double" w:sz="6" w:space="0" w:color="1F497D"/>
              <w:right w:val="double" w:sz="6" w:space="0" w:color="1F497D"/>
            </w:tcBorders>
            <w:shd w:val="clear" w:color="auto" w:fill="auto"/>
            <w:noWrap/>
            <w:vAlign w:val="center"/>
            <w:hideMark/>
          </w:tcPr>
          <w:p w14:paraId="0E4943F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14</w:t>
            </w:r>
          </w:p>
        </w:tc>
        <w:tc>
          <w:tcPr>
            <w:tcW w:w="860" w:type="dxa"/>
            <w:tcBorders>
              <w:top w:val="nil"/>
              <w:left w:val="nil"/>
              <w:bottom w:val="double" w:sz="6" w:space="0" w:color="1F497D"/>
              <w:right w:val="double" w:sz="6" w:space="0" w:color="1F497D"/>
            </w:tcBorders>
            <w:shd w:val="clear" w:color="auto" w:fill="auto"/>
            <w:noWrap/>
            <w:vAlign w:val="center"/>
            <w:hideMark/>
          </w:tcPr>
          <w:p w14:paraId="2BC1A4AA"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24</w:t>
            </w:r>
          </w:p>
        </w:tc>
        <w:tc>
          <w:tcPr>
            <w:tcW w:w="920" w:type="dxa"/>
            <w:tcBorders>
              <w:top w:val="nil"/>
              <w:left w:val="nil"/>
              <w:bottom w:val="double" w:sz="6" w:space="0" w:color="1F497D"/>
              <w:right w:val="double" w:sz="6" w:space="0" w:color="1F497D"/>
            </w:tcBorders>
            <w:shd w:val="clear" w:color="auto" w:fill="auto"/>
            <w:noWrap/>
            <w:vAlign w:val="center"/>
            <w:hideMark/>
          </w:tcPr>
          <w:p w14:paraId="3ED6D53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24</w:t>
            </w:r>
          </w:p>
        </w:tc>
        <w:tc>
          <w:tcPr>
            <w:tcW w:w="980" w:type="dxa"/>
            <w:tcBorders>
              <w:top w:val="nil"/>
              <w:left w:val="nil"/>
              <w:bottom w:val="double" w:sz="6" w:space="0" w:color="1F497D"/>
              <w:right w:val="double" w:sz="6" w:space="0" w:color="1F497D"/>
            </w:tcBorders>
            <w:shd w:val="clear" w:color="auto" w:fill="auto"/>
            <w:noWrap/>
            <w:vAlign w:val="center"/>
            <w:hideMark/>
          </w:tcPr>
          <w:p w14:paraId="52BF69F0"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41</w:t>
            </w:r>
          </w:p>
        </w:tc>
        <w:tc>
          <w:tcPr>
            <w:tcW w:w="1120" w:type="dxa"/>
            <w:tcBorders>
              <w:top w:val="nil"/>
              <w:left w:val="nil"/>
              <w:bottom w:val="double" w:sz="6" w:space="0" w:color="1F497D"/>
              <w:right w:val="double" w:sz="6" w:space="0" w:color="1F497D"/>
            </w:tcBorders>
            <w:shd w:val="clear" w:color="auto" w:fill="auto"/>
            <w:noWrap/>
            <w:vAlign w:val="center"/>
            <w:hideMark/>
          </w:tcPr>
          <w:p w14:paraId="145001C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31</w:t>
            </w:r>
          </w:p>
        </w:tc>
        <w:tc>
          <w:tcPr>
            <w:tcW w:w="1118" w:type="dxa"/>
            <w:tcBorders>
              <w:top w:val="nil"/>
              <w:left w:val="nil"/>
              <w:bottom w:val="double" w:sz="6" w:space="0" w:color="1F497D"/>
              <w:right w:val="double" w:sz="6" w:space="0" w:color="1F497D"/>
            </w:tcBorders>
            <w:shd w:val="clear" w:color="auto" w:fill="auto"/>
            <w:noWrap/>
            <w:vAlign w:val="center"/>
            <w:hideMark/>
          </w:tcPr>
          <w:p w14:paraId="5C6187E9"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3</w:t>
            </w:r>
          </w:p>
        </w:tc>
      </w:tr>
      <w:tr w:rsidR="0044746B" w:rsidRPr="00033E65" w14:paraId="4009BEB8" w14:textId="77777777" w:rsidTr="003A468E">
        <w:trPr>
          <w:trHeight w:val="60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5584B192"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Agrario I Circ. Jud. Zona Sur (Pérez Zeledón)</w:t>
            </w:r>
          </w:p>
        </w:tc>
        <w:tc>
          <w:tcPr>
            <w:tcW w:w="780" w:type="dxa"/>
            <w:tcBorders>
              <w:top w:val="nil"/>
              <w:left w:val="nil"/>
              <w:bottom w:val="double" w:sz="6" w:space="0" w:color="1F497D"/>
              <w:right w:val="double" w:sz="6" w:space="0" w:color="1F497D"/>
            </w:tcBorders>
            <w:shd w:val="clear" w:color="auto" w:fill="auto"/>
            <w:noWrap/>
            <w:vAlign w:val="center"/>
            <w:hideMark/>
          </w:tcPr>
          <w:p w14:paraId="5E9D1058"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45</w:t>
            </w:r>
          </w:p>
        </w:tc>
        <w:tc>
          <w:tcPr>
            <w:tcW w:w="920" w:type="dxa"/>
            <w:tcBorders>
              <w:top w:val="nil"/>
              <w:left w:val="nil"/>
              <w:bottom w:val="double" w:sz="6" w:space="0" w:color="1F497D"/>
              <w:right w:val="double" w:sz="6" w:space="0" w:color="1F497D"/>
            </w:tcBorders>
            <w:shd w:val="clear" w:color="auto" w:fill="auto"/>
            <w:noWrap/>
            <w:vAlign w:val="center"/>
            <w:hideMark/>
          </w:tcPr>
          <w:p w14:paraId="4A88E5CC"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44</w:t>
            </w:r>
          </w:p>
        </w:tc>
        <w:tc>
          <w:tcPr>
            <w:tcW w:w="760" w:type="dxa"/>
            <w:tcBorders>
              <w:top w:val="nil"/>
              <w:left w:val="nil"/>
              <w:bottom w:val="double" w:sz="6" w:space="0" w:color="1F497D"/>
              <w:right w:val="double" w:sz="6" w:space="0" w:color="1F497D"/>
            </w:tcBorders>
            <w:shd w:val="clear" w:color="auto" w:fill="auto"/>
            <w:noWrap/>
            <w:vAlign w:val="center"/>
            <w:hideMark/>
          </w:tcPr>
          <w:p w14:paraId="00E4972F"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41</w:t>
            </w:r>
          </w:p>
        </w:tc>
        <w:tc>
          <w:tcPr>
            <w:tcW w:w="800" w:type="dxa"/>
            <w:tcBorders>
              <w:top w:val="nil"/>
              <w:left w:val="nil"/>
              <w:bottom w:val="double" w:sz="6" w:space="0" w:color="1F497D"/>
              <w:right w:val="double" w:sz="6" w:space="0" w:color="1F497D"/>
            </w:tcBorders>
            <w:shd w:val="clear" w:color="auto" w:fill="auto"/>
            <w:noWrap/>
            <w:vAlign w:val="center"/>
            <w:hideMark/>
          </w:tcPr>
          <w:p w14:paraId="5C8891E8"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39</w:t>
            </w:r>
          </w:p>
        </w:tc>
        <w:tc>
          <w:tcPr>
            <w:tcW w:w="860" w:type="dxa"/>
            <w:tcBorders>
              <w:top w:val="nil"/>
              <w:left w:val="nil"/>
              <w:bottom w:val="double" w:sz="6" w:space="0" w:color="1F497D"/>
              <w:right w:val="double" w:sz="6" w:space="0" w:color="1F497D"/>
            </w:tcBorders>
            <w:shd w:val="clear" w:color="auto" w:fill="auto"/>
            <w:noWrap/>
            <w:vAlign w:val="center"/>
            <w:hideMark/>
          </w:tcPr>
          <w:p w14:paraId="7E525515"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39</w:t>
            </w:r>
          </w:p>
        </w:tc>
        <w:tc>
          <w:tcPr>
            <w:tcW w:w="920" w:type="dxa"/>
            <w:tcBorders>
              <w:top w:val="nil"/>
              <w:left w:val="nil"/>
              <w:bottom w:val="double" w:sz="6" w:space="0" w:color="1F497D"/>
              <w:right w:val="double" w:sz="6" w:space="0" w:color="1F497D"/>
            </w:tcBorders>
            <w:shd w:val="clear" w:color="auto" w:fill="auto"/>
            <w:noWrap/>
            <w:vAlign w:val="center"/>
            <w:hideMark/>
          </w:tcPr>
          <w:p w14:paraId="37971033"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42</w:t>
            </w:r>
          </w:p>
        </w:tc>
        <w:tc>
          <w:tcPr>
            <w:tcW w:w="980" w:type="dxa"/>
            <w:tcBorders>
              <w:top w:val="nil"/>
              <w:left w:val="nil"/>
              <w:bottom w:val="double" w:sz="6" w:space="0" w:color="1F497D"/>
              <w:right w:val="double" w:sz="6" w:space="0" w:color="1F497D"/>
            </w:tcBorders>
            <w:shd w:val="clear" w:color="auto" w:fill="auto"/>
            <w:noWrap/>
            <w:vAlign w:val="center"/>
            <w:hideMark/>
          </w:tcPr>
          <w:p w14:paraId="39553AE3"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57</w:t>
            </w:r>
          </w:p>
        </w:tc>
        <w:tc>
          <w:tcPr>
            <w:tcW w:w="1120" w:type="dxa"/>
            <w:tcBorders>
              <w:top w:val="nil"/>
              <w:left w:val="nil"/>
              <w:bottom w:val="double" w:sz="6" w:space="0" w:color="1F497D"/>
              <w:right w:val="double" w:sz="6" w:space="0" w:color="1F497D"/>
            </w:tcBorders>
            <w:shd w:val="clear" w:color="auto" w:fill="auto"/>
            <w:noWrap/>
            <w:vAlign w:val="center"/>
            <w:hideMark/>
          </w:tcPr>
          <w:p w14:paraId="15C0DF73"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44</w:t>
            </w:r>
          </w:p>
        </w:tc>
        <w:tc>
          <w:tcPr>
            <w:tcW w:w="1118" w:type="dxa"/>
            <w:tcBorders>
              <w:top w:val="nil"/>
              <w:left w:val="nil"/>
              <w:bottom w:val="double" w:sz="6" w:space="0" w:color="1F497D"/>
              <w:right w:val="double" w:sz="6" w:space="0" w:color="1F497D"/>
            </w:tcBorders>
            <w:shd w:val="clear" w:color="auto" w:fill="auto"/>
            <w:noWrap/>
            <w:vAlign w:val="center"/>
            <w:hideMark/>
          </w:tcPr>
          <w:p w14:paraId="2348EF1C"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w:t>
            </w:r>
          </w:p>
        </w:tc>
      </w:tr>
      <w:tr w:rsidR="0044746B" w:rsidRPr="00033E65" w14:paraId="4ADFC052" w14:textId="77777777" w:rsidTr="003A468E">
        <w:trPr>
          <w:trHeight w:val="31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50E65F80"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Civil, Trabajo y Agrario Turrialba</w:t>
            </w:r>
          </w:p>
        </w:tc>
        <w:tc>
          <w:tcPr>
            <w:tcW w:w="780" w:type="dxa"/>
            <w:tcBorders>
              <w:top w:val="nil"/>
              <w:left w:val="nil"/>
              <w:bottom w:val="double" w:sz="6" w:space="0" w:color="1F497D"/>
              <w:right w:val="double" w:sz="6" w:space="0" w:color="1F497D"/>
            </w:tcBorders>
            <w:shd w:val="clear" w:color="auto" w:fill="auto"/>
            <w:noWrap/>
            <w:vAlign w:val="center"/>
            <w:hideMark/>
          </w:tcPr>
          <w:p w14:paraId="30EA965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19</w:t>
            </w:r>
          </w:p>
        </w:tc>
        <w:tc>
          <w:tcPr>
            <w:tcW w:w="920" w:type="dxa"/>
            <w:tcBorders>
              <w:top w:val="nil"/>
              <w:left w:val="nil"/>
              <w:bottom w:val="double" w:sz="6" w:space="0" w:color="1F497D"/>
              <w:right w:val="double" w:sz="6" w:space="0" w:color="1F497D"/>
            </w:tcBorders>
            <w:shd w:val="clear" w:color="auto" w:fill="auto"/>
            <w:noWrap/>
            <w:vAlign w:val="center"/>
            <w:hideMark/>
          </w:tcPr>
          <w:p w14:paraId="3296E744"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17</w:t>
            </w:r>
          </w:p>
        </w:tc>
        <w:tc>
          <w:tcPr>
            <w:tcW w:w="760" w:type="dxa"/>
            <w:tcBorders>
              <w:top w:val="nil"/>
              <w:left w:val="nil"/>
              <w:bottom w:val="double" w:sz="6" w:space="0" w:color="1F497D"/>
              <w:right w:val="double" w:sz="6" w:space="0" w:color="1F497D"/>
            </w:tcBorders>
            <w:shd w:val="clear" w:color="auto" w:fill="auto"/>
            <w:noWrap/>
            <w:vAlign w:val="center"/>
            <w:hideMark/>
          </w:tcPr>
          <w:p w14:paraId="6232FD1C"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16</w:t>
            </w:r>
          </w:p>
        </w:tc>
        <w:tc>
          <w:tcPr>
            <w:tcW w:w="800" w:type="dxa"/>
            <w:tcBorders>
              <w:top w:val="nil"/>
              <w:left w:val="nil"/>
              <w:bottom w:val="double" w:sz="6" w:space="0" w:color="1F497D"/>
              <w:right w:val="double" w:sz="6" w:space="0" w:color="1F497D"/>
            </w:tcBorders>
            <w:shd w:val="clear" w:color="auto" w:fill="auto"/>
            <w:noWrap/>
            <w:vAlign w:val="center"/>
            <w:hideMark/>
          </w:tcPr>
          <w:p w14:paraId="5924FA1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18</w:t>
            </w:r>
          </w:p>
        </w:tc>
        <w:tc>
          <w:tcPr>
            <w:tcW w:w="860" w:type="dxa"/>
            <w:tcBorders>
              <w:top w:val="nil"/>
              <w:left w:val="nil"/>
              <w:bottom w:val="double" w:sz="6" w:space="0" w:color="1F497D"/>
              <w:right w:val="double" w:sz="6" w:space="0" w:color="1F497D"/>
            </w:tcBorders>
            <w:shd w:val="clear" w:color="auto" w:fill="auto"/>
            <w:noWrap/>
            <w:vAlign w:val="center"/>
            <w:hideMark/>
          </w:tcPr>
          <w:p w14:paraId="7A9BBCF7"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17</w:t>
            </w:r>
          </w:p>
        </w:tc>
        <w:tc>
          <w:tcPr>
            <w:tcW w:w="920" w:type="dxa"/>
            <w:tcBorders>
              <w:top w:val="nil"/>
              <w:left w:val="nil"/>
              <w:bottom w:val="double" w:sz="6" w:space="0" w:color="1F497D"/>
              <w:right w:val="double" w:sz="6" w:space="0" w:color="1F497D"/>
            </w:tcBorders>
            <w:shd w:val="clear" w:color="auto" w:fill="auto"/>
            <w:noWrap/>
            <w:vAlign w:val="center"/>
            <w:hideMark/>
          </w:tcPr>
          <w:p w14:paraId="43AD43C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45</w:t>
            </w:r>
          </w:p>
        </w:tc>
        <w:tc>
          <w:tcPr>
            <w:tcW w:w="980" w:type="dxa"/>
            <w:tcBorders>
              <w:top w:val="nil"/>
              <w:left w:val="nil"/>
              <w:bottom w:val="double" w:sz="6" w:space="0" w:color="1F497D"/>
              <w:right w:val="double" w:sz="6" w:space="0" w:color="1F497D"/>
            </w:tcBorders>
            <w:shd w:val="clear" w:color="auto" w:fill="auto"/>
            <w:noWrap/>
            <w:vAlign w:val="center"/>
            <w:hideMark/>
          </w:tcPr>
          <w:p w14:paraId="690EAA85"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12</w:t>
            </w:r>
          </w:p>
        </w:tc>
        <w:tc>
          <w:tcPr>
            <w:tcW w:w="1120" w:type="dxa"/>
            <w:tcBorders>
              <w:top w:val="nil"/>
              <w:left w:val="nil"/>
              <w:bottom w:val="double" w:sz="6" w:space="0" w:color="1F497D"/>
              <w:right w:val="double" w:sz="6" w:space="0" w:color="1F497D"/>
            </w:tcBorders>
            <w:shd w:val="clear" w:color="auto" w:fill="auto"/>
            <w:noWrap/>
            <w:vAlign w:val="center"/>
            <w:hideMark/>
          </w:tcPr>
          <w:p w14:paraId="72B0A01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21</w:t>
            </w:r>
          </w:p>
        </w:tc>
        <w:tc>
          <w:tcPr>
            <w:tcW w:w="1118" w:type="dxa"/>
            <w:tcBorders>
              <w:top w:val="nil"/>
              <w:left w:val="nil"/>
              <w:bottom w:val="double" w:sz="6" w:space="0" w:color="1F497D"/>
              <w:right w:val="double" w:sz="6" w:space="0" w:color="1F497D"/>
            </w:tcBorders>
            <w:shd w:val="clear" w:color="auto" w:fill="auto"/>
            <w:noWrap/>
            <w:vAlign w:val="center"/>
            <w:hideMark/>
          </w:tcPr>
          <w:p w14:paraId="7CFB2C4F"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2</w:t>
            </w:r>
          </w:p>
        </w:tc>
      </w:tr>
      <w:tr w:rsidR="0044746B" w:rsidRPr="00033E65" w14:paraId="5DBB44CC" w14:textId="77777777" w:rsidTr="003A468E">
        <w:trPr>
          <w:trHeight w:val="89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04E1D9BE"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Civil, Trabajo, Familia, Agrario, Penal Juvenil, Contra la Violencia Doméstica y Protección Cautelar Buenos Aires</w:t>
            </w:r>
          </w:p>
        </w:tc>
        <w:tc>
          <w:tcPr>
            <w:tcW w:w="780" w:type="dxa"/>
            <w:tcBorders>
              <w:top w:val="nil"/>
              <w:left w:val="nil"/>
              <w:bottom w:val="double" w:sz="6" w:space="0" w:color="1F497D"/>
              <w:right w:val="double" w:sz="6" w:space="0" w:color="1F497D"/>
            </w:tcBorders>
            <w:shd w:val="clear" w:color="auto" w:fill="auto"/>
            <w:noWrap/>
            <w:vAlign w:val="center"/>
            <w:hideMark/>
          </w:tcPr>
          <w:p w14:paraId="676AFA3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23</w:t>
            </w:r>
          </w:p>
        </w:tc>
        <w:tc>
          <w:tcPr>
            <w:tcW w:w="920" w:type="dxa"/>
            <w:tcBorders>
              <w:top w:val="nil"/>
              <w:left w:val="nil"/>
              <w:bottom w:val="double" w:sz="6" w:space="0" w:color="1F497D"/>
              <w:right w:val="double" w:sz="6" w:space="0" w:color="1F497D"/>
            </w:tcBorders>
            <w:shd w:val="clear" w:color="auto" w:fill="auto"/>
            <w:noWrap/>
            <w:vAlign w:val="center"/>
            <w:hideMark/>
          </w:tcPr>
          <w:p w14:paraId="0E0E89B8"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13</w:t>
            </w:r>
          </w:p>
        </w:tc>
        <w:tc>
          <w:tcPr>
            <w:tcW w:w="760" w:type="dxa"/>
            <w:tcBorders>
              <w:top w:val="nil"/>
              <w:left w:val="nil"/>
              <w:bottom w:val="double" w:sz="6" w:space="0" w:color="1F497D"/>
              <w:right w:val="double" w:sz="6" w:space="0" w:color="1F497D"/>
            </w:tcBorders>
            <w:shd w:val="clear" w:color="auto" w:fill="auto"/>
            <w:noWrap/>
            <w:vAlign w:val="center"/>
            <w:hideMark/>
          </w:tcPr>
          <w:p w14:paraId="5EC61AFA"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18</w:t>
            </w:r>
          </w:p>
        </w:tc>
        <w:tc>
          <w:tcPr>
            <w:tcW w:w="800" w:type="dxa"/>
            <w:tcBorders>
              <w:top w:val="nil"/>
              <w:left w:val="nil"/>
              <w:bottom w:val="double" w:sz="6" w:space="0" w:color="1F497D"/>
              <w:right w:val="double" w:sz="6" w:space="0" w:color="1F497D"/>
            </w:tcBorders>
            <w:shd w:val="clear" w:color="auto" w:fill="auto"/>
            <w:noWrap/>
            <w:vAlign w:val="center"/>
            <w:hideMark/>
          </w:tcPr>
          <w:p w14:paraId="7105DF6E"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10</w:t>
            </w:r>
          </w:p>
        </w:tc>
        <w:tc>
          <w:tcPr>
            <w:tcW w:w="860" w:type="dxa"/>
            <w:tcBorders>
              <w:top w:val="nil"/>
              <w:left w:val="nil"/>
              <w:bottom w:val="double" w:sz="6" w:space="0" w:color="1F497D"/>
              <w:right w:val="double" w:sz="6" w:space="0" w:color="1F497D"/>
            </w:tcBorders>
            <w:shd w:val="clear" w:color="auto" w:fill="auto"/>
            <w:noWrap/>
            <w:vAlign w:val="center"/>
            <w:hideMark/>
          </w:tcPr>
          <w:p w14:paraId="09596D69"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6</w:t>
            </w:r>
          </w:p>
        </w:tc>
        <w:tc>
          <w:tcPr>
            <w:tcW w:w="920" w:type="dxa"/>
            <w:tcBorders>
              <w:top w:val="nil"/>
              <w:left w:val="nil"/>
              <w:bottom w:val="double" w:sz="6" w:space="0" w:color="1F497D"/>
              <w:right w:val="double" w:sz="6" w:space="0" w:color="1F497D"/>
            </w:tcBorders>
            <w:shd w:val="clear" w:color="auto" w:fill="auto"/>
            <w:noWrap/>
            <w:vAlign w:val="center"/>
            <w:hideMark/>
          </w:tcPr>
          <w:p w14:paraId="46C6FEB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15</w:t>
            </w:r>
          </w:p>
        </w:tc>
        <w:tc>
          <w:tcPr>
            <w:tcW w:w="980" w:type="dxa"/>
            <w:tcBorders>
              <w:top w:val="nil"/>
              <w:left w:val="nil"/>
              <w:bottom w:val="double" w:sz="6" w:space="0" w:color="1F497D"/>
              <w:right w:val="double" w:sz="6" w:space="0" w:color="1F497D"/>
            </w:tcBorders>
            <w:shd w:val="clear" w:color="auto" w:fill="auto"/>
            <w:noWrap/>
            <w:vAlign w:val="center"/>
            <w:hideMark/>
          </w:tcPr>
          <w:p w14:paraId="5B271E81"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17</w:t>
            </w:r>
          </w:p>
        </w:tc>
        <w:tc>
          <w:tcPr>
            <w:tcW w:w="1120" w:type="dxa"/>
            <w:tcBorders>
              <w:top w:val="nil"/>
              <w:left w:val="nil"/>
              <w:bottom w:val="double" w:sz="6" w:space="0" w:color="1F497D"/>
              <w:right w:val="double" w:sz="6" w:space="0" w:color="1F497D"/>
            </w:tcBorders>
            <w:shd w:val="clear" w:color="auto" w:fill="auto"/>
            <w:noWrap/>
            <w:vAlign w:val="center"/>
            <w:hideMark/>
          </w:tcPr>
          <w:p w14:paraId="06CA1B26"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15</w:t>
            </w:r>
          </w:p>
        </w:tc>
        <w:tc>
          <w:tcPr>
            <w:tcW w:w="1118" w:type="dxa"/>
            <w:tcBorders>
              <w:top w:val="nil"/>
              <w:left w:val="nil"/>
              <w:bottom w:val="double" w:sz="6" w:space="0" w:color="1F497D"/>
              <w:right w:val="double" w:sz="6" w:space="0" w:color="1F497D"/>
            </w:tcBorders>
            <w:shd w:val="clear" w:color="auto" w:fill="auto"/>
            <w:noWrap/>
            <w:vAlign w:val="center"/>
            <w:hideMark/>
          </w:tcPr>
          <w:p w14:paraId="128043F2"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w:t>
            </w:r>
          </w:p>
        </w:tc>
      </w:tr>
      <w:tr w:rsidR="0044746B" w:rsidRPr="00033E65" w14:paraId="409490FE" w14:textId="77777777" w:rsidTr="003A468E">
        <w:trPr>
          <w:trHeight w:val="310"/>
          <w:jc w:val="center"/>
        </w:trPr>
        <w:tc>
          <w:tcPr>
            <w:tcW w:w="3542" w:type="dxa"/>
            <w:tcBorders>
              <w:top w:val="nil"/>
              <w:left w:val="double" w:sz="6" w:space="0" w:color="1F497D"/>
              <w:bottom w:val="double" w:sz="6" w:space="0" w:color="1F497D"/>
              <w:right w:val="double" w:sz="6" w:space="0" w:color="1F497D"/>
            </w:tcBorders>
            <w:shd w:val="clear" w:color="auto" w:fill="auto"/>
            <w:vAlign w:val="center"/>
            <w:hideMark/>
          </w:tcPr>
          <w:p w14:paraId="744B348D" w14:textId="77777777" w:rsidR="0044746B" w:rsidRPr="00033E65" w:rsidRDefault="0044746B" w:rsidP="0044746B">
            <w:pPr>
              <w:spacing w:before="0" w:after="0"/>
              <w:rPr>
                <w:rFonts w:cs="Arial"/>
                <w:color w:val="000000"/>
                <w:szCs w:val="22"/>
                <w:lang w:eastAsia="es-CR"/>
              </w:rPr>
            </w:pPr>
            <w:r w:rsidRPr="00033E65">
              <w:rPr>
                <w:rFonts w:cs="Arial"/>
                <w:color w:val="000000"/>
                <w:szCs w:val="22"/>
                <w:lang w:eastAsia="es-CR"/>
              </w:rPr>
              <w:t>Juzgado Agrario de Puntarenas, Sede Jicaral</w:t>
            </w:r>
          </w:p>
        </w:tc>
        <w:tc>
          <w:tcPr>
            <w:tcW w:w="780" w:type="dxa"/>
            <w:tcBorders>
              <w:top w:val="nil"/>
              <w:left w:val="nil"/>
              <w:bottom w:val="double" w:sz="6" w:space="0" w:color="1F497D"/>
              <w:right w:val="double" w:sz="6" w:space="0" w:color="1F497D"/>
            </w:tcBorders>
            <w:shd w:val="clear" w:color="auto" w:fill="auto"/>
            <w:noWrap/>
            <w:vAlign w:val="center"/>
            <w:hideMark/>
          </w:tcPr>
          <w:p w14:paraId="042BFB63"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w:t>
            </w:r>
          </w:p>
        </w:tc>
        <w:tc>
          <w:tcPr>
            <w:tcW w:w="920" w:type="dxa"/>
            <w:tcBorders>
              <w:top w:val="nil"/>
              <w:left w:val="nil"/>
              <w:bottom w:val="double" w:sz="6" w:space="0" w:color="1F497D"/>
              <w:right w:val="double" w:sz="6" w:space="0" w:color="1F497D"/>
            </w:tcBorders>
            <w:shd w:val="clear" w:color="auto" w:fill="auto"/>
            <w:noWrap/>
            <w:vAlign w:val="center"/>
            <w:hideMark/>
          </w:tcPr>
          <w:p w14:paraId="2657C9A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w:t>
            </w:r>
          </w:p>
        </w:tc>
        <w:tc>
          <w:tcPr>
            <w:tcW w:w="760" w:type="dxa"/>
            <w:tcBorders>
              <w:top w:val="nil"/>
              <w:left w:val="nil"/>
              <w:bottom w:val="double" w:sz="6" w:space="0" w:color="1F497D"/>
              <w:right w:val="double" w:sz="6" w:space="0" w:color="1F497D"/>
            </w:tcBorders>
            <w:shd w:val="clear" w:color="auto" w:fill="auto"/>
            <w:noWrap/>
            <w:vAlign w:val="center"/>
            <w:hideMark/>
          </w:tcPr>
          <w:p w14:paraId="10E0BAFB"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w:t>
            </w:r>
          </w:p>
        </w:tc>
        <w:tc>
          <w:tcPr>
            <w:tcW w:w="800" w:type="dxa"/>
            <w:tcBorders>
              <w:top w:val="nil"/>
              <w:left w:val="nil"/>
              <w:bottom w:val="double" w:sz="6" w:space="0" w:color="1F497D"/>
              <w:right w:val="double" w:sz="6" w:space="0" w:color="1F497D"/>
            </w:tcBorders>
            <w:shd w:val="clear" w:color="auto" w:fill="auto"/>
            <w:noWrap/>
            <w:vAlign w:val="center"/>
            <w:hideMark/>
          </w:tcPr>
          <w:p w14:paraId="1871ED74"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w:t>
            </w:r>
          </w:p>
        </w:tc>
        <w:tc>
          <w:tcPr>
            <w:tcW w:w="860" w:type="dxa"/>
            <w:tcBorders>
              <w:top w:val="nil"/>
              <w:left w:val="nil"/>
              <w:bottom w:val="double" w:sz="6" w:space="0" w:color="1F497D"/>
              <w:right w:val="double" w:sz="6" w:space="0" w:color="1F497D"/>
            </w:tcBorders>
            <w:shd w:val="clear" w:color="auto" w:fill="auto"/>
            <w:noWrap/>
            <w:vAlign w:val="center"/>
            <w:hideMark/>
          </w:tcPr>
          <w:p w14:paraId="65AF2C71"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w:t>
            </w:r>
          </w:p>
        </w:tc>
        <w:tc>
          <w:tcPr>
            <w:tcW w:w="920" w:type="dxa"/>
            <w:tcBorders>
              <w:top w:val="nil"/>
              <w:left w:val="nil"/>
              <w:bottom w:val="double" w:sz="6" w:space="0" w:color="1F497D"/>
              <w:right w:val="double" w:sz="6" w:space="0" w:color="1F497D"/>
            </w:tcBorders>
            <w:shd w:val="clear" w:color="auto" w:fill="auto"/>
            <w:noWrap/>
            <w:vAlign w:val="center"/>
            <w:hideMark/>
          </w:tcPr>
          <w:p w14:paraId="0C48D8D3"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245</w:t>
            </w:r>
          </w:p>
        </w:tc>
        <w:tc>
          <w:tcPr>
            <w:tcW w:w="980" w:type="dxa"/>
            <w:tcBorders>
              <w:top w:val="nil"/>
              <w:left w:val="nil"/>
              <w:bottom w:val="double" w:sz="6" w:space="0" w:color="1F497D"/>
              <w:right w:val="double" w:sz="6" w:space="0" w:color="1F497D"/>
            </w:tcBorders>
            <w:shd w:val="clear" w:color="auto" w:fill="auto"/>
            <w:noWrap/>
            <w:vAlign w:val="center"/>
            <w:hideMark/>
          </w:tcPr>
          <w:p w14:paraId="61B2CE19"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98</w:t>
            </w:r>
          </w:p>
        </w:tc>
        <w:tc>
          <w:tcPr>
            <w:tcW w:w="1120" w:type="dxa"/>
            <w:tcBorders>
              <w:top w:val="nil"/>
              <w:left w:val="nil"/>
              <w:bottom w:val="double" w:sz="6" w:space="0" w:color="1F497D"/>
              <w:right w:val="double" w:sz="6" w:space="0" w:color="1F497D"/>
            </w:tcBorders>
            <w:shd w:val="clear" w:color="auto" w:fill="auto"/>
            <w:noWrap/>
            <w:vAlign w:val="center"/>
            <w:hideMark/>
          </w:tcPr>
          <w:p w14:paraId="23997ECF"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172</w:t>
            </w:r>
          </w:p>
        </w:tc>
        <w:tc>
          <w:tcPr>
            <w:tcW w:w="1118" w:type="dxa"/>
            <w:tcBorders>
              <w:top w:val="nil"/>
              <w:left w:val="nil"/>
              <w:bottom w:val="double" w:sz="6" w:space="0" w:color="1F497D"/>
              <w:right w:val="double" w:sz="6" w:space="0" w:color="1F497D"/>
            </w:tcBorders>
            <w:shd w:val="clear" w:color="auto" w:fill="auto"/>
            <w:noWrap/>
            <w:vAlign w:val="center"/>
            <w:hideMark/>
          </w:tcPr>
          <w:p w14:paraId="52A289FD" w14:textId="77777777" w:rsidR="0044746B" w:rsidRPr="00033E65" w:rsidRDefault="0044746B" w:rsidP="0044746B">
            <w:pPr>
              <w:spacing w:before="0" w:after="0"/>
              <w:jc w:val="center"/>
              <w:rPr>
                <w:rFonts w:cs="Arial"/>
                <w:color w:val="000000"/>
                <w:szCs w:val="22"/>
                <w:lang w:eastAsia="es-CR"/>
              </w:rPr>
            </w:pPr>
            <w:r w:rsidRPr="00033E65">
              <w:rPr>
                <w:rFonts w:cs="Arial"/>
                <w:color w:val="000000"/>
                <w:szCs w:val="22"/>
                <w:lang w:eastAsia="es-CR"/>
              </w:rPr>
              <w:t>15</w:t>
            </w:r>
          </w:p>
        </w:tc>
      </w:tr>
    </w:tbl>
    <w:p w14:paraId="61EC7D79" w14:textId="6F12EE74" w:rsidR="00216BFD" w:rsidRPr="00033E65" w:rsidRDefault="00216BFD" w:rsidP="003A468E">
      <w:pPr>
        <w:rPr>
          <w:b/>
          <w:i/>
          <w:sz w:val="18"/>
          <w:lang w:eastAsia="en-US"/>
        </w:rPr>
      </w:pPr>
      <w:r w:rsidRPr="00033E65">
        <w:rPr>
          <w:b/>
          <w:i/>
          <w:sz w:val="18"/>
          <w:lang w:eastAsia="en-US"/>
        </w:rPr>
        <w:t xml:space="preserve">Fuente: Subproceso de Modernización </w:t>
      </w:r>
      <w:r w:rsidR="00B6699C" w:rsidRPr="00033E65">
        <w:rPr>
          <w:b/>
          <w:i/>
          <w:sz w:val="18"/>
          <w:lang w:eastAsia="en-US"/>
        </w:rPr>
        <w:t>Institucional</w:t>
      </w:r>
      <w:r w:rsidR="00607958" w:rsidRPr="00033E65">
        <w:rPr>
          <w:b/>
          <w:i/>
          <w:sz w:val="18"/>
          <w:lang w:eastAsia="en-US"/>
        </w:rPr>
        <w:t>,</w:t>
      </w:r>
      <w:r w:rsidR="00B6699C" w:rsidRPr="00033E65">
        <w:rPr>
          <w:b/>
          <w:i/>
          <w:sz w:val="18"/>
          <w:lang w:eastAsia="en-US"/>
        </w:rPr>
        <w:t xml:space="preserve"> área No Penal, con base en los reportes de</w:t>
      </w:r>
      <w:r w:rsidR="00AF3620" w:rsidRPr="00033E65">
        <w:rPr>
          <w:b/>
          <w:i/>
          <w:sz w:val="18"/>
          <w:lang w:eastAsia="en-US"/>
        </w:rPr>
        <w:t xml:space="preserve"> </w:t>
      </w:r>
      <w:r w:rsidR="00B6699C" w:rsidRPr="00033E65">
        <w:rPr>
          <w:b/>
          <w:i/>
          <w:sz w:val="18"/>
          <w:lang w:eastAsia="en-US"/>
        </w:rPr>
        <w:t>l</w:t>
      </w:r>
      <w:r w:rsidR="00AF3620" w:rsidRPr="00033E65">
        <w:rPr>
          <w:b/>
          <w:i/>
          <w:sz w:val="18"/>
          <w:lang w:eastAsia="en-US"/>
        </w:rPr>
        <w:t>os</w:t>
      </w:r>
      <w:r w:rsidR="00B6699C" w:rsidRPr="00033E65">
        <w:rPr>
          <w:b/>
          <w:i/>
          <w:sz w:val="18"/>
          <w:lang w:eastAsia="en-US"/>
        </w:rPr>
        <w:t xml:space="preserve"> </w:t>
      </w:r>
      <w:r w:rsidR="00607958" w:rsidRPr="00033E65">
        <w:rPr>
          <w:b/>
          <w:i/>
          <w:sz w:val="18"/>
          <w:lang w:eastAsia="en-US"/>
        </w:rPr>
        <w:t>Anuarios Judiciales 2016-2020 sistema SIGMA 2021</w:t>
      </w:r>
      <w:r w:rsidR="00514F65" w:rsidRPr="00033E65">
        <w:rPr>
          <w:b/>
          <w:i/>
          <w:sz w:val="18"/>
          <w:lang w:eastAsia="en-US"/>
        </w:rPr>
        <w:t>-2022</w:t>
      </w:r>
      <w:r w:rsidRPr="00033E65">
        <w:rPr>
          <w:b/>
          <w:i/>
          <w:sz w:val="18"/>
          <w:lang w:eastAsia="en-US"/>
        </w:rPr>
        <w:t xml:space="preserve">. </w:t>
      </w:r>
    </w:p>
    <w:p w14:paraId="021092F3" w14:textId="77777777" w:rsidR="00965884" w:rsidRPr="00033E65" w:rsidRDefault="00965884" w:rsidP="00216BFD">
      <w:pPr>
        <w:rPr>
          <w:szCs w:val="22"/>
          <w:lang w:eastAsia="en-US"/>
        </w:rPr>
      </w:pPr>
    </w:p>
    <w:p w14:paraId="2022ADF0" w14:textId="19738383" w:rsidR="00216BFD" w:rsidRPr="00033E65" w:rsidRDefault="00216BFD" w:rsidP="00216BFD">
      <w:pPr>
        <w:rPr>
          <w:szCs w:val="22"/>
          <w:lang w:eastAsia="en-US"/>
        </w:rPr>
      </w:pPr>
      <w:r w:rsidRPr="00033E65">
        <w:rPr>
          <w:szCs w:val="22"/>
          <w:lang w:eastAsia="en-US"/>
        </w:rPr>
        <w:t xml:space="preserve">Los Despachos presentan una entrada de </w:t>
      </w:r>
      <w:r w:rsidR="00837805" w:rsidRPr="00033E65">
        <w:rPr>
          <w:szCs w:val="22"/>
          <w:lang w:eastAsia="en-US"/>
        </w:rPr>
        <w:t>cinco</w:t>
      </w:r>
      <w:r w:rsidRPr="00033E65">
        <w:rPr>
          <w:szCs w:val="22"/>
          <w:lang w:eastAsia="en-US"/>
        </w:rPr>
        <w:t xml:space="preserve"> (</w:t>
      </w:r>
      <w:r w:rsidR="00837805" w:rsidRPr="00033E65">
        <w:rPr>
          <w:szCs w:val="22"/>
          <w:lang w:eastAsia="en-US"/>
        </w:rPr>
        <w:t>5</w:t>
      </w:r>
      <w:r w:rsidRPr="00033E65">
        <w:rPr>
          <w:szCs w:val="22"/>
          <w:lang w:eastAsia="en-US"/>
        </w:rPr>
        <w:t xml:space="preserve">) Informaciones Posesorias en promedio por mes, </w:t>
      </w:r>
      <w:r w:rsidR="00025ED5" w:rsidRPr="00033E65">
        <w:rPr>
          <w:szCs w:val="22"/>
          <w:lang w:eastAsia="en-US"/>
        </w:rPr>
        <w:t>el que rompe ese promedio es el</w:t>
      </w:r>
      <w:r w:rsidRPr="00033E65">
        <w:rPr>
          <w:szCs w:val="22"/>
          <w:lang w:eastAsia="en-US"/>
        </w:rPr>
        <w:t xml:space="preserve"> Juzgado Agrario de Santa Cruz que presenta una entrada de 1</w:t>
      </w:r>
      <w:r w:rsidR="00E73FEC" w:rsidRPr="00033E65">
        <w:rPr>
          <w:szCs w:val="22"/>
          <w:lang w:eastAsia="en-US"/>
        </w:rPr>
        <w:t>4</w:t>
      </w:r>
      <w:r w:rsidRPr="00033E65">
        <w:rPr>
          <w:szCs w:val="22"/>
          <w:lang w:eastAsia="en-US"/>
        </w:rPr>
        <w:t xml:space="preserve"> casos en promedio. Es decir, cada persona juzgadora debería estar tramitando en promedio 3 casos mensuales de Informaciones Posesorias (en Despachos con dos (2) personas juzgadoras). </w:t>
      </w:r>
    </w:p>
    <w:p w14:paraId="6D7781F0" w14:textId="77777777" w:rsidR="00216BFD" w:rsidRPr="00033E65" w:rsidRDefault="00216BFD" w:rsidP="00216BFD">
      <w:pPr>
        <w:rPr>
          <w:szCs w:val="22"/>
          <w:lang w:eastAsia="en-US"/>
        </w:rPr>
      </w:pPr>
      <w:r w:rsidRPr="00033E65">
        <w:rPr>
          <w:szCs w:val="22"/>
          <w:lang w:eastAsia="en-US"/>
        </w:rPr>
        <w:t>El atender de forma oportuna, el circulante de las Informaciones Posesorias en el país, definitivamente representaría una disminución significativa, en la carga de trabajo general de los Despachos del país en materia Agraria y en la estadística en esta Jurisdicción, de forma que sus esfuerzos se enfoquen en el cumplimiento de audiencias fuera de los despachos para los casos ordinarios, todo en beneficio de la disminución de los tiempos de resolución para una mayor cantidad de personas usuarias.</w:t>
      </w:r>
    </w:p>
    <w:p w14:paraId="1995316B" w14:textId="343DD2EC" w:rsidR="008424AA" w:rsidRPr="00033E65" w:rsidRDefault="00EC5306" w:rsidP="00EC5306">
      <w:pPr>
        <w:pStyle w:val="Ttulo2"/>
        <w:numPr>
          <w:ilvl w:val="0"/>
          <w:numId w:val="0"/>
        </w:numPr>
      </w:pPr>
      <w:bookmarkStart w:id="226" w:name="_Toc37670482"/>
      <w:bookmarkStart w:id="227" w:name="_Toc132639569"/>
      <w:r>
        <w:t xml:space="preserve">15. </w:t>
      </w:r>
      <w:r w:rsidR="008424AA" w:rsidRPr="00033E65">
        <w:t xml:space="preserve">Valoración de </w:t>
      </w:r>
      <w:r w:rsidR="009B174B" w:rsidRPr="00033E65">
        <w:t>N</w:t>
      </w:r>
      <w:r w:rsidR="008424AA" w:rsidRPr="00033E65">
        <w:t xml:space="preserve">ecesidades de </w:t>
      </w:r>
      <w:r w:rsidR="009B174B" w:rsidRPr="00033E65">
        <w:t>V</w:t>
      </w:r>
      <w:r w:rsidR="008424AA" w:rsidRPr="00033E65">
        <w:t>ehículos</w:t>
      </w:r>
      <w:bookmarkEnd w:id="226"/>
      <w:bookmarkEnd w:id="227"/>
      <w:r w:rsidR="008424AA" w:rsidRPr="00033E65">
        <w:t xml:space="preserve"> </w:t>
      </w:r>
    </w:p>
    <w:p w14:paraId="0B959FE7" w14:textId="77777777" w:rsidR="008424AA" w:rsidRPr="00033E65" w:rsidRDefault="008424AA" w:rsidP="008424AA">
      <w:pPr>
        <w:rPr>
          <w:szCs w:val="22"/>
        </w:rPr>
      </w:pPr>
      <w:r w:rsidRPr="00033E65">
        <w:rPr>
          <w:szCs w:val="22"/>
        </w:rPr>
        <w:t xml:space="preserve">En la actualidad, las audiencias se realizan fuera del despacho, es por esa razón que las Juezas y los Jueces agrarios, requieren la disponibilidad de vehículos institucionales, siendo que este servicio lo brindan las Administraciones Regionales una o dos veces por semana, aspecto que limita la atención oportuna de las audiencias señaladas en agenda y que según se indica en el nuevo Código Procesal Agrario, será indispensable la oralidad en el sitio. </w:t>
      </w:r>
    </w:p>
    <w:p w14:paraId="06242615" w14:textId="77777777" w:rsidR="008424AA" w:rsidRPr="00033E65" w:rsidRDefault="008424AA" w:rsidP="008424AA">
      <w:pPr>
        <w:rPr>
          <w:szCs w:val="22"/>
        </w:rPr>
      </w:pPr>
      <w:r w:rsidRPr="00033E65">
        <w:rPr>
          <w:szCs w:val="22"/>
        </w:rPr>
        <w:t>En los casos que la Administración Regional no cuente con disponibilidad de facilitar un vehículo, algunas Juezas o Jueces se desplazaban al sitio donde se efectuará la audiencia con alguna de las partes intervinientes en el proceso para poder realizar las audiencias o juicios.</w:t>
      </w:r>
    </w:p>
    <w:p w14:paraId="33D599D8" w14:textId="77777777" w:rsidR="008424AA" w:rsidRPr="00033E65" w:rsidRDefault="008424AA" w:rsidP="008424AA">
      <w:pPr>
        <w:rPr>
          <w:szCs w:val="22"/>
        </w:rPr>
      </w:pPr>
      <w:r w:rsidRPr="00033E65">
        <w:rPr>
          <w:szCs w:val="22"/>
        </w:rPr>
        <w:t>La Auditoría Judicial mediante oficio 1284-2013-AUO-2014, realizó un estudio operativo del proceso Agrario, en el cual realiza una serie de recomendaciones a la Comisión de la Jurisdicción Agraria, en la que destaca la siguiente: “</w:t>
      </w:r>
      <w:r w:rsidRPr="00033E65">
        <w:rPr>
          <w:i/>
          <w:szCs w:val="22"/>
        </w:rPr>
        <w:t>Analizar y establecer los lineamientos necesarios que permitan estandarizar y uniformar el procedimiento y/o la sana práctica, que deben aplicar los Juzgados Agrarios cuando requieran realizar audiencias in situ, específicamente lo relacionado al transporte; con el fin de brindar un servicio oportuno a la persona usuaria, así como de velar por la integridad física de los funcionarios (as) en sus labores.</w:t>
      </w:r>
      <w:r w:rsidRPr="00033E65">
        <w:rPr>
          <w:szCs w:val="22"/>
        </w:rPr>
        <w:t xml:space="preserve">”. </w:t>
      </w:r>
    </w:p>
    <w:p w14:paraId="247BBF60" w14:textId="77777777" w:rsidR="008424AA" w:rsidRPr="00033E65" w:rsidRDefault="008424AA" w:rsidP="008424AA">
      <w:pPr>
        <w:rPr>
          <w:szCs w:val="22"/>
        </w:rPr>
      </w:pPr>
      <w:r w:rsidRPr="00033E65">
        <w:rPr>
          <w:szCs w:val="22"/>
        </w:rPr>
        <w:t>Por tal motivo, la Comisión de la Jurisdicción Agraria elabora un plan de acción para corregir las recomendaciones sugeridas por la Auditoría Judicial, a continuación, se presentan las propuestas de solución por parte de la Comisión de la Jurisdicción Agraria:</w:t>
      </w:r>
    </w:p>
    <w:p w14:paraId="3A69796D" w14:textId="77777777" w:rsidR="008424AA" w:rsidRPr="00033E65" w:rsidRDefault="008424AA" w:rsidP="008424AA">
      <w:pPr>
        <w:ind w:left="426" w:right="333"/>
        <w:rPr>
          <w:i/>
          <w:szCs w:val="22"/>
        </w:rPr>
      </w:pPr>
      <w:r w:rsidRPr="00033E65">
        <w:rPr>
          <w:i/>
          <w:szCs w:val="22"/>
        </w:rPr>
        <w:t>“</w:t>
      </w:r>
      <w:r w:rsidR="00A970A8" w:rsidRPr="00033E65">
        <w:rPr>
          <w:i/>
          <w:szCs w:val="22"/>
        </w:rPr>
        <w:t>.</w:t>
      </w:r>
      <w:r w:rsidRPr="00033E65">
        <w:rPr>
          <w:i/>
          <w:szCs w:val="22"/>
        </w:rPr>
        <w:t>..1. Con el objetivo de no comprometer la independencia, imparcialidad y objetividad de las personas juzgadoras agrarias y el personal de apoyo;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establecer la inconveniencia de que los jueces y juezas agrarias y el personal de apoyo se trasladen a audiencias fuera del despacho en medios de transporte particulares, propiedad de alguna de las personas usuarias que sean parte o interesadas en los procesos agrarios respectivos. Emitir una circular en tal sentido.</w:t>
      </w:r>
    </w:p>
    <w:p w14:paraId="7B64233C" w14:textId="77777777" w:rsidR="008424AA" w:rsidRPr="00033E65" w:rsidRDefault="008424AA" w:rsidP="008424AA">
      <w:pPr>
        <w:ind w:left="426" w:right="333"/>
        <w:rPr>
          <w:i/>
          <w:szCs w:val="22"/>
        </w:rPr>
      </w:pPr>
      <w:r w:rsidRPr="00033E65">
        <w:rPr>
          <w:i/>
          <w:szCs w:val="22"/>
        </w:rPr>
        <w:t>2.Solicitar a la Dirección de Planificación hacer un estudio de reasignación idónea de recursos institucionales, para brindar una solución oportuna a la situación de escases que enfrenta la Jurisdicción Agraria y que incide en su productividad, enfatizando en el transporte para la realización de audiencias fuera de la sede de los Juzgados Agrarios y los requerimientos humanos y tecnológicos. Con ello, se le daría un uso óptimo a los recursos y un apoyo a la Jurisdicción en su imperiosa necesidad de atender las necesidades de las personas usuarias, sin pedir recurso nuevo o adicional.</w:t>
      </w:r>
    </w:p>
    <w:p w14:paraId="4BA8B06E" w14:textId="77777777" w:rsidR="008424AA" w:rsidRPr="00033E65" w:rsidRDefault="008424AA" w:rsidP="008424AA">
      <w:pPr>
        <w:ind w:left="426" w:right="333"/>
        <w:rPr>
          <w:i/>
          <w:szCs w:val="22"/>
        </w:rPr>
      </w:pPr>
      <w:r w:rsidRPr="00033E65">
        <w:rPr>
          <w:i/>
          <w:szCs w:val="22"/>
        </w:rPr>
        <w:t>3.Con fundamento en el artículo 9 del “Reglamento para el uso, control y mantenimiento de los vehículos del Poder Judicial” aprobado por Corte Plena en sesión Nº 39-09, celebrada el 9 de noviembre del año en curso, artículo XV, disponer la atención prioritaria por parte de las Administraciones Regionales en el uso de bienes de la categoría “Vehículos de uso jurisdiccional y administrativo general”, priorizar su uso a las Juzgados Agrarios en tanto éstos comuniquen con la suficiente anticipación la programación de audiencias fuera del despacho para que no afecte a administración óptima de los vehículos y sus conductores. Lo anterior, debido a que, a diferencia de los demás Juzgados y Tribunales que tienen las salas de audiencias disponibles, los Juzgados Agrarios realizan la mayoría de las audiencias en el lugar donde se localizan los inmuebles objeto del proceso, conforme al artículo 46 de la Ley de Jurisdicción Agraria.</w:t>
      </w:r>
    </w:p>
    <w:p w14:paraId="21853AB6" w14:textId="77777777" w:rsidR="008424AA" w:rsidRPr="00033E65" w:rsidRDefault="008424AA" w:rsidP="008424AA">
      <w:pPr>
        <w:ind w:left="426" w:right="333"/>
        <w:rPr>
          <w:i/>
          <w:szCs w:val="22"/>
        </w:rPr>
      </w:pPr>
      <w:r w:rsidRPr="00033E65">
        <w:rPr>
          <w:i/>
          <w:szCs w:val="22"/>
        </w:rPr>
        <w:t>4.Establecer como urgentes o especiales las audiencias programadas por los Juzgados Agrarios a realizarse fuera del despacho con ocasión de medidas cautelares, dada su naturaleza, y de procesos en los que intervenga alguna persona en condición de vulnerabilidad. Lo anterior, en relación con lo dispuesto en el artículo 36 del “Reglamento para el uso, control y mantenimiento de los vehículos del Poder Judicial” y en ejecución de las políticas emitidas por Corte Plena en relación con las diferentes poblaciones en condición de vulnerabilidad, entre ellas, personas indígenas, adultas mayores, afrodescendientes, entre otras.</w:t>
      </w:r>
    </w:p>
    <w:p w14:paraId="0F2A2E4A" w14:textId="77777777" w:rsidR="008424AA" w:rsidRPr="00033E65" w:rsidRDefault="008424AA" w:rsidP="008424AA">
      <w:pPr>
        <w:ind w:left="426" w:right="333"/>
        <w:rPr>
          <w:i/>
          <w:szCs w:val="22"/>
        </w:rPr>
      </w:pPr>
      <w:r w:rsidRPr="00033E65">
        <w:rPr>
          <w:i/>
          <w:szCs w:val="22"/>
        </w:rPr>
        <w:t>5.Los Juzgados Agrarios y los Juzgados Mixtos que conocen de la materia agraria, la Fiscalía y la Defensa Pública de los circuitos judiciales donde los primeros tengan sede, establecerán un mecanismo de comunicación eficaz y eficiente mediante el cual los dos últimos comuniquen a los jueces y juezas agrarias la disponibilidad de los vehículos a su cargo. Lo anterior, con el objetivo de que, conforme al artículo 12 del “Reglamento para el uso, control y mantenimiento de los vehículos del Poder Judicial”, cuando los vehículos de la Fiscalía y de la Defensa Pública no se estén ocupando, presten servicio a los Juzgados Agrarios en forma prioritaria.</w:t>
      </w:r>
    </w:p>
    <w:p w14:paraId="603E7C03" w14:textId="77777777" w:rsidR="008424AA" w:rsidRPr="00033E65" w:rsidRDefault="008424AA" w:rsidP="008424AA">
      <w:pPr>
        <w:ind w:left="426" w:right="333"/>
        <w:rPr>
          <w:i/>
          <w:szCs w:val="22"/>
        </w:rPr>
      </w:pPr>
      <w:r w:rsidRPr="00033E65">
        <w:rPr>
          <w:i/>
          <w:szCs w:val="22"/>
        </w:rPr>
        <w:t>6.Reiterar a los Juzgados Agrarios y a los Juzgados Mixtos que conocen de la materia agraria, el contenido de las Circulares de la Dirección Ejecutiva 37-2017, 34-2011, 38-2011, 139-2011 y 81-2014, referidas a la posibilidad de utilizar sus vehículos personales en las audiencias que se programen fuera del despacho, siempre que cumplan con los lineamientos indicados; así como la resolución emitida por la Contraloría General de la República N° R-DC-194-2010 de las quince horas del diecinueve de noviembre de dos mil diez. Los Juzgados Agrarios realizarán las audiencias de prueba en el lugar donde se ubique el inmueble en conflicto, salvo que los procesos sean de puro derecho, para lo cual las Administraciones Regionales le suministrarán los vehículos oficiales a su cargo, tanto para el traslado de ida como para el regreso</w:t>
      </w:r>
    </w:p>
    <w:p w14:paraId="58286298" w14:textId="77777777" w:rsidR="008424AA" w:rsidRPr="00033E65" w:rsidRDefault="008424AA" w:rsidP="008424AA">
      <w:pPr>
        <w:ind w:left="426" w:right="333"/>
        <w:rPr>
          <w:i/>
          <w:szCs w:val="22"/>
        </w:rPr>
      </w:pPr>
      <w:r w:rsidRPr="00033E65">
        <w:rPr>
          <w:i/>
          <w:szCs w:val="22"/>
        </w:rPr>
        <w:t xml:space="preserve">7.Reiterar la Circular N° 173-2013 emitida por el Consejo Superior a solicitud de la Comisión de la Jurisdicción Agraria, denominada “Utilizar el mismo vehículo para trasladarse a realizar las audiencias de prueba en el lugar del conflicto”, dirigida a las personas juzgadoras y defensoras públicas agrarias, en la que se indicó: “El Consejo Superior en sesión N° 88-13, celebrada el 11 de setiembre de 2013, artículo LXXXII, a solicitud de la Comisión de la Jurisdicción Agraria, acordó comunicarles que cuando se trasladen a realizar las audiencias de prueba en el lugar del conflicto, se debe coordinar y realizar las gestiones ante la administración o unidad de transportes correspondiente, para que puedan trasladarse en el mismo vehículo y así maximizar el uso de los recursos materiales de la institución. En tal supuesto y con el ánimo de una mayor transparencia en la gestión, las juezas o los jueces a cargo de la audiencia han de informar a las partes involucradas la razón por la cual utilizan el mismo transporte, además de los lineamientos institucionales que lo permiten.” </w:t>
      </w:r>
    </w:p>
    <w:p w14:paraId="205B4374" w14:textId="77777777" w:rsidR="008424AA" w:rsidRPr="00033E65" w:rsidRDefault="008424AA" w:rsidP="008424AA">
      <w:pPr>
        <w:ind w:left="426" w:right="333"/>
        <w:rPr>
          <w:i/>
          <w:szCs w:val="22"/>
        </w:rPr>
      </w:pPr>
      <w:r w:rsidRPr="00033E65">
        <w:rPr>
          <w:i/>
          <w:szCs w:val="22"/>
        </w:rPr>
        <w:t>8.Solicitar a la Dirección Ejecutiva emita lineamientos a las Administraciones Regionales con el objetivo de que estandaricen la asignación de vehículos a los Juzgados Agrarios conforme a la disponibilidad de automotores y requerimientos de esos despachos.</w:t>
      </w:r>
    </w:p>
    <w:p w14:paraId="683771A2" w14:textId="77777777" w:rsidR="008424AA" w:rsidRPr="00033E65" w:rsidRDefault="008424AA" w:rsidP="008424AA">
      <w:pPr>
        <w:ind w:left="426" w:right="333"/>
        <w:rPr>
          <w:i/>
          <w:szCs w:val="22"/>
        </w:rPr>
      </w:pPr>
      <w:r w:rsidRPr="00033E65">
        <w:rPr>
          <w:i/>
          <w:szCs w:val="22"/>
        </w:rPr>
        <w:t>9. Reiterar a los Juzgados Agrarios y a los Juzgados Mixtos que conocen de la materia agraria, la circular emitida por el Consejo Superior conforme a la cual, en los supuestos en los que las Administraciones Regionales, la Defensa Pública y la Fiscalía no cuenten con vehículos oficiales disponibles con conductor, están autorizados a conducir los vehículos oficiales.</w:t>
      </w:r>
    </w:p>
    <w:p w14:paraId="320F5268" w14:textId="77777777" w:rsidR="008424AA" w:rsidRPr="00033E65" w:rsidRDefault="008424AA" w:rsidP="008424AA">
      <w:pPr>
        <w:ind w:left="426" w:right="333"/>
        <w:rPr>
          <w:i/>
          <w:szCs w:val="22"/>
        </w:rPr>
      </w:pPr>
      <w:r w:rsidRPr="00033E65">
        <w:rPr>
          <w:i/>
          <w:szCs w:val="22"/>
        </w:rPr>
        <w:t>10. Con el objetivo de garantizar la independencia, imparcialidad y objetividad de las personas juzgadoras agrarias,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instar a la Dirección Ejecutiva y a las Administraciones Regionales a su cargo, para que tomen las previsiones a fin de sufragar el costo del alquiler de medios de transporte alternos a los vehículos cuando éstos no sean suficientes, tales como lanchas, caballos u otros medios de traslado de los jueces y juezas agrarias, con el objetivo de que no sean las partes involucradas en los procesos o personas interesadas en éstos, quienes asuman tales costos y garantizar la realización oportuna de la audiencia programada.</w:t>
      </w:r>
    </w:p>
    <w:p w14:paraId="10D9319B" w14:textId="77777777" w:rsidR="008424AA" w:rsidRPr="00033E65" w:rsidRDefault="008424AA" w:rsidP="008424AA">
      <w:pPr>
        <w:ind w:left="426" w:right="333"/>
        <w:rPr>
          <w:i/>
          <w:szCs w:val="22"/>
        </w:rPr>
      </w:pPr>
      <w:r w:rsidRPr="00033E65">
        <w:rPr>
          <w:i/>
          <w:szCs w:val="22"/>
        </w:rPr>
        <w:t>11. Con el objetivo de no debilitar el sistema de control y garantizar que las audiencias de prueba programadas en los procesos agrarios se materialicen de manera oportuna, y maximizar el aprovechamiento de los recursos, instar a la Dirección Ejecutiva por medio de las Administraciones Regionales, para que garanticen que las personas juzgadoras agrarias cuenten con equipo tecnológico portátil (computadoras, pad de firmas, grabadoras compatibles con los sistemas institucionales, GPS, entre otros) en buenas condiciones de mantenimiento, a fin de cada juez o jueza, incluyendo los Juzgados Agrarios que cuentan con dos personas juzgadoras, puedan hacer las programaciones de audiencias respectivas sin que ello incida en la dilación de los procesos agrarios. Tales equipos deben contar con los mecanismos de protección idóneos a fin de disminuir riesgos de posibles daños materiales con ocasión de los sitios donde deben trasladarse los jueces y las juezas agrarias; así como las condiciones necesarias para velar por la integridad física de las personas juzgadoras y el personal de apoyo que le acompañe a tales audiencias. Se facilitará, además, equipo móvil adecuado que permita instalar una oficina portátil idónea para la realización de la audiencia, a saber, sillas, mesas plegables, tienda de campaña, entre otros; así como implementos indispensables como botas de hule, botas culebreras, capas livianas, entre otros.</w:t>
      </w:r>
    </w:p>
    <w:p w14:paraId="7750C845" w14:textId="77777777" w:rsidR="008424AA" w:rsidRPr="00033E65" w:rsidRDefault="008424AA" w:rsidP="008424AA">
      <w:pPr>
        <w:ind w:left="426" w:right="333"/>
        <w:rPr>
          <w:i/>
          <w:szCs w:val="22"/>
        </w:rPr>
      </w:pPr>
      <w:r w:rsidRPr="00033E65">
        <w:rPr>
          <w:i/>
          <w:szCs w:val="22"/>
        </w:rPr>
        <w:t>12. Autorizar a las Administraciones Regionales donde tienen sede los Juzgados Agrarios, a contratar vehículos oficiales de taxi pagados por el Poder Judicial, en caso de que del todo no exista disponibilidad de vehículos oficiales para trasladar a los jueces y juezas agrarias a las audiencias realizadas fuera del despacho. Los vehículos deben ser doble tracción, según los requerimientos del lugar donde deban trasladarse, y contar siempre con todos los seguros incluidos y actualizados. Lo anterior debido a que lo dispuesto en el artículo 10 de la Ley Orgánica del Poder Judicial es contrario al principio de gratuidad que impera en el proceso agrario y se encuentra regulado entre otros, en los numerales 26 a 29 de la Ley de Jurisdicción Agraria –que es ley especial- manteniéndose en el proyecto de Código Procesal Agrario; así como de las políticas institucionales relacionadas con las personas en condición de vulnerabilidad que según un estudio elaborado por la Administración Regional del II Circuito Judicial de San José, puesto en conocimiento del Consejo Superior, constituyen un alto porcentaje de las personas usuarias agrarias. Aunado a ello, la Procuraduría General de la República, en el dictamen C-94-2010 del 5 de mayo de 2010, señala que uno de los principios desarrollados respecto del Derecho Fundamental a la Tutela Judicial Efectiva es el de la gratuidad de la justicia.</w:t>
      </w:r>
    </w:p>
    <w:p w14:paraId="711FEB69" w14:textId="77777777" w:rsidR="008424AA" w:rsidRPr="00033E65" w:rsidRDefault="008424AA" w:rsidP="008424AA">
      <w:pPr>
        <w:ind w:left="426" w:right="333"/>
        <w:rPr>
          <w:i/>
          <w:szCs w:val="22"/>
        </w:rPr>
      </w:pPr>
      <w:r w:rsidRPr="00033E65">
        <w:rPr>
          <w:i/>
          <w:szCs w:val="22"/>
        </w:rPr>
        <w:t>13. Solicitar a la Dirección de Planificación realizar un estudio del impacto que tiene la eventual asignación insuficiente de vehículos a los Juzgados Agrarios para la realización de audiencias fuera del despacho, en la producción y el servicio que se ofrece a las personas usuarias.</w:t>
      </w:r>
    </w:p>
    <w:p w14:paraId="17C03097" w14:textId="42D17390" w:rsidR="00624BB5" w:rsidRPr="00EC5306" w:rsidRDefault="008424AA" w:rsidP="00EC5306">
      <w:pPr>
        <w:ind w:left="426" w:right="333"/>
        <w:rPr>
          <w:i/>
          <w:szCs w:val="22"/>
        </w:rPr>
      </w:pPr>
      <w:r w:rsidRPr="00033E65">
        <w:rPr>
          <w:i/>
          <w:szCs w:val="22"/>
        </w:rPr>
        <w:t>14. Pedir al Consejo Superior solicite a la Comisión de Seguridad valore la situación de riesgo de las personas juzgadoras agrarias y el personal de apoyo que debe trasladarse a audiencias de prueba fuera de los despachos y disponga el otorgamiento del incentivo correspondiente al riesgo; y considerar como antecedente de ello, el acuerdo del Consejo Superior tomado en sesión 63-2009 de 18 de junio de 2009, Artículo LXIX, en el que se dispuso incluir a los jueces y a las juezas agrarias en el Protocolo para trasladar en condiciones de seguridad a representantes de la Judicatura, Ministerio Público y Defensa Pública en el ejercicio de sus labores” que corresponde a la Circular 56-2009, así como la gestión formulada por la Comisión de la Jurisdicción Agraria a la Comisión de Seguridad el 31 de octubre 2012, exponiendo las situaciones de riesgo a las que se enfrentan con el afán de atender los distintos riesgos propios en esta disciplina, no comunes a otras jurisdicciones y la necesidad de reconocimiento…”</w:t>
      </w:r>
      <w:r w:rsidR="00624BB5" w:rsidRPr="00033E65">
        <w:rPr>
          <w:i/>
          <w:szCs w:val="22"/>
        </w:rPr>
        <w:t>.</w:t>
      </w:r>
    </w:p>
    <w:p w14:paraId="6E070DD6" w14:textId="5F3BE4AA" w:rsidR="008424AA" w:rsidRPr="00033E65" w:rsidRDefault="008424AA" w:rsidP="008424AA">
      <w:r w:rsidRPr="00033E65">
        <w:t xml:space="preserve">Producto de esas sugerencias por parte de la Comisión de la Jurisdicción Agraria, la Dirección Ejecutiva indica: </w:t>
      </w:r>
    </w:p>
    <w:p w14:paraId="1FAACDF2" w14:textId="77777777" w:rsidR="008424AA" w:rsidRPr="00033E65" w:rsidRDefault="008424AA" w:rsidP="008424AA">
      <w:pPr>
        <w:ind w:left="709" w:right="474"/>
        <w:rPr>
          <w:i/>
          <w:iCs/>
        </w:rPr>
      </w:pPr>
      <w:r w:rsidRPr="00033E65">
        <w:rPr>
          <w:i/>
          <w:iCs/>
        </w:rPr>
        <w:t xml:space="preserve">“respecto al Plan de Acción que propone la Comisión de la Jurisdicción Agraria, esta Dirección Ejecutiva ya se pronunció ante el Consejo Superior, en el sentido de que no es posible, con las condiciones y recursos actuales, atender las necesidades que ahí se señalan, con la exclusividad y especialidad que se nos requiere, principalmente en lo que a transporte se refiere; de ahí que nuestra posición fue variar una serie de requerimientos planteados por dicha Comisión para seguir prestando los servicios como hasta ahora se ha hecho, debido a las limitaciones de choferes y vehículos de la Administración.  </w:t>
      </w:r>
    </w:p>
    <w:p w14:paraId="76AB727C" w14:textId="4314DABC" w:rsidR="008424AA" w:rsidRPr="00033E65" w:rsidRDefault="008424AA" w:rsidP="008424AA">
      <w:pPr>
        <w:ind w:left="709" w:right="474"/>
        <w:rPr>
          <w:i/>
          <w:iCs/>
        </w:rPr>
      </w:pPr>
      <w:r w:rsidRPr="00033E65">
        <w:rPr>
          <w:i/>
          <w:iCs/>
        </w:rPr>
        <w:t>Ahora bien, si como lo expone la jueza Damaris Vargas Vásquez, en el documento denominado Informe Técnico de Costos de la Implementación del Proyecto de Código Procesal Agrario 15.887, la implementación del Nuevo Código Procesal Agrario no traerá como consecuencia la atención de las necesidades que se planteaban en el Plan de Acción y es posible seguir trabajando con las limitaciones que hoy en día se tienen en el uso de los recursos administrativos a saber: vehículos, equipos portátiles, GPS, etc; que son de uso compartido por las diferentes materias, no habría costos que reflejar en lo que a esta Dirección atañe. Por el contrario, si la nueva legislación impone una forma de trabajo similar a la expuesta en el Plan de Acción, como la misma Comisión Agraria lo solicitó en su momento al Consejo Superior, es necesaria la dotación de vehículos, choferes y equipos de manera exclusiva para esa jurisdicción, por lo que todos esos costos se deben incluir como parte de la implementación del nuevo Código</w:t>
      </w:r>
      <w:r w:rsidR="00624BB5" w:rsidRPr="00033E65">
        <w:rPr>
          <w:i/>
          <w:iCs/>
        </w:rPr>
        <w:t>.</w:t>
      </w:r>
      <w:r w:rsidRPr="00033E65">
        <w:rPr>
          <w:i/>
          <w:iCs/>
        </w:rPr>
        <w:t>”.</w:t>
      </w:r>
    </w:p>
    <w:p w14:paraId="2A53FA61" w14:textId="3D295727" w:rsidR="008424AA" w:rsidRPr="00033E65" w:rsidRDefault="008424AA" w:rsidP="008424AA">
      <w:r w:rsidRPr="00033E65">
        <w:t xml:space="preserve">Con respecto a este tema, la Presidencia de la Corte Suprema de Justicia mediante oficio 0292-P-2018, relacionado con el informe emitido por la Dirección de Planificación respecto a los escenarios sobre la posible implementación del Código Procesal Agrario </w:t>
      </w:r>
      <w:r w:rsidR="004A6F20" w:rsidRPr="00033E65">
        <w:rPr>
          <w:i/>
          <w:iCs/>
        </w:rPr>
        <w:t>(ver anexo 9</w:t>
      </w:r>
      <w:r w:rsidRPr="00033E65">
        <w:rPr>
          <w:i/>
          <w:iCs/>
        </w:rPr>
        <w:t>. Oficio n° 0292-P-2018 Presidencia de la Corte Suprema de Justicia)</w:t>
      </w:r>
      <w:r w:rsidRPr="00033E65">
        <w:t>; enviado a la Señora Carolina Hidalgo Herrera, Presidenta de la Asamblea Legislativa el 19 de julio de 2018, indica</w:t>
      </w:r>
      <w:r w:rsidR="00624BB5" w:rsidRPr="00033E65">
        <w:t>:</w:t>
      </w:r>
    </w:p>
    <w:p w14:paraId="72B9347A" w14:textId="77777777" w:rsidR="008424AA" w:rsidRPr="00033E65" w:rsidRDefault="008424AA" w:rsidP="008424AA">
      <w:pPr>
        <w:ind w:left="426" w:right="474"/>
        <w:rPr>
          <w:i/>
          <w:iCs/>
        </w:rPr>
      </w:pPr>
      <w:r w:rsidRPr="00033E65">
        <w:rPr>
          <w:i/>
          <w:iCs/>
        </w:rPr>
        <w:t xml:space="preserve">“…la propuesta hecha por la Comisión de la Jurisdicción Agraria al Consejo Superior para que se haga una redistribución de los vehículos oficiales del Poder Judicial conforme a los requerimientos de las diferentes oficinas.” </w:t>
      </w:r>
    </w:p>
    <w:p w14:paraId="461F12F9" w14:textId="77777777" w:rsidR="008424AA" w:rsidRPr="00033E65" w:rsidRDefault="008424AA" w:rsidP="008424AA">
      <w:pPr>
        <w:ind w:right="49"/>
      </w:pPr>
      <w:r w:rsidRPr="00033E65">
        <w:t>Es importante agregar que, aun subcontratando el servicio de transporte privado o público, para que realice el traslado de la persona juzgadora al sitio de la audiencia, se genera un gasto que se debe presupuestar; lo mismo ocurre si las personas juzgadoras realizan las giras en sus vehículos personales, para lo cual se debería presupuestar el costo por concepto de transporte por “pago de kilometraje”.</w:t>
      </w:r>
    </w:p>
    <w:p w14:paraId="3127AE9A" w14:textId="77777777" w:rsidR="008424AA" w:rsidRPr="00033E65" w:rsidRDefault="008424AA" w:rsidP="008424AA">
      <w:pPr>
        <w:ind w:right="49"/>
      </w:pPr>
      <w:r w:rsidRPr="00033E65">
        <w:t xml:space="preserve">Por lo indicado tanto por la Comisión de la Jurisdicción Agraria, como la capacidad de respuesta que indica la  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 </w:t>
      </w:r>
    </w:p>
    <w:p w14:paraId="5A62231C" w14:textId="691A6955" w:rsidR="008424AA" w:rsidRPr="00033E65" w:rsidRDefault="008424AA" w:rsidP="008424AA">
      <w:pPr>
        <w:ind w:right="49"/>
      </w:pPr>
      <w:r w:rsidRPr="00033E65">
        <w:t xml:space="preserve">En el informe de Presupuesto por Reforma Agraria para el 2020 (609-PLA-RH-MI-2019) se proponía reforzar con vehículos y choferes a las siguientes Administraciones Regionales: </w:t>
      </w:r>
      <w:bookmarkStart w:id="228" w:name="_Hlk130298935"/>
      <w:r w:rsidRPr="00033E65">
        <w:t>Limón, Turrialba, Pérez Zeledón</w:t>
      </w:r>
      <w:r w:rsidR="00BD100C" w:rsidRPr="00033E65">
        <w:t xml:space="preserve"> </w:t>
      </w:r>
      <w:r w:rsidR="008262DC" w:rsidRPr="00033E65">
        <w:t xml:space="preserve">    </w:t>
      </w:r>
      <w:r w:rsidRPr="00033E65">
        <w:t xml:space="preserve">y San Carlos. </w:t>
      </w:r>
      <w:bookmarkEnd w:id="228"/>
      <w:r w:rsidRPr="00033E65">
        <w:t>Aunado a lo anterior, en este mismo informe, no se contempló la compra de vehículos para las Administraciones Regionales de Turrialba, Puntarenas y Limón, ya que, de acuerdo con la Dirección Ejecutiva, había indicado lo siguiente</w:t>
      </w:r>
      <w:r w:rsidRPr="00033E65">
        <w:rPr>
          <w:i/>
          <w:iCs/>
        </w:rPr>
        <w:t xml:space="preserve"> (ver anexo 1</w:t>
      </w:r>
      <w:r w:rsidR="004A6F20" w:rsidRPr="00033E65">
        <w:rPr>
          <w:i/>
          <w:iCs/>
        </w:rPr>
        <w:t>0</w:t>
      </w:r>
      <w:r w:rsidRPr="00033E65">
        <w:rPr>
          <w:i/>
          <w:iCs/>
        </w:rPr>
        <w:t xml:space="preserve"> </w:t>
      </w:r>
      <w:r w:rsidRPr="00033E65">
        <w:rPr>
          <w:i/>
          <w:iCs/>
          <w:szCs w:val="22"/>
          <w:lang w:eastAsia="es-CR"/>
        </w:rPr>
        <w:t>Correo remitido por la Dirección Ejecutiva sobre la necesidad de vehículos para materia Agraria)</w:t>
      </w:r>
      <w:r w:rsidRPr="00033E65">
        <w:rPr>
          <w:i/>
          <w:iCs/>
        </w:rPr>
        <w:t>:</w:t>
      </w:r>
    </w:p>
    <w:p w14:paraId="01E9C8DC" w14:textId="77777777" w:rsidR="008424AA" w:rsidRPr="00033E65" w:rsidRDefault="008424AA" w:rsidP="008424AA">
      <w:pPr>
        <w:ind w:left="567" w:right="474"/>
        <w:rPr>
          <w:i/>
          <w:szCs w:val="22"/>
        </w:rPr>
      </w:pPr>
      <w:r w:rsidRPr="00033E65">
        <w:rPr>
          <w:i/>
          <w:szCs w:val="22"/>
        </w:rPr>
        <w:t xml:space="preserve">“…En atención a lo conversado en cuanto al presupuesto de vehículos para la reforma Agraria para el año 2020, específicamente en el caso de Turrialba, Puntarenas y Limón; una vez consultadas las respectivas Administraciones y valorados los casos con doña Ana Eugenia Romero y doña Dinorah Álvarez, me permito indicarle lo siguiente: </w:t>
      </w:r>
    </w:p>
    <w:p w14:paraId="00CB51AE" w14:textId="77777777" w:rsidR="008424AA" w:rsidRPr="00033E65" w:rsidRDefault="008424AA" w:rsidP="008424AA">
      <w:pPr>
        <w:ind w:left="567" w:right="474"/>
        <w:rPr>
          <w:i/>
          <w:szCs w:val="22"/>
        </w:rPr>
      </w:pPr>
      <w:r w:rsidRPr="00033E65">
        <w:rPr>
          <w:b/>
          <w:i/>
          <w:szCs w:val="22"/>
        </w:rPr>
        <w:t>Turrialba:</w:t>
      </w:r>
      <w:r w:rsidRPr="00033E65">
        <w:rPr>
          <w:i/>
          <w:szCs w:val="22"/>
        </w:rPr>
        <w:t xml:space="preserve"> dado que en el presupuesto ordinario 2020 se incluyó un vehículo para la Administración de esa localidad, se puede excluir del presupuesto 2020 el vehículo que se contempló en el plan para Agrario. No obstante, se deben mantener todos los demás rubros (combustible, mantenimiento, etc.), incluido el chofer.</w:t>
      </w:r>
    </w:p>
    <w:p w14:paraId="130924B5" w14:textId="77777777" w:rsidR="008424AA" w:rsidRPr="00033E65" w:rsidRDefault="008424AA" w:rsidP="008424AA">
      <w:pPr>
        <w:ind w:left="567" w:right="474"/>
        <w:rPr>
          <w:i/>
          <w:szCs w:val="22"/>
        </w:rPr>
      </w:pPr>
      <w:r w:rsidRPr="00033E65">
        <w:rPr>
          <w:b/>
          <w:i/>
          <w:szCs w:val="22"/>
        </w:rPr>
        <w:t>Puntarenas:</w:t>
      </w:r>
      <w:r w:rsidRPr="00033E65">
        <w:rPr>
          <w:i/>
          <w:szCs w:val="22"/>
        </w:rPr>
        <w:t xml:space="preserve"> en el presupuesto 2020 ordinario se tiene contemplado un vehículo para esa Administración; sin embargo, dadas las necesidades de ese circuito judicial, se debe mantener también el vehículo contemplado para Agrario, así como todos los demás rubros incluidos en la estimación (chofer, combustible, mantenimiento, etc.).</w:t>
      </w:r>
    </w:p>
    <w:p w14:paraId="60D1E978" w14:textId="60C745E1" w:rsidR="008424AA" w:rsidRPr="00033E65" w:rsidRDefault="008424AA" w:rsidP="008424AA">
      <w:pPr>
        <w:ind w:left="567" w:right="474"/>
        <w:rPr>
          <w:i/>
          <w:szCs w:val="22"/>
        </w:rPr>
      </w:pPr>
      <w:r w:rsidRPr="00033E65">
        <w:rPr>
          <w:b/>
          <w:i/>
          <w:szCs w:val="22"/>
        </w:rPr>
        <w:t>Limón:</w:t>
      </w:r>
      <w:r w:rsidRPr="00033E65">
        <w:rPr>
          <w:i/>
          <w:szCs w:val="22"/>
        </w:rPr>
        <w:t xml:space="preserve"> dado que en el presupuesto ordinario 2020 se incluyó un vehículo tipo microbús para la Administración de esa localidad, se puede excluir del presupuesto el vehículo tipo pick up que se contempló en el plan para Agrario, ya que al adquirirse el microbús la Administración podrá separar uno de sus vehículos actuales para atender a la materia Agraria. No obstante, se aclara que en este caso se deben mantener en el presupuesto para Agrario todos los demás rubros (combustible, mantenimiento, etc.), incluido el chofer…”</w:t>
      </w:r>
      <w:r w:rsidR="007B5EBA" w:rsidRPr="00033E65">
        <w:rPr>
          <w:i/>
          <w:szCs w:val="22"/>
        </w:rPr>
        <w:t>.</w:t>
      </w:r>
    </w:p>
    <w:p w14:paraId="6FF696BC" w14:textId="352B79AE" w:rsidR="008424AA" w:rsidRPr="00033E65" w:rsidRDefault="008424AA" w:rsidP="008424AA">
      <w:pPr>
        <w:ind w:right="49"/>
      </w:pPr>
      <w:r w:rsidRPr="00033E65">
        <w:t xml:space="preserve">Ahora bien, la Dirección Ejecutiva mediante correo electrónico remitido el 12 de febrero del 2020, en relación con </w:t>
      </w:r>
      <w:r w:rsidR="001D1871" w:rsidRPr="00033E65">
        <w:t>él</w:t>
      </w:r>
      <w:r w:rsidRPr="00033E65">
        <w:t xml:space="preserve"> envió de presupuesto actualizado 2021 para la Jurisdicción Agraria, que contiene el oficio 581-DE-2020 </w:t>
      </w:r>
      <w:r w:rsidRPr="00033E65">
        <w:rPr>
          <w:i/>
          <w:iCs/>
        </w:rPr>
        <w:t>(ver anexo 1</w:t>
      </w:r>
      <w:r w:rsidR="004A6F20" w:rsidRPr="00033E65">
        <w:rPr>
          <w:i/>
          <w:iCs/>
        </w:rPr>
        <w:t>1</w:t>
      </w:r>
      <w:r w:rsidRPr="00033E65">
        <w:rPr>
          <w:i/>
          <w:iCs/>
        </w:rPr>
        <w:t xml:space="preserve">. Presupuesto actualizado jurisdicción Agraria), </w:t>
      </w:r>
      <w:r w:rsidRPr="00033E65">
        <w:t xml:space="preserve">indica:  </w:t>
      </w:r>
    </w:p>
    <w:p w14:paraId="02CAE8E9" w14:textId="79C832FA" w:rsidR="007F195F" w:rsidRPr="00033E65" w:rsidRDefault="008424AA" w:rsidP="00217A00">
      <w:pPr>
        <w:ind w:left="567" w:right="474"/>
        <w:rPr>
          <w:i/>
          <w:iCs/>
        </w:rPr>
      </w:pPr>
      <w:r w:rsidRPr="00033E65">
        <w:rPr>
          <w:i/>
          <w:iCs/>
        </w:rPr>
        <w:t>“…Es importante indicar que, debido a la demanda del servicio por parte de la materia Agraria que se ha observado en cada uno de los circuitos, esta Dirección Ejecutiva considera necesario incorporar los vehículos correspondientes a las Administraciones Regionales de Limón y Turrialba, como se había planteado inicialmente…”</w:t>
      </w:r>
      <w:r w:rsidR="007B5EBA" w:rsidRPr="00033E65">
        <w:rPr>
          <w:i/>
          <w:iCs/>
        </w:rPr>
        <w:t>.</w:t>
      </w:r>
    </w:p>
    <w:p w14:paraId="20EBE1A6" w14:textId="77777777" w:rsidR="007F195F" w:rsidRPr="00033E65" w:rsidRDefault="007F195F" w:rsidP="008424AA">
      <w:pPr>
        <w:ind w:right="49"/>
      </w:pPr>
    </w:p>
    <w:p w14:paraId="4BCC2829" w14:textId="5A4FDD78" w:rsidR="004A195C" w:rsidRPr="00033E65" w:rsidRDefault="008424AA" w:rsidP="00F52071">
      <w:pPr>
        <w:ind w:right="49"/>
        <w:sectPr w:rsidR="004A195C" w:rsidRPr="00033E65">
          <w:headerReference w:type="default" r:id="rId44"/>
          <w:footerReference w:type="default" r:id="rId45"/>
          <w:pgSz w:w="12240" w:h="15840"/>
          <w:pgMar w:top="1417" w:right="1701" w:bottom="1417" w:left="1701" w:header="708" w:footer="708" w:gutter="0"/>
          <w:cols w:space="708"/>
          <w:docGrid w:linePitch="360"/>
        </w:sectPr>
      </w:pPr>
      <w:r w:rsidRPr="00033E65">
        <w:t>Adicionalmente, se realiza la consulta a las diferentes Administraciones Regionales sobre la disponibilidad de vehículo que tienen los Juzgados Agrarios a nivel nacional, dato que se detalla en el siguiente cuadro</w:t>
      </w:r>
      <w:r w:rsidR="00360BB6" w:rsidRPr="00033E65">
        <w:t>:</w:t>
      </w:r>
    </w:p>
    <w:p w14:paraId="4E8FA757" w14:textId="77777777" w:rsidR="00F52071" w:rsidRPr="00033E65" w:rsidRDefault="00F52071" w:rsidP="00F52071">
      <w:pPr>
        <w:pStyle w:val="Ttulo"/>
        <w:spacing w:before="0" w:after="0"/>
        <w:rPr>
          <w:rFonts w:eastAsia="Times New Roman" w:cs="Arial"/>
          <w:iCs/>
          <w:spacing w:val="0"/>
          <w:szCs w:val="28"/>
          <w:lang w:val="es-CR" w:eastAsia="es-ES"/>
        </w:rPr>
      </w:pPr>
    </w:p>
    <w:p w14:paraId="382035E6" w14:textId="01A1A73D" w:rsidR="008424AA" w:rsidRPr="00033E65" w:rsidRDefault="008424AA" w:rsidP="003F0A3A">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Cuadro </w:t>
      </w:r>
      <w:r w:rsidR="00B80453" w:rsidRPr="00033E65">
        <w:rPr>
          <w:rFonts w:eastAsia="Times New Roman" w:cs="Arial"/>
          <w:iCs/>
          <w:spacing w:val="0"/>
          <w:szCs w:val="28"/>
          <w:lang w:val="es-CR" w:eastAsia="es-ES"/>
        </w:rPr>
        <w:t>2</w:t>
      </w:r>
      <w:r w:rsidR="000A24A4" w:rsidRPr="00033E65">
        <w:rPr>
          <w:rFonts w:eastAsia="Times New Roman" w:cs="Arial"/>
          <w:iCs/>
          <w:spacing w:val="0"/>
          <w:szCs w:val="28"/>
          <w:lang w:val="es-CR" w:eastAsia="es-ES"/>
        </w:rPr>
        <w:t>6</w:t>
      </w:r>
    </w:p>
    <w:p w14:paraId="74A14093" w14:textId="7A2A7181" w:rsidR="00F52071" w:rsidRPr="00033E65" w:rsidRDefault="008424AA" w:rsidP="00F52071">
      <w:pPr>
        <w:spacing w:before="0" w:after="160" w:line="259" w:lineRule="auto"/>
        <w:jc w:val="center"/>
        <w:rPr>
          <w:rFonts w:cs="Arial"/>
          <w:b/>
          <w:iCs/>
          <w:color w:val="244061" w:themeColor="accent1" w:themeShade="80"/>
          <w:sz w:val="24"/>
          <w:szCs w:val="28"/>
        </w:rPr>
      </w:pPr>
      <w:r w:rsidRPr="00033E65">
        <w:rPr>
          <w:rFonts w:cs="Arial"/>
          <w:b/>
          <w:iCs/>
          <w:color w:val="244061" w:themeColor="accent1" w:themeShade="80"/>
          <w:sz w:val="24"/>
          <w:szCs w:val="28"/>
        </w:rPr>
        <w:t>Disponibilidad de Vehículo por los Juzgados Agrarios por Parte de las Administraciones Regionales del País</w:t>
      </w:r>
    </w:p>
    <w:tbl>
      <w:tblPr>
        <w:tblW w:w="14165" w:type="dxa"/>
        <w:tblInd w:w="-732" w:type="dxa"/>
        <w:tblCellMar>
          <w:top w:w="15" w:type="dxa"/>
          <w:left w:w="70" w:type="dxa"/>
          <w:bottom w:w="15" w:type="dxa"/>
          <w:right w:w="70" w:type="dxa"/>
        </w:tblCellMar>
        <w:tblLook w:val="04A0" w:firstRow="1" w:lastRow="0" w:firstColumn="1" w:lastColumn="0" w:noHBand="0" w:noVBand="1"/>
      </w:tblPr>
      <w:tblGrid>
        <w:gridCol w:w="1739"/>
        <w:gridCol w:w="1547"/>
        <w:gridCol w:w="1336"/>
        <w:gridCol w:w="1336"/>
        <w:gridCol w:w="1197"/>
        <w:gridCol w:w="919"/>
        <w:gridCol w:w="1228"/>
        <w:gridCol w:w="1197"/>
        <w:gridCol w:w="1337"/>
        <w:gridCol w:w="931"/>
        <w:gridCol w:w="1252"/>
        <w:gridCol w:w="146"/>
      </w:tblGrid>
      <w:tr w:rsidR="00AF3382" w:rsidRPr="00033E65" w14:paraId="50B6A003" w14:textId="77777777" w:rsidTr="00274042">
        <w:trPr>
          <w:gridAfter w:val="1"/>
          <w:wAfter w:w="146" w:type="dxa"/>
          <w:trHeight w:val="455"/>
          <w:tblHeader/>
        </w:trPr>
        <w:tc>
          <w:tcPr>
            <w:tcW w:w="1739" w:type="dxa"/>
            <w:vMerge w:val="restart"/>
            <w:tcBorders>
              <w:top w:val="double" w:sz="6" w:space="0" w:color="1F497D"/>
              <w:left w:val="double" w:sz="6" w:space="0" w:color="1F497D"/>
              <w:bottom w:val="nil"/>
              <w:right w:val="double" w:sz="6" w:space="0" w:color="1F497D"/>
            </w:tcBorders>
            <w:shd w:val="clear" w:color="000000" w:fill="31869B"/>
            <w:vAlign w:val="center"/>
            <w:hideMark/>
          </w:tcPr>
          <w:p w14:paraId="09883BFC" w14:textId="77777777" w:rsidR="00D41A63" w:rsidRPr="00033E65" w:rsidRDefault="00D41A63" w:rsidP="00951D3E">
            <w:pPr>
              <w:spacing w:before="0" w:after="0"/>
              <w:jc w:val="center"/>
              <w:rPr>
                <w:rFonts w:cs="Calibri"/>
                <w:b/>
                <w:bCs/>
                <w:color w:val="EEECE1"/>
                <w:sz w:val="20"/>
                <w:lang w:eastAsia="es-CR"/>
              </w:rPr>
            </w:pPr>
            <w:r w:rsidRPr="00033E65">
              <w:rPr>
                <w:rFonts w:cs="Calibri"/>
                <w:b/>
                <w:bCs/>
                <w:color w:val="EEECE1"/>
                <w:sz w:val="20"/>
                <w:lang w:eastAsia="es-CR"/>
              </w:rPr>
              <w:t>Despacho</w:t>
            </w:r>
          </w:p>
        </w:tc>
        <w:tc>
          <w:tcPr>
            <w:tcW w:w="1547" w:type="dxa"/>
            <w:vMerge w:val="restart"/>
            <w:tcBorders>
              <w:top w:val="double" w:sz="6" w:space="0" w:color="1F497D"/>
              <w:left w:val="double" w:sz="6" w:space="0" w:color="1F497D"/>
              <w:bottom w:val="nil"/>
              <w:right w:val="double" w:sz="6" w:space="0" w:color="1F497D"/>
            </w:tcBorders>
            <w:shd w:val="clear" w:color="000000" w:fill="31869B"/>
            <w:vAlign w:val="center"/>
            <w:hideMark/>
          </w:tcPr>
          <w:p w14:paraId="4A71E5B9" w14:textId="07AF8B60" w:rsidR="00360BB6" w:rsidRPr="00033E65" w:rsidRDefault="00D41A63" w:rsidP="00274042">
            <w:pPr>
              <w:spacing w:before="0" w:after="0"/>
              <w:rPr>
                <w:rFonts w:cs="Calibri"/>
                <w:sz w:val="20"/>
                <w:lang w:eastAsia="es-CR"/>
              </w:rPr>
            </w:pPr>
            <w:r w:rsidRPr="00033E65">
              <w:rPr>
                <w:rFonts w:cs="Calibri"/>
                <w:b/>
                <w:bCs/>
                <w:color w:val="EEECE1"/>
                <w:sz w:val="20"/>
                <w:lang w:eastAsia="es-CR"/>
              </w:rPr>
              <w:t xml:space="preserve">Días Asignados para Utilización de Vehículo </w:t>
            </w:r>
          </w:p>
        </w:tc>
        <w:tc>
          <w:tcPr>
            <w:tcW w:w="1336" w:type="dxa"/>
            <w:vMerge w:val="restart"/>
            <w:tcBorders>
              <w:top w:val="double" w:sz="6" w:space="0" w:color="1F497D"/>
              <w:left w:val="double" w:sz="6" w:space="0" w:color="1F497D"/>
              <w:bottom w:val="nil"/>
              <w:right w:val="double" w:sz="6" w:space="0" w:color="1F497D"/>
            </w:tcBorders>
            <w:shd w:val="clear" w:color="000000" w:fill="31869B"/>
            <w:vAlign w:val="center"/>
            <w:hideMark/>
          </w:tcPr>
          <w:p w14:paraId="0E86C65F" w14:textId="77777777" w:rsidR="00D41A63" w:rsidRPr="00033E65" w:rsidRDefault="00D41A63" w:rsidP="00951D3E">
            <w:pPr>
              <w:spacing w:before="0" w:after="0"/>
              <w:jc w:val="center"/>
              <w:rPr>
                <w:rFonts w:cs="Calibri"/>
                <w:b/>
                <w:bCs/>
                <w:color w:val="EEECE1"/>
                <w:sz w:val="20"/>
                <w:lang w:eastAsia="es-CR"/>
              </w:rPr>
            </w:pPr>
            <w:r w:rsidRPr="00033E65">
              <w:rPr>
                <w:rFonts w:cs="Calibri"/>
                <w:b/>
                <w:bCs/>
                <w:color w:val="EEECE1"/>
                <w:sz w:val="20"/>
                <w:lang w:eastAsia="es-CR"/>
              </w:rPr>
              <w:t>Prom Mensual de Solicitudes Enviadas a la Admin</w:t>
            </w:r>
          </w:p>
        </w:tc>
        <w:tc>
          <w:tcPr>
            <w:tcW w:w="1336" w:type="dxa"/>
            <w:vMerge w:val="restart"/>
            <w:tcBorders>
              <w:top w:val="double" w:sz="6" w:space="0" w:color="1F497D"/>
              <w:left w:val="double" w:sz="6" w:space="0" w:color="1F497D"/>
              <w:bottom w:val="nil"/>
              <w:right w:val="double" w:sz="6" w:space="0" w:color="1F497D"/>
            </w:tcBorders>
            <w:shd w:val="clear" w:color="000000" w:fill="31869B"/>
            <w:vAlign w:val="center"/>
            <w:hideMark/>
          </w:tcPr>
          <w:p w14:paraId="6374EE05" w14:textId="77777777" w:rsidR="00D41A63" w:rsidRPr="00033E65" w:rsidRDefault="00D41A63" w:rsidP="00951D3E">
            <w:pPr>
              <w:spacing w:before="0" w:after="0"/>
              <w:jc w:val="center"/>
              <w:rPr>
                <w:rFonts w:cs="Calibri"/>
                <w:b/>
                <w:bCs/>
                <w:color w:val="EEECE1"/>
                <w:sz w:val="20"/>
                <w:lang w:eastAsia="es-CR"/>
              </w:rPr>
            </w:pPr>
            <w:r w:rsidRPr="00033E65">
              <w:rPr>
                <w:rFonts w:cs="Calibri"/>
                <w:b/>
                <w:bCs/>
                <w:color w:val="EEECE1"/>
                <w:sz w:val="20"/>
                <w:lang w:eastAsia="es-CR"/>
              </w:rPr>
              <w:t>Prom Mensual de Solicitudes Ejecutadas por la Admin</w:t>
            </w:r>
          </w:p>
        </w:tc>
        <w:tc>
          <w:tcPr>
            <w:tcW w:w="1197" w:type="dxa"/>
            <w:vMerge w:val="restart"/>
            <w:tcBorders>
              <w:top w:val="double" w:sz="6" w:space="0" w:color="1F497D"/>
              <w:left w:val="double" w:sz="6" w:space="0" w:color="1F497D"/>
              <w:bottom w:val="nil"/>
              <w:right w:val="double" w:sz="6" w:space="0" w:color="1F497D"/>
            </w:tcBorders>
            <w:shd w:val="clear" w:color="000000" w:fill="31869B"/>
            <w:vAlign w:val="center"/>
            <w:hideMark/>
          </w:tcPr>
          <w:p w14:paraId="17DC28E9" w14:textId="77777777" w:rsidR="00D41A63" w:rsidRPr="00033E65" w:rsidRDefault="00D41A63" w:rsidP="00951D3E">
            <w:pPr>
              <w:spacing w:before="0" w:after="0"/>
              <w:jc w:val="center"/>
              <w:rPr>
                <w:rFonts w:cs="Calibri"/>
                <w:b/>
                <w:bCs/>
                <w:color w:val="EEECE1"/>
                <w:sz w:val="20"/>
                <w:lang w:eastAsia="es-CR"/>
              </w:rPr>
            </w:pPr>
            <w:r w:rsidRPr="00033E65">
              <w:rPr>
                <w:rFonts w:cs="Calibri"/>
                <w:b/>
                <w:bCs/>
                <w:color w:val="EEECE1"/>
                <w:sz w:val="20"/>
                <w:lang w:eastAsia="es-CR"/>
              </w:rPr>
              <w:t xml:space="preserve">Porcentaje Solicitado vs Ejecutado </w:t>
            </w:r>
          </w:p>
        </w:tc>
        <w:tc>
          <w:tcPr>
            <w:tcW w:w="919" w:type="dxa"/>
            <w:vMerge w:val="restart"/>
            <w:tcBorders>
              <w:top w:val="double" w:sz="6" w:space="0" w:color="1F497D"/>
              <w:left w:val="double" w:sz="6" w:space="0" w:color="1F497D"/>
              <w:bottom w:val="nil"/>
              <w:right w:val="double" w:sz="6" w:space="0" w:color="1F497D"/>
            </w:tcBorders>
            <w:shd w:val="clear" w:color="000000" w:fill="31869B"/>
            <w:vAlign w:val="center"/>
            <w:hideMark/>
          </w:tcPr>
          <w:p w14:paraId="741A261E" w14:textId="77777777" w:rsidR="00D41A63" w:rsidRPr="00033E65" w:rsidRDefault="00D41A63" w:rsidP="00951D3E">
            <w:pPr>
              <w:spacing w:before="0" w:after="0"/>
              <w:jc w:val="center"/>
              <w:rPr>
                <w:rFonts w:cs="Calibri"/>
                <w:b/>
                <w:bCs/>
                <w:color w:val="EEECE1"/>
                <w:sz w:val="20"/>
                <w:lang w:eastAsia="es-CR"/>
              </w:rPr>
            </w:pPr>
            <w:r w:rsidRPr="00033E65">
              <w:rPr>
                <w:rFonts w:cs="Calibri"/>
                <w:b/>
                <w:bCs/>
                <w:color w:val="EEECE1"/>
                <w:sz w:val="20"/>
                <w:lang w:eastAsia="es-CR"/>
              </w:rPr>
              <w:t xml:space="preserve">Cant Juezas y Jueces </w:t>
            </w:r>
          </w:p>
        </w:tc>
        <w:tc>
          <w:tcPr>
            <w:tcW w:w="1228" w:type="dxa"/>
            <w:vMerge w:val="restart"/>
            <w:tcBorders>
              <w:top w:val="double" w:sz="6" w:space="0" w:color="1F497D"/>
              <w:left w:val="double" w:sz="6" w:space="0" w:color="1F497D"/>
              <w:bottom w:val="nil"/>
              <w:right w:val="double" w:sz="6" w:space="0" w:color="1F497D"/>
            </w:tcBorders>
            <w:shd w:val="clear" w:color="000000" w:fill="31869B"/>
            <w:vAlign w:val="center"/>
            <w:hideMark/>
          </w:tcPr>
          <w:p w14:paraId="2A3544EF" w14:textId="77777777" w:rsidR="00D41A63" w:rsidRPr="00033E65" w:rsidRDefault="00D41A63" w:rsidP="00951D3E">
            <w:pPr>
              <w:spacing w:before="0" w:after="0"/>
              <w:jc w:val="center"/>
              <w:rPr>
                <w:rFonts w:cs="Calibri"/>
                <w:b/>
                <w:bCs/>
                <w:color w:val="EEECE1"/>
                <w:sz w:val="20"/>
                <w:lang w:eastAsia="es-CR"/>
              </w:rPr>
            </w:pPr>
            <w:r w:rsidRPr="00033E65">
              <w:rPr>
                <w:rFonts w:cs="Calibri"/>
                <w:b/>
                <w:bCs/>
                <w:color w:val="EEECE1"/>
                <w:sz w:val="20"/>
                <w:lang w:eastAsia="es-CR"/>
              </w:rPr>
              <w:t>Cant de solicitudes Esperadas al Mes</w:t>
            </w:r>
          </w:p>
        </w:tc>
        <w:tc>
          <w:tcPr>
            <w:tcW w:w="1197" w:type="dxa"/>
            <w:vMerge w:val="restart"/>
            <w:tcBorders>
              <w:top w:val="double" w:sz="6" w:space="0" w:color="1F497D"/>
              <w:left w:val="double" w:sz="6" w:space="0" w:color="1F497D"/>
              <w:bottom w:val="nil"/>
              <w:right w:val="double" w:sz="6" w:space="0" w:color="1F497D"/>
            </w:tcBorders>
            <w:shd w:val="clear" w:color="000000" w:fill="31869B"/>
            <w:vAlign w:val="center"/>
            <w:hideMark/>
          </w:tcPr>
          <w:p w14:paraId="58A25E5D" w14:textId="77777777" w:rsidR="00D41A63" w:rsidRPr="00033E65" w:rsidRDefault="00D41A63" w:rsidP="00951D3E">
            <w:pPr>
              <w:spacing w:before="0" w:after="0"/>
              <w:jc w:val="center"/>
              <w:rPr>
                <w:rFonts w:cs="Calibri"/>
                <w:b/>
                <w:bCs/>
                <w:color w:val="EEECE1"/>
                <w:sz w:val="20"/>
                <w:lang w:eastAsia="es-CR"/>
              </w:rPr>
            </w:pPr>
            <w:r w:rsidRPr="00033E65">
              <w:rPr>
                <w:rFonts w:cs="Calibri"/>
                <w:b/>
                <w:bCs/>
                <w:color w:val="EEECE1"/>
                <w:sz w:val="20"/>
                <w:lang w:eastAsia="es-CR"/>
              </w:rPr>
              <w:t xml:space="preserve">Porcentaje Esperado vs lo Solicitado </w:t>
            </w:r>
          </w:p>
        </w:tc>
        <w:tc>
          <w:tcPr>
            <w:tcW w:w="1337" w:type="dxa"/>
            <w:vMerge w:val="restart"/>
            <w:tcBorders>
              <w:top w:val="double" w:sz="6" w:space="0" w:color="1F497D"/>
              <w:left w:val="double" w:sz="6" w:space="0" w:color="1F497D"/>
              <w:bottom w:val="nil"/>
              <w:right w:val="double" w:sz="6" w:space="0" w:color="1F497D"/>
            </w:tcBorders>
            <w:shd w:val="clear" w:color="000000" w:fill="31869B"/>
            <w:vAlign w:val="center"/>
            <w:hideMark/>
          </w:tcPr>
          <w:p w14:paraId="680AF1F2" w14:textId="77777777" w:rsidR="00D41A63" w:rsidRPr="00033E65" w:rsidRDefault="00D41A63" w:rsidP="00951D3E">
            <w:pPr>
              <w:spacing w:before="0" w:after="0"/>
              <w:jc w:val="center"/>
              <w:rPr>
                <w:rFonts w:cs="Calibri"/>
                <w:b/>
                <w:bCs/>
                <w:color w:val="EEECE1"/>
                <w:sz w:val="20"/>
                <w:lang w:eastAsia="es-CR"/>
              </w:rPr>
            </w:pPr>
            <w:r w:rsidRPr="00033E65">
              <w:rPr>
                <w:rFonts w:cs="Calibri"/>
                <w:b/>
                <w:bCs/>
                <w:color w:val="EEECE1"/>
                <w:sz w:val="20"/>
                <w:lang w:eastAsia="es-CR"/>
              </w:rPr>
              <w:t>Fecha de Agenda</w:t>
            </w:r>
          </w:p>
        </w:tc>
        <w:tc>
          <w:tcPr>
            <w:tcW w:w="931" w:type="dxa"/>
            <w:vMerge w:val="restart"/>
            <w:tcBorders>
              <w:top w:val="double" w:sz="6" w:space="0" w:color="1F497D"/>
              <w:left w:val="double" w:sz="6" w:space="0" w:color="1F497D"/>
              <w:bottom w:val="nil"/>
              <w:right w:val="double" w:sz="6" w:space="0" w:color="1F497D"/>
            </w:tcBorders>
            <w:shd w:val="clear" w:color="000000" w:fill="31869B"/>
            <w:vAlign w:val="center"/>
            <w:hideMark/>
          </w:tcPr>
          <w:p w14:paraId="06F0BACB" w14:textId="77777777" w:rsidR="00D41A63" w:rsidRPr="00033E65" w:rsidRDefault="00D41A63" w:rsidP="00951D3E">
            <w:pPr>
              <w:spacing w:before="0" w:after="0"/>
              <w:jc w:val="center"/>
              <w:rPr>
                <w:rFonts w:cs="Calibri"/>
                <w:b/>
                <w:bCs/>
                <w:color w:val="EEECE1"/>
                <w:sz w:val="20"/>
                <w:lang w:eastAsia="es-CR"/>
              </w:rPr>
            </w:pPr>
            <w:r w:rsidRPr="00033E65">
              <w:rPr>
                <w:rFonts w:cs="Calibri"/>
                <w:b/>
                <w:bCs/>
                <w:color w:val="EEECE1"/>
                <w:sz w:val="20"/>
                <w:lang w:eastAsia="es-CR"/>
              </w:rPr>
              <w:t>Plazo (días)</w:t>
            </w:r>
          </w:p>
        </w:tc>
        <w:tc>
          <w:tcPr>
            <w:tcW w:w="1252" w:type="dxa"/>
            <w:vMerge w:val="restart"/>
            <w:tcBorders>
              <w:top w:val="double" w:sz="6" w:space="0" w:color="1F497D"/>
              <w:left w:val="double" w:sz="6" w:space="0" w:color="1F497D"/>
              <w:bottom w:val="nil"/>
              <w:right w:val="double" w:sz="6" w:space="0" w:color="1F497D"/>
            </w:tcBorders>
            <w:shd w:val="clear" w:color="000000" w:fill="31869B"/>
            <w:vAlign w:val="center"/>
            <w:hideMark/>
          </w:tcPr>
          <w:p w14:paraId="5C3AA41C" w14:textId="1B50FD89" w:rsidR="00D41A63" w:rsidRPr="00033E65" w:rsidRDefault="00D41A63" w:rsidP="00951D3E">
            <w:pPr>
              <w:spacing w:before="0" w:after="0"/>
              <w:jc w:val="center"/>
              <w:rPr>
                <w:rFonts w:cs="Calibri"/>
                <w:b/>
                <w:bCs/>
                <w:color w:val="EEECE1"/>
                <w:sz w:val="20"/>
                <w:lang w:eastAsia="es-CR"/>
              </w:rPr>
            </w:pPr>
            <w:r w:rsidRPr="00033E65">
              <w:rPr>
                <w:rFonts w:cs="Calibri"/>
                <w:b/>
                <w:bCs/>
                <w:color w:val="EEECE1"/>
                <w:sz w:val="20"/>
                <w:lang w:eastAsia="es-CR"/>
              </w:rPr>
              <w:t>Cant Aud. Pendientes</w:t>
            </w:r>
          </w:p>
        </w:tc>
      </w:tr>
      <w:tr w:rsidR="00D41A63" w:rsidRPr="00033E65" w14:paraId="095B4C99" w14:textId="77777777" w:rsidTr="00274042">
        <w:trPr>
          <w:trHeight w:val="20"/>
          <w:tblHeader/>
        </w:trPr>
        <w:tc>
          <w:tcPr>
            <w:tcW w:w="1739" w:type="dxa"/>
            <w:vMerge/>
            <w:tcBorders>
              <w:top w:val="double" w:sz="6" w:space="0" w:color="1F497D"/>
              <w:left w:val="double" w:sz="6" w:space="0" w:color="1F497D"/>
              <w:bottom w:val="nil"/>
              <w:right w:val="double" w:sz="6" w:space="0" w:color="1F497D"/>
            </w:tcBorders>
            <w:vAlign w:val="center"/>
            <w:hideMark/>
          </w:tcPr>
          <w:p w14:paraId="092564C4" w14:textId="77777777" w:rsidR="00D41A63" w:rsidRPr="00033E65" w:rsidRDefault="00D41A63" w:rsidP="00951D3E">
            <w:pPr>
              <w:spacing w:before="0" w:after="0"/>
              <w:jc w:val="left"/>
              <w:rPr>
                <w:rFonts w:cs="Calibri"/>
                <w:b/>
                <w:bCs/>
                <w:color w:val="EEECE1"/>
                <w:szCs w:val="22"/>
                <w:lang w:eastAsia="es-CR"/>
              </w:rPr>
            </w:pPr>
          </w:p>
        </w:tc>
        <w:tc>
          <w:tcPr>
            <w:tcW w:w="1547" w:type="dxa"/>
            <w:vMerge/>
            <w:tcBorders>
              <w:top w:val="double" w:sz="6" w:space="0" w:color="1F497D"/>
              <w:left w:val="double" w:sz="6" w:space="0" w:color="1F497D"/>
              <w:bottom w:val="nil"/>
              <w:right w:val="double" w:sz="6" w:space="0" w:color="1F497D"/>
            </w:tcBorders>
            <w:vAlign w:val="center"/>
            <w:hideMark/>
          </w:tcPr>
          <w:p w14:paraId="7A97663A" w14:textId="77777777" w:rsidR="00D41A63" w:rsidRPr="00033E65" w:rsidRDefault="00D41A63" w:rsidP="00951D3E">
            <w:pPr>
              <w:spacing w:before="0" w:after="0"/>
              <w:jc w:val="left"/>
              <w:rPr>
                <w:rFonts w:cs="Calibri"/>
                <w:b/>
                <w:bCs/>
                <w:color w:val="EEECE1"/>
                <w:szCs w:val="22"/>
                <w:lang w:eastAsia="es-CR"/>
              </w:rPr>
            </w:pPr>
          </w:p>
        </w:tc>
        <w:tc>
          <w:tcPr>
            <w:tcW w:w="1336" w:type="dxa"/>
            <w:vMerge/>
            <w:tcBorders>
              <w:top w:val="double" w:sz="6" w:space="0" w:color="1F497D"/>
              <w:left w:val="double" w:sz="6" w:space="0" w:color="1F497D"/>
              <w:bottom w:val="nil"/>
              <w:right w:val="double" w:sz="6" w:space="0" w:color="1F497D"/>
            </w:tcBorders>
            <w:vAlign w:val="center"/>
            <w:hideMark/>
          </w:tcPr>
          <w:p w14:paraId="1D39B3A9" w14:textId="77777777" w:rsidR="00D41A63" w:rsidRPr="00033E65" w:rsidRDefault="00D41A63" w:rsidP="00951D3E">
            <w:pPr>
              <w:spacing w:before="0" w:after="0"/>
              <w:jc w:val="left"/>
              <w:rPr>
                <w:rFonts w:cs="Calibri"/>
                <w:b/>
                <w:bCs/>
                <w:color w:val="EEECE1"/>
                <w:szCs w:val="22"/>
                <w:lang w:eastAsia="es-CR"/>
              </w:rPr>
            </w:pPr>
          </w:p>
        </w:tc>
        <w:tc>
          <w:tcPr>
            <w:tcW w:w="1336" w:type="dxa"/>
            <w:vMerge/>
            <w:tcBorders>
              <w:top w:val="double" w:sz="6" w:space="0" w:color="1F497D"/>
              <w:left w:val="double" w:sz="6" w:space="0" w:color="1F497D"/>
              <w:bottom w:val="nil"/>
              <w:right w:val="double" w:sz="6" w:space="0" w:color="1F497D"/>
            </w:tcBorders>
            <w:vAlign w:val="center"/>
            <w:hideMark/>
          </w:tcPr>
          <w:p w14:paraId="49AE2626" w14:textId="77777777" w:rsidR="00D41A63" w:rsidRPr="00033E65" w:rsidRDefault="00D41A63" w:rsidP="00951D3E">
            <w:pPr>
              <w:spacing w:before="0" w:after="0"/>
              <w:jc w:val="left"/>
              <w:rPr>
                <w:rFonts w:cs="Calibri"/>
                <w:b/>
                <w:bCs/>
                <w:color w:val="EEECE1"/>
                <w:szCs w:val="22"/>
                <w:lang w:eastAsia="es-CR"/>
              </w:rPr>
            </w:pPr>
          </w:p>
        </w:tc>
        <w:tc>
          <w:tcPr>
            <w:tcW w:w="1197" w:type="dxa"/>
            <w:vMerge/>
            <w:tcBorders>
              <w:top w:val="double" w:sz="6" w:space="0" w:color="1F497D"/>
              <w:left w:val="double" w:sz="6" w:space="0" w:color="1F497D"/>
              <w:bottom w:val="nil"/>
              <w:right w:val="double" w:sz="6" w:space="0" w:color="1F497D"/>
            </w:tcBorders>
            <w:vAlign w:val="center"/>
            <w:hideMark/>
          </w:tcPr>
          <w:p w14:paraId="38FA4BC8" w14:textId="77777777" w:rsidR="00D41A63" w:rsidRPr="00033E65" w:rsidRDefault="00D41A63" w:rsidP="00951D3E">
            <w:pPr>
              <w:spacing w:before="0" w:after="0"/>
              <w:jc w:val="left"/>
              <w:rPr>
                <w:rFonts w:cs="Calibri"/>
                <w:b/>
                <w:bCs/>
                <w:color w:val="EEECE1"/>
                <w:szCs w:val="22"/>
                <w:lang w:eastAsia="es-CR"/>
              </w:rPr>
            </w:pPr>
          </w:p>
        </w:tc>
        <w:tc>
          <w:tcPr>
            <w:tcW w:w="919" w:type="dxa"/>
            <w:vMerge/>
            <w:tcBorders>
              <w:top w:val="double" w:sz="6" w:space="0" w:color="1F497D"/>
              <w:left w:val="double" w:sz="6" w:space="0" w:color="1F497D"/>
              <w:bottom w:val="nil"/>
              <w:right w:val="double" w:sz="6" w:space="0" w:color="1F497D"/>
            </w:tcBorders>
            <w:vAlign w:val="center"/>
            <w:hideMark/>
          </w:tcPr>
          <w:p w14:paraId="753A1889" w14:textId="77777777" w:rsidR="00D41A63" w:rsidRPr="00033E65" w:rsidRDefault="00D41A63" w:rsidP="00951D3E">
            <w:pPr>
              <w:spacing w:before="0" w:after="0"/>
              <w:jc w:val="left"/>
              <w:rPr>
                <w:rFonts w:cs="Calibri"/>
                <w:b/>
                <w:bCs/>
                <w:color w:val="EEECE1"/>
                <w:szCs w:val="22"/>
                <w:lang w:eastAsia="es-CR"/>
              </w:rPr>
            </w:pPr>
          </w:p>
        </w:tc>
        <w:tc>
          <w:tcPr>
            <w:tcW w:w="1228" w:type="dxa"/>
            <w:vMerge/>
            <w:tcBorders>
              <w:top w:val="double" w:sz="6" w:space="0" w:color="1F497D"/>
              <w:left w:val="double" w:sz="6" w:space="0" w:color="1F497D"/>
              <w:bottom w:val="nil"/>
              <w:right w:val="double" w:sz="6" w:space="0" w:color="1F497D"/>
            </w:tcBorders>
            <w:vAlign w:val="center"/>
            <w:hideMark/>
          </w:tcPr>
          <w:p w14:paraId="50CC3AA7" w14:textId="77777777" w:rsidR="00D41A63" w:rsidRPr="00033E65" w:rsidRDefault="00D41A63" w:rsidP="00951D3E">
            <w:pPr>
              <w:spacing w:before="0" w:after="0"/>
              <w:jc w:val="left"/>
              <w:rPr>
                <w:rFonts w:cs="Calibri"/>
                <w:b/>
                <w:bCs/>
                <w:color w:val="EEECE1"/>
                <w:szCs w:val="22"/>
                <w:lang w:eastAsia="es-CR"/>
              </w:rPr>
            </w:pPr>
          </w:p>
        </w:tc>
        <w:tc>
          <w:tcPr>
            <w:tcW w:w="1197" w:type="dxa"/>
            <w:vMerge/>
            <w:tcBorders>
              <w:top w:val="double" w:sz="6" w:space="0" w:color="1F497D"/>
              <w:left w:val="double" w:sz="6" w:space="0" w:color="1F497D"/>
              <w:bottom w:val="nil"/>
              <w:right w:val="double" w:sz="6" w:space="0" w:color="1F497D"/>
            </w:tcBorders>
            <w:vAlign w:val="center"/>
            <w:hideMark/>
          </w:tcPr>
          <w:p w14:paraId="45F2EE50" w14:textId="77777777" w:rsidR="00D41A63" w:rsidRPr="00033E65" w:rsidRDefault="00D41A63" w:rsidP="00951D3E">
            <w:pPr>
              <w:spacing w:before="0" w:after="0"/>
              <w:jc w:val="left"/>
              <w:rPr>
                <w:rFonts w:cs="Calibri"/>
                <w:b/>
                <w:bCs/>
                <w:color w:val="EEECE1"/>
                <w:szCs w:val="22"/>
                <w:lang w:eastAsia="es-CR"/>
              </w:rPr>
            </w:pPr>
          </w:p>
        </w:tc>
        <w:tc>
          <w:tcPr>
            <w:tcW w:w="1337" w:type="dxa"/>
            <w:vMerge/>
            <w:tcBorders>
              <w:top w:val="double" w:sz="6" w:space="0" w:color="1F497D"/>
              <w:left w:val="double" w:sz="6" w:space="0" w:color="1F497D"/>
              <w:bottom w:val="nil"/>
              <w:right w:val="double" w:sz="6" w:space="0" w:color="1F497D"/>
            </w:tcBorders>
            <w:vAlign w:val="center"/>
            <w:hideMark/>
          </w:tcPr>
          <w:p w14:paraId="13AD3E25" w14:textId="77777777" w:rsidR="00D41A63" w:rsidRPr="00033E65" w:rsidRDefault="00D41A63" w:rsidP="00951D3E">
            <w:pPr>
              <w:spacing w:before="0" w:after="0"/>
              <w:jc w:val="left"/>
              <w:rPr>
                <w:rFonts w:cs="Calibri"/>
                <w:b/>
                <w:bCs/>
                <w:color w:val="EEECE1"/>
                <w:szCs w:val="22"/>
                <w:lang w:eastAsia="es-CR"/>
              </w:rPr>
            </w:pPr>
          </w:p>
        </w:tc>
        <w:tc>
          <w:tcPr>
            <w:tcW w:w="931" w:type="dxa"/>
            <w:vMerge/>
            <w:tcBorders>
              <w:top w:val="double" w:sz="6" w:space="0" w:color="1F497D"/>
              <w:left w:val="double" w:sz="6" w:space="0" w:color="1F497D"/>
              <w:bottom w:val="nil"/>
              <w:right w:val="double" w:sz="6" w:space="0" w:color="1F497D"/>
            </w:tcBorders>
            <w:vAlign w:val="center"/>
            <w:hideMark/>
          </w:tcPr>
          <w:p w14:paraId="7835C510" w14:textId="77777777" w:rsidR="00D41A63" w:rsidRPr="00033E65" w:rsidRDefault="00D41A63" w:rsidP="00951D3E">
            <w:pPr>
              <w:spacing w:before="0" w:after="0"/>
              <w:jc w:val="left"/>
              <w:rPr>
                <w:rFonts w:cs="Calibri"/>
                <w:b/>
                <w:bCs/>
                <w:color w:val="EEECE1"/>
                <w:szCs w:val="22"/>
                <w:lang w:eastAsia="es-CR"/>
              </w:rPr>
            </w:pPr>
          </w:p>
        </w:tc>
        <w:tc>
          <w:tcPr>
            <w:tcW w:w="1252" w:type="dxa"/>
            <w:vMerge/>
            <w:tcBorders>
              <w:top w:val="double" w:sz="6" w:space="0" w:color="1F497D"/>
              <w:left w:val="double" w:sz="6" w:space="0" w:color="1F497D"/>
              <w:bottom w:val="nil"/>
              <w:right w:val="double" w:sz="6" w:space="0" w:color="1F497D"/>
            </w:tcBorders>
            <w:vAlign w:val="center"/>
            <w:hideMark/>
          </w:tcPr>
          <w:p w14:paraId="41D5FCC9" w14:textId="77777777" w:rsidR="00D41A63" w:rsidRPr="00033E65" w:rsidRDefault="00D41A63" w:rsidP="00951D3E">
            <w:pPr>
              <w:spacing w:before="0" w:after="0"/>
              <w:jc w:val="left"/>
              <w:rPr>
                <w:rFonts w:cs="Calibri"/>
                <w:b/>
                <w:bCs/>
                <w:color w:val="EEECE1"/>
                <w:szCs w:val="22"/>
                <w:lang w:eastAsia="es-CR"/>
              </w:rPr>
            </w:pPr>
          </w:p>
        </w:tc>
        <w:tc>
          <w:tcPr>
            <w:tcW w:w="146" w:type="dxa"/>
            <w:tcBorders>
              <w:top w:val="nil"/>
              <w:left w:val="nil"/>
              <w:bottom w:val="nil"/>
              <w:right w:val="nil"/>
            </w:tcBorders>
            <w:noWrap/>
            <w:vAlign w:val="bottom"/>
            <w:hideMark/>
          </w:tcPr>
          <w:p w14:paraId="494F7C2B" w14:textId="77777777" w:rsidR="00D41A63" w:rsidRPr="00033E65" w:rsidRDefault="00D41A63" w:rsidP="00D41A63">
            <w:pPr>
              <w:spacing w:before="0" w:after="0"/>
              <w:jc w:val="center"/>
              <w:rPr>
                <w:rFonts w:cs="Calibri"/>
                <w:b/>
                <w:bCs/>
                <w:color w:val="EEECE1"/>
                <w:szCs w:val="22"/>
                <w:lang w:eastAsia="es-CR"/>
              </w:rPr>
            </w:pPr>
          </w:p>
        </w:tc>
      </w:tr>
      <w:tr w:rsidR="00D41A63" w:rsidRPr="00033E65" w14:paraId="468C51E5" w14:textId="77777777" w:rsidTr="00274042">
        <w:trPr>
          <w:trHeight w:val="20"/>
        </w:trPr>
        <w:tc>
          <w:tcPr>
            <w:tcW w:w="1739" w:type="dxa"/>
            <w:tcBorders>
              <w:top w:val="nil"/>
              <w:left w:val="double" w:sz="6" w:space="0" w:color="1F497D"/>
              <w:bottom w:val="double" w:sz="6" w:space="0" w:color="1F497D"/>
              <w:right w:val="double" w:sz="6" w:space="0" w:color="1F497D"/>
            </w:tcBorders>
            <w:vAlign w:val="center"/>
            <w:hideMark/>
          </w:tcPr>
          <w:p w14:paraId="0E964E4B" w14:textId="77777777" w:rsidR="00D41A63" w:rsidRPr="00033E65" w:rsidRDefault="00D41A63" w:rsidP="00951D3E">
            <w:pPr>
              <w:spacing w:before="0" w:after="0"/>
              <w:jc w:val="left"/>
              <w:rPr>
                <w:rFonts w:cs="Calibri"/>
                <w:color w:val="000000"/>
                <w:szCs w:val="22"/>
                <w:lang w:eastAsia="es-CR"/>
              </w:rPr>
            </w:pPr>
            <w:r w:rsidRPr="00033E65">
              <w:rPr>
                <w:rFonts w:cs="Calibri"/>
                <w:color w:val="000000"/>
                <w:szCs w:val="22"/>
                <w:lang w:eastAsia="es-CR"/>
              </w:rPr>
              <w:t>Juzgado Agrario Cartago</w:t>
            </w:r>
          </w:p>
        </w:tc>
        <w:tc>
          <w:tcPr>
            <w:tcW w:w="1547" w:type="dxa"/>
            <w:tcBorders>
              <w:top w:val="nil"/>
              <w:left w:val="nil"/>
              <w:bottom w:val="double" w:sz="6" w:space="0" w:color="1F497D"/>
              <w:right w:val="double" w:sz="6" w:space="0" w:color="1F497D"/>
            </w:tcBorders>
            <w:vAlign w:val="center"/>
            <w:hideMark/>
          </w:tcPr>
          <w:p w14:paraId="37465C61" w14:textId="77777777" w:rsidR="00D41A63" w:rsidRPr="00033E65" w:rsidRDefault="00D41A63" w:rsidP="00951D3E">
            <w:pPr>
              <w:spacing w:before="0" w:after="0"/>
              <w:jc w:val="left"/>
              <w:rPr>
                <w:rFonts w:cs="Calibri"/>
                <w:color w:val="000000"/>
                <w:sz w:val="18"/>
                <w:szCs w:val="18"/>
                <w:lang w:eastAsia="es-CR"/>
              </w:rPr>
            </w:pPr>
            <w:r w:rsidRPr="00033E65">
              <w:rPr>
                <w:rFonts w:cs="Calibri"/>
                <w:color w:val="000000"/>
                <w:sz w:val="18"/>
                <w:szCs w:val="18"/>
                <w:lang w:eastAsia="es-CR"/>
              </w:rPr>
              <w:t>Martes, miércoles y viernes</w:t>
            </w:r>
          </w:p>
        </w:tc>
        <w:tc>
          <w:tcPr>
            <w:tcW w:w="1336" w:type="dxa"/>
            <w:tcBorders>
              <w:top w:val="nil"/>
              <w:left w:val="nil"/>
              <w:bottom w:val="double" w:sz="6" w:space="0" w:color="1F497D"/>
              <w:right w:val="double" w:sz="6" w:space="0" w:color="1F497D"/>
            </w:tcBorders>
            <w:vAlign w:val="center"/>
            <w:hideMark/>
          </w:tcPr>
          <w:p w14:paraId="2152B382"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12</w:t>
            </w:r>
          </w:p>
        </w:tc>
        <w:tc>
          <w:tcPr>
            <w:tcW w:w="1336" w:type="dxa"/>
            <w:tcBorders>
              <w:top w:val="nil"/>
              <w:left w:val="nil"/>
              <w:bottom w:val="double" w:sz="6" w:space="0" w:color="1F497D"/>
              <w:right w:val="double" w:sz="6" w:space="0" w:color="1F497D"/>
            </w:tcBorders>
            <w:vAlign w:val="center"/>
            <w:hideMark/>
          </w:tcPr>
          <w:p w14:paraId="7CBD3387"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9</w:t>
            </w:r>
          </w:p>
        </w:tc>
        <w:tc>
          <w:tcPr>
            <w:tcW w:w="1197" w:type="dxa"/>
            <w:tcBorders>
              <w:top w:val="nil"/>
              <w:left w:val="nil"/>
              <w:bottom w:val="double" w:sz="6" w:space="0" w:color="1F497D"/>
              <w:right w:val="double" w:sz="6" w:space="0" w:color="1F497D"/>
            </w:tcBorders>
            <w:vAlign w:val="center"/>
            <w:hideMark/>
          </w:tcPr>
          <w:p w14:paraId="016EAFD1"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82%</w:t>
            </w:r>
          </w:p>
        </w:tc>
        <w:tc>
          <w:tcPr>
            <w:tcW w:w="919" w:type="dxa"/>
            <w:tcBorders>
              <w:top w:val="nil"/>
              <w:left w:val="nil"/>
              <w:bottom w:val="double" w:sz="6" w:space="0" w:color="1F497D"/>
              <w:right w:val="double" w:sz="6" w:space="0" w:color="1F497D"/>
            </w:tcBorders>
            <w:vAlign w:val="center"/>
            <w:hideMark/>
          </w:tcPr>
          <w:p w14:paraId="0E5B9C73"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w:t>
            </w:r>
          </w:p>
        </w:tc>
        <w:tc>
          <w:tcPr>
            <w:tcW w:w="1228" w:type="dxa"/>
            <w:tcBorders>
              <w:top w:val="nil"/>
              <w:left w:val="nil"/>
              <w:bottom w:val="double" w:sz="6" w:space="0" w:color="1F497D"/>
              <w:right w:val="double" w:sz="6" w:space="0" w:color="1F497D"/>
            </w:tcBorders>
            <w:vAlign w:val="center"/>
            <w:hideMark/>
          </w:tcPr>
          <w:p w14:paraId="6B8DB21B"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16</w:t>
            </w:r>
          </w:p>
        </w:tc>
        <w:tc>
          <w:tcPr>
            <w:tcW w:w="1197" w:type="dxa"/>
            <w:tcBorders>
              <w:top w:val="nil"/>
              <w:left w:val="nil"/>
              <w:bottom w:val="double" w:sz="6" w:space="0" w:color="1F497D"/>
              <w:right w:val="double" w:sz="6" w:space="0" w:color="1F497D"/>
            </w:tcBorders>
            <w:vAlign w:val="center"/>
            <w:hideMark/>
          </w:tcPr>
          <w:p w14:paraId="35F6A258"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72%</w:t>
            </w:r>
          </w:p>
        </w:tc>
        <w:tc>
          <w:tcPr>
            <w:tcW w:w="1337" w:type="dxa"/>
            <w:tcBorders>
              <w:top w:val="nil"/>
              <w:left w:val="nil"/>
              <w:bottom w:val="double" w:sz="6" w:space="0" w:color="1F497D"/>
              <w:right w:val="double" w:sz="6" w:space="0" w:color="1F497D"/>
            </w:tcBorders>
            <w:vAlign w:val="center"/>
            <w:hideMark/>
          </w:tcPr>
          <w:p w14:paraId="51BED4D2"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22/05/2023</w:t>
            </w:r>
          </w:p>
        </w:tc>
        <w:tc>
          <w:tcPr>
            <w:tcW w:w="931" w:type="dxa"/>
            <w:tcBorders>
              <w:top w:val="nil"/>
              <w:left w:val="nil"/>
              <w:bottom w:val="double" w:sz="6" w:space="0" w:color="1F497D"/>
              <w:right w:val="double" w:sz="6" w:space="0" w:color="1F497D"/>
            </w:tcBorders>
            <w:vAlign w:val="center"/>
            <w:hideMark/>
          </w:tcPr>
          <w:p w14:paraId="20F767BD"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123</w:t>
            </w:r>
          </w:p>
        </w:tc>
        <w:tc>
          <w:tcPr>
            <w:tcW w:w="1252" w:type="dxa"/>
            <w:tcBorders>
              <w:top w:val="nil"/>
              <w:left w:val="nil"/>
              <w:bottom w:val="double" w:sz="6" w:space="0" w:color="1F497D"/>
              <w:right w:val="double" w:sz="6" w:space="0" w:color="1F497D"/>
            </w:tcBorders>
            <w:vAlign w:val="center"/>
            <w:hideMark/>
          </w:tcPr>
          <w:p w14:paraId="4E538345"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69</w:t>
            </w:r>
          </w:p>
        </w:tc>
        <w:tc>
          <w:tcPr>
            <w:tcW w:w="146" w:type="dxa"/>
            <w:vAlign w:val="center"/>
            <w:hideMark/>
          </w:tcPr>
          <w:p w14:paraId="74DFBE16" w14:textId="77777777" w:rsidR="00D41A63" w:rsidRPr="00033E65" w:rsidRDefault="00D41A63" w:rsidP="00D41A63">
            <w:pPr>
              <w:spacing w:before="0" w:after="0"/>
              <w:jc w:val="left"/>
              <w:rPr>
                <w:rFonts w:ascii="Times New Roman" w:hAnsi="Times New Roman"/>
                <w:sz w:val="20"/>
                <w:lang w:eastAsia="es-CR"/>
              </w:rPr>
            </w:pPr>
          </w:p>
        </w:tc>
      </w:tr>
      <w:tr w:rsidR="00D41A63" w:rsidRPr="00033E65" w14:paraId="1A483F97" w14:textId="77777777" w:rsidTr="00274042">
        <w:trPr>
          <w:trHeight w:val="20"/>
        </w:trPr>
        <w:tc>
          <w:tcPr>
            <w:tcW w:w="1739" w:type="dxa"/>
            <w:tcBorders>
              <w:top w:val="nil"/>
              <w:left w:val="double" w:sz="6" w:space="0" w:color="1F497D"/>
              <w:bottom w:val="double" w:sz="6" w:space="0" w:color="1F497D"/>
              <w:right w:val="double" w:sz="6" w:space="0" w:color="1F497D"/>
            </w:tcBorders>
            <w:vAlign w:val="center"/>
            <w:hideMark/>
          </w:tcPr>
          <w:p w14:paraId="102E9A6E" w14:textId="77777777" w:rsidR="00D41A63" w:rsidRPr="00033E65" w:rsidRDefault="00D41A63" w:rsidP="00951D3E">
            <w:pPr>
              <w:spacing w:before="0" w:after="0"/>
              <w:jc w:val="left"/>
              <w:rPr>
                <w:rFonts w:cs="Calibri"/>
                <w:color w:val="000000"/>
                <w:szCs w:val="22"/>
                <w:lang w:eastAsia="es-CR"/>
              </w:rPr>
            </w:pPr>
            <w:r w:rsidRPr="00033E65">
              <w:rPr>
                <w:rFonts w:cs="Calibri"/>
                <w:color w:val="000000"/>
                <w:szCs w:val="22"/>
                <w:lang w:eastAsia="es-CR"/>
              </w:rPr>
              <w:t>Juzgado Agrario de Pérez Zeledón</w:t>
            </w:r>
          </w:p>
        </w:tc>
        <w:tc>
          <w:tcPr>
            <w:tcW w:w="1547" w:type="dxa"/>
            <w:tcBorders>
              <w:top w:val="nil"/>
              <w:left w:val="nil"/>
              <w:bottom w:val="double" w:sz="6" w:space="0" w:color="1F497D"/>
              <w:right w:val="double" w:sz="6" w:space="0" w:color="1F497D"/>
            </w:tcBorders>
            <w:vAlign w:val="center"/>
            <w:hideMark/>
          </w:tcPr>
          <w:p w14:paraId="66E73870" w14:textId="77777777" w:rsidR="00D41A63" w:rsidRPr="00033E65" w:rsidRDefault="00D41A63" w:rsidP="00951D3E">
            <w:pPr>
              <w:spacing w:before="0" w:after="0"/>
              <w:jc w:val="left"/>
              <w:rPr>
                <w:rFonts w:cs="Calibri"/>
                <w:color w:val="000000"/>
                <w:sz w:val="18"/>
                <w:szCs w:val="18"/>
                <w:lang w:eastAsia="es-CR"/>
              </w:rPr>
            </w:pPr>
            <w:r w:rsidRPr="00033E65">
              <w:rPr>
                <w:rFonts w:cs="Calibri"/>
                <w:color w:val="000000"/>
                <w:sz w:val="18"/>
                <w:szCs w:val="18"/>
                <w:lang w:eastAsia="es-CR"/>
              </w:rPr>
              <w:t>Lunes, miércoles y viernes*</w:t>
            </w:r>
          </w:p>
        </w:tc>
        <w:tc>
          <w:tcPr>
            <w:tcW w:w="1336" w:type="dxa"/>
            <w:tcBorders>
              <w:top w:val="nil"/>
              <w:left w:val="nil"/>
              <w:bottom w:val="double" w:sz="6" w:space="0" w:color="1F497D"/>
              <w:right w:val="double" w:sz="6" w:space="0" w:color="1F497D"/>
            </w:tcBorders>
            <w:vAlign w:val="center"/>
            <w:hideMark/>
          </w:tcPr>
          <w:p w14:paraId="4F6D0FA8"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13</w:t>
            </w:r>
          </w:p>
        </w:tc>
        <w:tc>
          <w:tcPr>
            <w:tcW w:w="1336" w:type="dxa"/>
            <w:tcBorders>
              <w:top w:val="nil"/>
              <w:left w:val="nil"/>
              <w:bottom w:val="double" w:sz="6" w:space="0" w:color="1F497D"/>
              <w:right w:val="double" w:sz="6" w:space="0" w:color="1F497D"/>
            </w:tcBorders>
            <w:vAlign w:val="center"/>
            <w:hideMark/>
          </w:tcPr>
          <w:p w14:paraId="25FE7A3F"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9</w:t>
            </w:r>
          </w:p>
        </w:tc>
        <w:tc>
          <w:tcPr>
            <w:tcW w:w="1197" w:type="dxa"/>
            <w:tcBorders>
              <w:top w:val="nil"/>
              <w:left w:val="nil"/>
              <w:bottom w:val="double" w:sz="6" w:space="0" w:color="1F497D"/>
              <w:right w:val="double" w:sz="6" w:space="0" w:color="1F497D"/>
            </w:tcBorders>
            <w:vAlign w:val="center"/>
            <w:hideMark/>
          </w:tcPr>
          <w:p w14:paraId="2EA4910A"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65%</w:t>
            </w:r>
          </w:p>
        </w:tc>
        <w:tc>
          <w:tcPr>
            <w:tcW w:w="919" w:type="dxa"/>
            <w:tcBorders>
              <w:top w:val="nil"/>
              <w:left w:val="nil"/>
              <w:bottom w:val="double" w:sz="6" w:space="0" w:color="1F497D"/>
              <w:right w:val="double" w:sz="6" w:space="0" w:color="1F497D"/>
            </w:tcBorders>
            <w:vAlign w:val="center"/>
            <w:hideMark/>
          </w:tcPr>
          <w:p w14:paraId="7A5CF16A"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w:t>
            </w:r>
          </w:p>
        </w:tc>
        <w:tc>
          <w:tcPr>
            <w:tcW w:w="1228" w:type="dxa"/>
            <w:tcBorders>
              <w:top w:val="nil"/>
              <w:left w:val="nil"/>
              <w:bottom w:val="double" w:sz="6" w:space="0" w:color="1F497D"/>
              <w:right w:val="double" w:sz="6" w:space="0" w:color="1F497D"/>
            </w:tcBorders>
            <w:vAlign w:val="center"/>
            <w:hideMark/>
          </w:tcPr>
          <w:p w14:paraId="5AA665F8"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8</w:t>
            </w:r>
          </w:p>
        </w:tc>
        <w:tc>
          <w:tcPr>
            <w:tcW w:w="1197" w:type="dxa"/>
            <w:tcBorders>
              <w:top w:val="nil"/>
              <w:left w:val="nil"/>
              <w:bottom w:val="double" w:sz="6" w:space="0" w:color="1F497D"/>
              <w:right w:val="double" w:sz="6" w:space="0" w:color="1F497D"/>
            </w:tcBorders>
            <w:vAlign w:val="center"/>
            <w:hideMark/>
          </w:tcPr>
          <w:p w14:paraId="3CA2BBAD"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167%</w:t>
            </w:r>
          </w:p>
        </w:tc>
        <w:tc>
          <w:tcPr>
            <w:tcW w:w="1337" w:type="dxa"/>
            <w:tcBorders>
              <w:top w:val="nil"/>
              <w:left w:val="nil"/>
              <w:bottom w:val="double" w:sz="6" w:space="0" w:color="1F497D"/>
              <w:right w:val="double" w:sz="6" w:space="0" w:color="1F497D"/>
            </w:tcBorders>
            <w:vAlign w:val="center"/>
            <w:hideMark/>
          </w:tcPr>
          <w:p w14:paraId="4A06BADB"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19/07/2023</w:t>
            </w:r>
          </w:p>
        </w:tc>
        <w:tc>
          <w:tcPr>
            <w:tcW w:w="931" w:type="dxa"/>
            <w:tcBorders>
              <w:top w:val="nil"/>
              <w:left w:val="nil"/>
              <w:bottom w:val="double" w:sz="6" w:space="0" w:color="1F497D"/>
              <w:right w:val="double" w:sz="6" w:space="0" w:color="1F497D"/>
            </w:tcBorders>
            <w:vAlign w:val="center"/>
            <w:hideMark/>
          </w:tcPr>
          <w:p w14:paraId="7F3B49AF"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181</w:t>
            </w:r>
          </w:p>
        </w:tc>
        <w:tc>
          <w:tcPr>
            <w:tcW w:w="1252" w:type="dxa"/>
            <w:tcBorders>
              <w:top w:val="nil"/>
              <w:left w:val="nil"/>
              <w:bottom w:val="double" w:sz="6" w:space="0" w:color="1F497D"/>
              <w:right w:val="double" w:sz="6" w:space="0" w:color="1F497D"/>
            </w:tcBorders>
            <w:vAlign w:val="center"/>
            <w:hideMark/>
          </w:tcPr>
          <w:p w14:paraId="2086AE85"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60</w:t>
            </w:r>
          </w:p>
        </w:tc>
        <w:tc>
          <w:tcPr>
            <w:tcW w:w="146" w:type="dxa"/>
            <w:vAlign w:val="center"/>
            <w:hideMark/>
          </w:tcPr>
          <w:p w14:paraId="69E1E62D" w14:textId="77777777" w:rsidR="00D41A63" w:rsidRPr="00033E65" w:rsidRDefault="00D41A63" w:rsidP="00D41A63">
            <w:pPr>
              <w:spacing w:before="0" w:after="0"/>
              <w:jc w:val="left"/>
              <w:rPr>
                <w:rFonts w:ascii="Times New Roman" w:hAnsi="Times New Roman"/>
                <w:sz w:val="20"/>
                <w:lang w:eastAsia="es-CR"/>
              </w:rPr>
            </w:pPr>
          </w:p>
        </w:tc>
      </w:tr>
      <w:tr w:rsidR="00D41A63" w:rsidRPr="00033E65" w14:paraId="7EFABB8B" w14:textId="77777777" w:rsidTr="00274042">
        <w:trPr>
          <w:trHeight w:val="20"/>
        </w:trPr>
        <w:tc>
          <w:tcPr>
            <w:tcW w:w="1739" w:type="dxa"/>
            <w:tcBorders>
              <w:top w:val="nil"/>
              <w:left w:val="double" w:sz="6" w:space="0" w:color="1F497D"/>
              <w:bottom w:val="double" w:sz="6" w:space="0" w:color="1F497D"/>
              <w:right w:val="double" w:sz="6" w:space="0" w:color="1F497D"/>
            </w:tcBorders>
            <w:vAlign w:val="center"/>
            <w:hideMark/>
          </w:tcPr>
          <w:p w14:paraId="60BC4544" w14:textId="77777777" w:rsidR="00D41A63" w:rsidRPr="00033E65" w:rsidRDefault="00D41A63" w:rsidP="00951D3E">
            <w:pPr>
              <w:spacing w:before="0" w:after="0"/>
              <w:jc w:val="left"/>
              <w:rPr>
                <w:rFonts w:cs="Calibri"/>
                <w:color w:val="000000"/>
                <w:szCs w:val="22"/>
                <w:lang w:eastAsia="es-CR"/>
              </w:rPr>
            </w:pPr>
            <w:r w:rsidRPr="00033E65">
              <w:rPr>
                <w:rFonts w:cs="Calibri"/>
                <w:color w:val="000000"/>
                <w:szCs w:val="22"/>
                <w:lang w:eastAsia="es-CR"/>
              </w:rPr>
              <w:t>Juzgado Agrario de Limón</w:t>
            </w:r>
          </w:p>
        </w:tc>
        <w:tc>
          <w:tcPr>
            <w:tcW w:w="1547" w:type="dxa"/>
            <w:tcBorders>
              <w:top w:val="nil"/>
              <w:left w:val="nil"/>
              <w:bottom w:val="double" w:sz="6" w:space="0" w:color="1F497D"/>
              <w:right w:val="double" w:sz="6" w:space="0" w:color="1F497D"/>
            </w:tcBorders>
            <w:vAlign w:val="center"/>
            <w:hideMark/>
          </w:tcPr>
          <w:p w14:paraId="31BA317F" w14:textId="77777777" w:rsidR="00D41A63" w:rsidRPr="00033E65" w:rsidRDefault="00D41A63" w:rsidP="00951D3E">
            <w:pPr>
              <w:spacing w:before="0" w:after="0"/>
              <w:jc w:val="left"/>
              <w:rPr>
                <w:rFonts w:cs="Calibri"/>
                <w:color w:val="000000"/>
                <w:sz w:val="18"/>
                <w:szCs w:val="18"/>
                <w:lang w:eastAsia="es-CR"/>
              </w:rPr>
            </w:pPr>
            <w:r w:rsidRPr="00033E65">
              <w:rPr>
                <w:rFonts w:cs="Calibri"/>
                <w:color w:val="000000"/>
                <w:sz w:val="18"/>
                <w:szCs w:val="18"/>
                <w:lang w:eastAsia="es-CR"/>
              </w:rPr>
              <w:t>No tienen días establecidos, utilizan el vehículo cuando lo necesiten. Desde hace tiempo eso significa</w:t>
            </w:r>
            <w:r w:rsidRPr="00033E65">
              <w:rPr>
                <w:rFonts w:cs="Calibri"/>
                <w:color w:val="000000"/>
                <w:sz w:val="18"/>
                <w:szCs w:val="18"/>
                <w:lang w:eastAsia="es-CR"/>
              </w:rPr>
              <w:br/>
              <w:t>1 vehículo todos los días de la semana.</w:t>
            </w:r>
          </w:p>
        </w:tc>
        <w:tc>
          <w:tcPr>
            <w:tcW w:w="1336" w:type="dxa"/>
            <w:tcBorders>
              <w:top w:val="nil"/>
              <w:left w:val="nil"/>
              <w:bottom w:val="double" w:sz="6" w:space="0" w:color="1F497D"/>
              <w:right w:val="double" w:sz="6" w:space="0" w:color="1F497D"/>
            </w:tcBorders>
            <w:vAlign w:val="center"/>
            <w:hideMark/>
          </w:tcPr>
          <w:p w14:paraId="4F09AF46"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30</w:t>
            </w:r>
          </w:p>
        </w:tc>
        <w:tc>
          <w:tcPr>
            <w:tcW w:w="1336" w:type="dxa"/>
            <w:tcBorders>
              <w:top w:val="nil"/>
              <w:left w:val="nil"/>
              <w:bottom w:val="double" w:sz="6" w:space="0" w:color="1F497D"/>
              <w:right w:val="double" w:sz="6" w:space="0" w:color="1F497D"/>
            </w:tcBorders>
            <w:vAlign w:val="center"/>
            <w:hideMark/>
          </w:tcPr>
          <w:p w14:paraId="4195FDFA"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12</w:t>
            </w:r>
          </w:p>
        </w:tc>
        <w:tc>
          <w:tcPr>
            <w:tcW w:w="1197" w:type="dxa"/>
            <w:tcBorders>
              <w:top w:val="nil"/>
              <w:left w:val="nil"/>
              <w:bottom w:val="double" w:sz="6" w:space="0" w:color="1F497D"/>
              <w:right w:val="double" w:sz="6" w:space="0" w:color="1F497D"/>
            </w:tcBorders>
            <w:vAlign w:val="center"/>
            <w:hideMark/>
          </w:tcPr>
          <w:p w14:paraId="323D28BA"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39%</w:t>
            </w:r>
          </w:p>
        </w:tc>
        <w:tc>
          <w:tcPr>
            <w:tcW w:w="919" w:type="dxa"/>
            <w:tcBorders>
              <w:top w:val="nil"/>
              <w:left w:val="nil"/>
              <w:bottom w:val="double" w:sz="6" w:space="0" w:color="1F497D"/>
              <w:right w:val="double" w:sz="6" w:space="0" w:color="1F497D"/>
            </w:tcBorders>
            <w:vAlign w:val="center"/>
            <w:hideMark/>
          </w:tcPr>
          <w:p w14:paraId="6F50374B"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w:t>
            </w:r>
          </w:p>
        </w:tc>
        <w:tc>
          <w:tcPr>
            <w:tcW w:w="1228" w:type="dxa"/>
            <w:tcBorders>
              <w:top w:val="nil"/>
              <w:left w:val="nil"/>
              <w:bottom w:val="double" w:sz="6" w:space="0" w:color="1F497D"/>
              <w:right w:val="double" w:sz="6" w:space="0" w:color="1F497D"/>
            </w:tcBorders>
            <w:vAlign w:val="center"/>
            <w:hideMark/>
          </w:tcPr>
          <w:p w14:paraId="73661C46"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16</w:t>
            </w:r>
          </w:p>
        </w:tc>
        <w:tc>
          <w:tcPr>
            <w:tcW w:w="1197" w:type="dxa"/>
            <w:tcBorders>
              <w:top w:val="nil"/>
              <w:left w:val="nil"/>
              <w:bottom w:val="double" w:sz="6" w:space="0" w:color="1F497D"/>
              <w:right w:val="double" w:sz="6" w:space="0" w:color="1F497D"/>
            </w:tcBorders>
            <w:vAlign w:val="center"/>
            <w:hideMark/>
          </w:tcPr>
          <w:p w14:paraId="2F579627"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184%</w:t>
            </w:r>
          </w:p>
        </w:tc>
        <w:tc>
          <w:tcPr>
            <w:tcW w:w="1337" w:type="dxa"/>
            <w:tcBorders>
              <w:top w:val="nil"/>
              <w:left w:val="nil"/>
              <w:bottom w:val="double" w:sz="6" w:space="0" w:color="1F497D"/>
              <w:right w:val="double" w:sz="6" w:space="0" w:color="1F497D"/>
            </w:tcBorders>
            <w:vAlign w:val="center"/>
            <w:hideMark/>
          </w:tcPr>
          <w:p w14:paraId="4E281F39"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25/11/2025</w:t>
            </w:r>
          </w:p>
        </w:tc>
        <w:tc>
          <w:tcPr>
            <w:tcW w:w="931" w:type="dxa"/>
            <w:tcBorders>
              <w:top w:val="nil"/>
              <w:left w:val="nil"/>
              <w:bottom w:val="double" w:sz="6" w:space="0" w:color="1F497D"/>
              <w:right w:val="double" w:sz="6" w:space="0" w:color="1F497D"/>
            </w:tcBorders>
            <w:vAlign w:val="center"/>
            <w:hideMark/>
          </w:tcPr>
          <w:p w14:paraId="7442AB5D"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1042</w:t>
            </w:r>
          </w:p>
        </w:tc>
        <w:tc>
          <w:tcPr>
            <w:tcW w:w="1252" w:type="dxa"/>
            <w:tcBorders>
              <w:top w:val="nil"/>
              <w:left w:val="nil"/>
              <w:bottom w:val="double" w:sz="6" w:space="0" w:color="1F497D"/>
              <w:right w:val="double" w:sz="6" w:space="0" w:color="1F497D"/>
            </w:tcBorders>
            <w:vAlign w:val="center"/>
            <w:hideMark/>
          </w:tcPr>
          <w:p w14:paraId="3CB510F0"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621</w:t>
            </w:r>
          </w:p>
        </w:tc>
        <w:tc>
          <w:tcPr>
            <w:tcW w:w="146" w:type="dxa"/>
            <w:vAlign w:val="center"/>
            <w:hideMark/>
          </w:tcPr>
          <w:p w14:paraId="09578E4C" w14:textId="77777777" w:rsidR="00D41A63" w:rsidRPr="00033E65" w:rsidRDefault="00D41A63" w:rsidP="00D41A63">
            <w:pPr>
              <w:spacing w:before="0" w:after="0"/>
              <w:jc w:val="left"/>
              <w:rPr>
                <w:rFonts w:ascii="Times New Roman" w:hAnsi="Times New Roman"/>
                <w:sz w:val="20"/>
                <w:lang w:eastAsia="es-CR"/>
              </w:rPr>
            </w:pPr>
          </w:p>
        </w:tc>
      </w:tr>
      <w:tr w:rsidR="00D41A63" w:rsidRPr="00033E65" w14:paraId="2304BFC4" w14:textId="77777777" w:rsidTr="00274042">
        <w:trPr>
          <w:trHeight w:val="20"/>
        </w:trPr>
        <w:tc>
          <w:tcPr>
            <w:tcW w:w="1739" w:type="dxa"/>
            <w:tcBorders>
              <w:top w:val="nil"/>
              <w:left w:val="double" w:sz="6" w:space="0" w:color="1F497D"/>
              <w:bottom w:val="double" w:sz="6" w:space="0" w:color="1F497D"/>
              <w:right w:val="double" w:sz="6" w:space="0" w:color="1F497D"/>
            </w:tcBorders>
            <w:vAlign w:val="center"/>
            <w:hideMark/>
          </w:tcPr>
          <w:p w14:paraId="73F9BDB4" w14:textId="77777777" w:rsidR="00D41A63" w:rsidRPr="00033E65" w:rsidRDefault="00D41A63" w:rsidP="00951D3E">
            <w:pPr>
              <w:spacing w:before="0" w:after="0"/>
              <w:jc w:val="left"/>
              <w:rPr>
                <w:rFonts w:cs="Calibri"/>
                <w:color w:val="000000"/>
                <w:szCs w:val="22"/>
                <w:lang w:eastAsia="es-CR"/>
              </w:rPr>
            </w:pPr>
            <w:r w:rsidRPr="00033E65">
              <w:rPr>
                <w:rFonts w:cs="Calibri"/>
                <w:color w:val="000000"/>
                <w:szCs w:val="22"/>
                <w:lang w:eastAsia="es-CR"/>
              </w:rPr>
              <w:t>Juzgado Agrario de San Ramón</w:t>
            </w:r>
          </w:p>
        </w:tc>
        <w:tc>
          <w:tcPr>
            <w:tcW w:w="1547" w:type="dxa"/>
            <w:tcBorders>
              <w:top w:val="nil"/>
              <w:left w:val="nil"/>
              <w:bottom w:val="double" w:sz="6" w:space="0" w:color="1F497D"/>
              <w:right w:val="double" w:sz="6" w:space="0" w:color="1F497D"/>
            </w:tcBorders>
            <w:vAlign w:val="center"/>
            <w:hideMark/>
          </w:tcPr>
          <w:p w14:paraId="4EEF861F" w14:textId="77777777" w:rsidR="00D41A63" w:rsidRPr="00033E65" w:rsidRDefault="00D41A63" w:rsidP="00951D3E">
            <w:pPr>
              <w:spacing w:before="0" w:after="0"/>
              <w:jc w:val="left"/>
              <w:rPr>
                <w:rFonts w:cs="Calibri"/>
                <w:color w:val="000000"/>
                <w:sz w:val="18"/>
                <w:szCs w:val="18"/>
                <w:lang w:eastAsia="es-CR"/>
              </w:rPr>
            </w:pPr>
            <w:r w:rsidRPr="00033E65">
              <w:rPr>
                <w:rFonts w:cs="Calibri"/>
                <w:color w:val="000000"/>
                <w:sz w:val="18"/>
                <w:szCs w:val="18"/>
                <w:lang w:eastAsia="es-CR"/>
              </w:rPr>
              <w:t>Lo pueden utilizar cualquier día de la semana</w:t>
            </w:r>
          </w:p>
        </w:tc>
        <w:tc>
          <w:tcPr>
            <w:tcW w:w="1336" w:type="dxa"/>
            <w:tcBorders>
              <w:top w:val="nil"/>
              <w:left w:val="nil"/>
              <w:bottom w:val="double" w:sz="6" w:space="0" w:color="1F497D"/>
              <w:right w:val="double" w:sz="6" w:space="0" w:color="1F497D"/>
            </w:tcBorders>
            <w:vAlign w:val="center"/>
            <w:hideMark/>
          </w:tcPr>
          <w:p w14:paraId="55F9241C"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12</w:t>
            </w:r>
          </w:p>
        </w:tc>
        <w:tc>
          <w:tcPr>
            <w:tcW w:w="1336" w:type="dxa"/>
            <w:tcBorders>
              <w:top w:val="nil"/>
              <w:left w:val="nil"/>
              <w:bottom w:val="double" w:sz="6" w:space="0" w:color="1F497D"/>
              <w:right w:val="double" w:sz="6" w:space="0" w:color="1F497D"/>
            </w:tcBorders>
            <w:vAlign w:val="center"/>
            <w:hideMark/>
          </w:tcPr>
          <w:p w14:paraId="51EB1FA3"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12</w:t>
            </w:r>
          </w:p>
        </w:tc>
        <w:tc>
          <w:tcPr>
            <w:tcW w:w="1197" w:type="dxa"/>
            <w:tcBorders>
              <w:top w:val="nil"/>
              <w:left w:val="nil"/>
              <w:bottom w:val="double" w:sz="6" w:space="0" w:color="1F497D"/>
              <w:right w:val="double" w:sz="6" w:space="0" w:color="1F497D"/>
            </w:tcBorders>
            <w:vAlign w:val="center"/>
            <w:hideMark/>
          </w:tcPr>
          <w:p w14:paraId="44298569"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100%</w:t>
            </w:r>
          </w:p>
        </w:tc>
        <w:tc>
          <w:tcPr>
            <w:tcW w:w="919" w:type="dxa"/>
            <w:tcBorders>
              <w:top w:val="nil"/>
              <w:left w:val="nil"/>
              <w:bottom w:val="double" w:sz="6" w:space="0" w:color="1F497D"/>
              <w:right w:val="double" w:sz="6" w:space="0" w:color="1F497D"/>
            </w:tcBorders>
            <w:vAlign w:val="center"/>
            <w:hideMark/>
          </w:tcPr>
          <w:p w14:paraId="07EFD4C8"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w:t>
            </w:r>
          </w:p>
        </w:tc>
        <w:tc>
          <w:tcPr>
            <w:tcW w:w="1228" w:type="dxa"/>
            <w:tcBorders>
              <w:top w:val="nil"/>
              <w:left w:val="nil"/>
              <w:bottom w:val="double" w:sz="6" w:space="0" w:color="1F497D"/>
              <w:right w:val="double" w:sz="6" w:space="0" w:color="1F497D"/>
            </w:tcBorders>
            <w:vAlign w:val="center"/>
            <w:hideMark/>
          </w:tcPr>
          <w:p w14:paraId="16C2A2A6"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16</w:t>
            </w:r>
          </w:p>
        </w:tc>
        <w:tc>
          <w:tcPr>
            <w:tcW w:w="1197" w:type="dxa"/>
            <w:tcBorders>
              <w:top w:val="nil"/>
              <w:left w:val="nil"/>
              <w:bottom w:val="double" w:sz="6" w:space="0" w:color="1F497D"/>
              <w:right w:val="double" w:sz="6" w:space="0" w:color="1F497D"/>
            </w:tcBorders>
            <w:vAlign w:val="center"/>
            <w:hideMark/>
          </w:tcPr>
          <w:p w14:paraId="43E6714D"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78%</w:t>
            </w:r>
          </w:p>
        </w:tc>
        <w:tc>
          <w:tcPr>
            <w:tcW w:w="1337" w:type="dxa"/>
            <w:tcBorders>
              <w:top w:val="single" w:sz="4" w:space="0" w:color="000000"/>
              <w:left w:val="single" w:sz="4" w:space="0" w:color="000000"/>
              <w:bottom w:val="single" w:sz="4" w:space="0" w:color="000000"/>
              <w:right w:val="single" w:sz="4" w:space="0" w:color="000000"/>
            </w:tcBorders>
            <w:noWrap/>
            <w:vAlign w:val="center"/>
            <w:hideMark/>
          </w:tcPr>
          <w:p w14:paraId="7A957D3F" w14:textId="77777777" w:rsidR="00D41A63" w:rsidRPr="00033E65" w:rsidRDefault="00D41A63" w:rsidP="00951D3E">
            <w:pPr>
              <w:spacing w:before="0" w:after="0"/>
              <w:jc w:val="center"/>
              <w:rPr>
                <w:rFonts w:cs="Arial"/>
                <w:color w:val="000000"/>
                <w:sz w:val="20"/>
                <w:lang w:eastAsia="es-CR"/>
              </w:rPr>
            </w:pPr>
            <w:r w:rsidRPr="00033E65">
              <w:rPr>
                <w:rFonts w:cs="Arial"/>
                <w:color w:val="000000"/>
                <w:sz w:val="20"/>
                <w:lang w:eastAsia="es-CR"/>
              </w:rPr>
              <w:t>21/02/23</w:t>
            </w:r>
          </w:p>
        </w:tc>
        <w:tc>
          <w:tcPr>
            <w:tcW w:w="931" w:type="dxa"/>
            <w:tcBorders>
              <w:top w:val="nil"/>
              <w:left w:val="nil"/>
              <w:bottom w:val="double" w:sz="6" w:space="0" w:color="1F497D"/>
              <w:right w:val="double" w:sz="6" w:space="0" w:color="1F497D"/>
            </w:tcBorders>
            <w:vAlign w:val="center"/>
            <w:hideMark/>
          </w:tcPr>
          <w:p w14:paraId="53F2D7C4"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41</w:t>
            </w:r>
          </w:p>
        </w:tc>
        <w:tc>
          <w:tcPr>
            <w:tcW w:w="1252" w:type="dxa"/>
            <w:tcBorders>
              <w:top w:val="nil"/>
              <w:left w:val="nil"/>
              <w:bottom w:val="double" w:sz="6" w:space="0" w:color="1F497D"/>
              <w:right w:val="double" w:sz="6" w:space="0" w:color="1F497D"/>
            </w:tcBorders>
            <w:vAlign w:val="center"/>
            <w:hideMark/>
          </w:tcPr>
          <w:p w14:paraId="264C5A0A"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29</w:t>
            </w:r>
          </w:p>
        </w:tc>
        <w:tc>
          <w:tcPr>
            <w:tcW w:w="146" w:type="dxa"/>
            <w:vAlign w:val="center"/>
            <w:hideMark/>
          </w:tcPr>
          <w:p w14:paraId="5A26F152" w14:textId="77777777" w:rsidR="00D41A63" w:rsidRPr="00033E65" w:rsidRDefault="00D41A63" w:rsidP="00D41A63">
            <w:pPr>
              <w:spacing w:before="0" w:after="0"/>
              <w:jc w:val="left"/>
              <w:rPr>
                <w:rFonts w:ascii="Times New Roman" w:hAnsi="Times New Roman"/>
                <w:sz w:val="20"/>
                <w:lang w:eastAsia="es-CR"/>
              </w:rPr>
            </w:pPr>
          </w:p>
        </w:tc>
      </w:tr>
      <w:tr w:rsidR="00D41A63" w:rsidRPr="00033E65" w14:paraId="1E8B6CBA" w14:textId="77777777" w:rsidTr="00274042">
        <w:trPr>
          <w:trHeight w:val="20"/>
        </w:trPr>
        <w:tc>
          <w:tcPr>
            <w:tcW w:w="1739" w:type="dxa"/>
            <w:tcBorders>
              <w:top w:val="nil"/>
              <w:left w:val="double" w:sz="6" w:space="0" w:color="1F497D"/>
              <w:bottom w:val="double" w:sz="6" w:space="0" w:color="1F497D"/>
              <w:right w:val="double" w:sz="6" w:space="0" w:color="1F497D"/>
            </w:tcBorders>
            <w:vAlign w:val="center"/>
            <w:hideMark/>
          </w:tcPr>
          <w:p w14:paraId="083D880A" w14:textId="77777777" w:rsidR="00D41A63" w:rsidRPr="00033E65" w:rsidRDefault="00D41A63" w:rsidP="00951D3E">
            <w:pPr>
              <w:spacing w:before="0" w:after="0"/>
              <w:jc w:val="left"/>
              <w:rPr>
                <w:rFonts w:cs="Calibri"/>
                <w:color w:val="000000"/>
                <w:szCs w:val="22"/>
                <w:lang w:eastAsia="es-CR"/>
              </w:rPr>
            </w:pPr>
            <w:r w:rsidRPr="00033E65">
              <w:rPr>
                <w:rFonts w:cs="Calibri"/>
                <w:color w:val="000000"/>
                <w:szCs w:val="22"/>
                <w:lang w:eastAsia="es-CR"/>
              </w:rPr>
              <w:t>Juzgado Agrario de Alajuela</w:t>
            </w:r>
          </w:p>
        </w:tc>
        <w:tc>
          <w:tcPr>
            <w:tcW w:w="1547" w:type="dxa"/>
            <w:tcBorders>
              <w:top w:val="nil"/>
              <w:left w:val="nil"/>
              <w:bottom w:val="double" w:sz="6" w:space="0" w:color="1F497D"/>
              <w:right w:val="double" w:sz="6" w:space="0" w:color="1F497D"/>
            </w:tcBorders>
            <w:vAlign w:val="center"/>
            <w:hideMark/>
          </w:tcPr>
          <w:p w14:paraId="3B98A633" w14:textId="77777777" w:rsidR="00D41A63" w:rsidRPr="00033E65" w:rsidRDefault="00D41A63" w:rsidP="00951D3E">
            <w:pPr>
              <w:spacing w:before="0" w:after="0"/>
              <w:jc w:val="left"/>
              <w:rPr>
                <w:rFonts w:cs="Calibri"/>
                <w:color w:val="000000"/>
                <w:sz w:val="18"/>
                <w:szCs w:val="18"/>
                <w:lang w:eastAsia="es-CR"/>
              </w:rPr>
            </w:pPr>
            <w:r w:rsidRPr="00033E65">
              <w:rPr>
                <w:rFonts w:cs="Calibri"/>
                <w:color w:val="000000"/>
                <w:sz w:val="18"/>
                <w:szCs w:val="18"/>
                <w:lang w:eastAsia="es-CR"/>
              </w:rPr>
              <w:t>Lunes, jueves y viernes</w:t>
            </w:r>
          </w:p>
        </w:tc>
        <w:tc>
          <w:tcPr>
            <w:tcW w:w="1336" w:type="dxa"/>
            <w:tcBorders>
              <w:top w:val="nil"/>
              <w:left w:val="nil"/>
              <w:bottom w:val="double" w:sz="6" w:space="0" w:color="1F497D"/>
              <w:right w:val="double" w:sz="6" w:space="0" w:color="1F497D"/>
            </w:tcBorders>
            <w:vAlign w:val="center"/>
            <w:hideMark/>
          </w:tcPr>
          <w:p w14:paraId="6A2CBFB4"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11</w:t>
            </w:r>
          </w:p>
        </w:tc>
        <w:tc>
          <w:tcPr>
            <w:tcW w:w="1336" w:type="dxa"/>
            <w:tcBorders>
              <w:top w:val="nil"/>
              <w:left w:val="nil"/>
              <w:bottom w:val="double" w:sz="6" w:space="0" w:color="1F497D"/>
              <w:right w:val="double" w:sz="6" w:space="0" w:color="1F497D"/>
            </w:tcBorders>
            <w:vAlign w:val="center"/>
            <w:hideMark/>
          </w:tcPr>
          <w:p w14:paraId="51C339AD"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11</w:t>
            </w:r>
          </w:p>
        </w:tc>
        <w:tc>
          <w:tcPr>
            <w:tcW w:w="1197" w:type="dxa"/>
            <w:tcBorders>
              <w:top w:val="nil"/>
              <w:left w:val="nil"/>
              <w:bottom w:val="double" w:sz="6" w:space="0" w:color="1F497D"/>
              <w:right w:val="double" w:sz="6" w:space="0" w:color="1F497D"/>
            </w:tcBorders>
            <w:vAlign w:val="center"/>
            <w:hideMark/>
          </w:tcPr>
          <w:p w14:paraId="49888128"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100%</w:t>
            </w:r>
          </w:p>
        </w:tc>
        <w:tc>
          <w:tcPr>
            <w:tcW w:w="919" w:type="dxa"/>
            <w:tcBorders>
              <w:top w:val="nil"/>
              <w:left w:val="nil"/>
              <w:bottom w:val="double" w:sz="6" w:space="0" w:color="1F497D"/>
              <w:right w:val="double" w:sz="6" w:space="0" w:color="1F497D"/>
            </w:tcBorders>
            <w:vAlign w:val="center"/>
            <w:hideMark/>
          </w:tcPr>
          <w:p w14:paraId="14CFB72C"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w:t>
            </w:r>
          </w:p>
        </w:tc>
        <w:tc>
          <w:tcPr>
            <w:tcW w:w="1228" w:type="dxa"/>
            <w:tcBorders>
              <w:top w:val="nil"/>
              <w:left w:val="nil"/>
              <w:bottom w:val="double" w:sz="6" w:space="0" w:color="1F497D"/>
              <w:right w:val="double" w:sz="6" w:space="0" w:color="1F497D"/>
            </w:tcBorders>
            <w:vAlign w:val="center"/>
            <w:hideMark/>
          </w:tcPr>
          <w:p w14:paraId="7FB2CC14"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16</w:t>
            </w:r>
          </w:p>
        </w:tc>
        <w:tc>
          <w:tcPr>
            <w:tcW w:w="1197" w:type="dxa"/>
            <w:tcBorders>
              <w:top w:val="nil"/>
              <w:left w:val="nil"/>
              <w:bottom w:val="double" w:sz="6" w:space="0" w:color="1F497D"/>
              <w:right w:val="double" w:sz="6" w:space="0" w:color="1F497D"/>
            </w:tcBorders>
            <w:vAlign w:val="center"/>
            <w:hideMark/>
          </w:tcPr>
          <w:p w14:paraId="094C04D8"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67%</w:t>
            </w:r>
          </w:p>
        </w:tc>
        <w:tc>
          <w:tcPr>
            <w:tcW w:w="1337" w:type="dxa"/>
            <w:tcBorders>
              <w:top w:val="single" w:sz="4" w:space="0" w:color="000000"/>
              <w:left w:val="single" w:sz="4" w:space="0" w:color="000000"/>
              <w:bottom w:val="single" w:sz="4" w:space="0" w:color="000000"/>
              <w:right w:val="single" w:sz="4" w:space="0" w:color="000000"/>
            </w:tcBorders>
            <w:noWrap/>
            <w:vAlign w:val="center"/>
            <w:hideMark/>
          </w:tcPr>
          <w:p w14:paraId="44628366" w14:textId="77777777" w:rsidR="00D41A63" w:rsidRPr="00033E65" w:rsidRDefault="00D41A63" w:rsidP="00951D3E">
            <w:pPr>
              <w:spacing w:before="0" w:after="0"/>
              <w:jc w:val="center"/>
              <w:rPr>
                <w:rFonts w:cs="Arial"/>
                <w:color w:val="000000"/>
                <w:sz w:val="20"/>
                <w:lang w:eastAsia="es-CR"/>
              </w:rPr>
            </w:pPr>
            <w:r w:rsidRPr="00033E65">
              <w:rPr>
                <w:rFonts w:cs="Arial"/>
                <w:color w:val="000000"/>
                <w:sz w:val="20"/>
                <w:lang w:eastAsia="es-CR"/>
              </w:rPr>
              <w:t>20/03/2023</w:t>
            </w:r>
          </w:p>
        </w:tc>
        <w:tc>
          <w:tcPr>
            <w:tcW w:w="931" w:type="dxa"/>
            <w:tcBorders>
              <w:top w:val="nil"/>
              <w:left w:val="nil"/>
              <w:bottom w:val="double" w:sz="6" w:space="0" w:color="1F497D"/>
              <w:right w:val="double" w:sz="6" w:space="0" w:color="1F497D"/>
            </w:tcBorders>
            <w:vAlign w:val="center"/>
            <w:hideMark/>
          </w:tcPr>
          <w:p w14:paraId="1257AAFC"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87</w:t>
            </w:r>
          </w:p>
        </w:tc>
        <w:tc>
          <w:tcPr>
            <w:tcW w:w="1252" w:type="dxa"/>
            <w:tcBorders>
              <w:top w:val="nil"/>
              <w:left w:val="nil"/>
              <w:bottom w:val="double" w:sz="6" w:space="0" w:color="1F497D"/>
              <w:right w:val="double" w:sz="6" w:space="0" w:color="1F497D"/>
            </w:tcBorders>
            <w:vAlign w:val="center"/>
            <w:hideMark/>
          </w:tcPr>
          <w:p w14:paraId="48475199"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30</w:t>
            </w:r>
          </w:p>
        </w:tc>
        <w:tc>
          <w:tcPr>
            <w:tcW w:w="146" w:type="dxa"/>
            <w:vAlign w:val="center"/>
            <w:hideMark/>
          </w:tcPr>
          <w:p w14:paraId="7312426E" w14:textId="77777777" w:rsidR="00D41A63" w:rsidRPr="00033E65" w:rsidRDefault="00D41A63" w:rsidP="00D41A63">
            <w:pPr>
              <w:spacing w:before="0" w:after="0"/>
              <w:jc w:val="left"/>
              <w:rPr>
                <w:rFonts w:ascii="Times New Roman" w:hAnsi="Times New Roman"/>
                <w:sz w:val="20"/>
                <w:lang w:eastAsia="es-CR"/>
              </w:rPr>
            </w:pPr>
          </w:p>
        </w:tc>
      </w:tr>
      <w:tr w:rsidR="00D41A63" w:rsidRPr="00033E65" w14:paraId="70B8640A" w14:textId="77777777" w:rsidTr="00274042">
        <w:trPr>
          <w:trHeight w:val="20"/>
        </w:trPr>
        <w:tc>
          <w:tcPr>
            <w:tcW w:w="1739" w:type="dxa"/>
            <w:tcBorders>
              <w:top w:val="nil"/>
              <w:left w:val="double" w:sz="6" w:space="0" w:color="1F497D"/>
              <w:bottom w:val="double" w:sz="6" w:space="0" w:color="1F497D"/>
              <w:right w:val="double" w:sz="6" w:space="0" w:color="1F497D"/>
            </w:tcBorders>
            <w:vAlign w:val="center"/>
            <w:hideMark/>
          </w:tcPr>
          <w:p w14:paraId="65D6CB4C" w14:textId="77777777" w:rsidR="00D41A63" w:rsidRPr="00033E65" w:rsidRDefault="00D41A63" w:rsidP="00951D3E">
            <w:pPr>
              <w:spacing w:before="0" w:after="0"/>
              <w:jc w:val="left"/>
              <w:rPr>
                <w:rFonts w:cs="Calibri"/>
                <w:color w:val="000000"/>
                <w:szCs w:val="22"/>
                <w:lang w:eastAsia="es-CR"/>
              </w:rPr>
            </w:pPr>
            <w:r w:rsidRPr="00033E65">
              <w:rPr>
                <w:rFonts w:cs="Calibri"/>
                <w:color w:val="000000"/>
                <w:szCs w:val="22"/>
                <w:lang w:eastAsia="es-CR"/>
              </w:rPr>
              <w:t>Juzgado Agrario de San Carlos</w:t>
            </w:r>
          </w:p>
        </w:tc>
        <w:tc>
          <w:tcPr>
            <w:tcW w:w="1547" w:type="dxa"/>
            <w:tcBorders>
              <w:top w:val="nil"/>
              <w:left w:val="nil"/>
              <w:bottom w:val="double" w:sz="6" w:space="0" w:color="1F497D"/>
              <w:right w:val="double" w:sz="6" w:space="0" w:color="1F497D"/>
            </w:tcBorders>
            <w:vAlign w:val="center"/>
            <w:hideMark/>
          </w:tcPr>
          <w:p w14:paraId="7C42177F" w14:textId="77777777" w:rsidR="00D41A63" w:rsidRPr="00033E65" w:rsidRDefault="00D41A63" w:rsidP="00951D3E">
            <w:pPr>
              <w:spacing w:before="0" w:after="0"/>
              <w:jc w:val="left"/>
              <w:rPr>
                <w:rFonts w:cs="Calibri"/>
                <w:color w:val="000000"/>
                <w:sz w:val="18"/>
                <w:szCs w:val="18"/>
                <w:lang w:eastAsia="es-CR"/>
              </w:rPr>
            </w:pPr>
            <w:r w:rsidRPr="00033E65">
              <w:rPr>
                <w:rFonts w:cs="Calibri"/>
                <w:color w:val="000000"/>
                <w:sz w:val="18"/>
                <w:szCs w:val="18"/>
                <w:lang w:eastAsia="es-CR"/>
              </w:rPr>
              <w:t>No tienen días establecidos, utilizan el vehículo cuando lo necesiten</w:t>
            </w:r>
          </w:p>
        </w:tc>
        <w:tc>
          <w:tcPr>
            <w:tcW w:w="1336" w:type="dxa"/>
            <w:tcBorders>
              <w:top w:val="nil"/>
              <w:left w:val="nil"/>
              <w:bottom w:val="double" w:sz="6" w:space="0" w:color="1F497D"/>
              <w:right w:val="double" w:sz="6" w:space="0" w:color="1F497D"/>
            </w:tcBorders>
            <w:vAlign w:val="center"/>
            <w:hideMark/>
          </w:tcPr>
          <w:p w14:paraId="0E8C4AC4"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17</w:t>
            </w:r>
          </w:p>
        </w:tc>
        <w:tc>
          <w:tcPr>
            <w:tcW w:w="1336" w:type="dxa"/>
            <w:tcBorders>
              <w:top w:val="nil"/>
              <w:left w:val="nil"/>
              <w:bottom w:val="double" w:sz="6" w:space="0" w:color="1F497D"/>
              <w:right w:val="double" w:sz="6" w:space="0" w:color="1F497D"/>
            </w:tcBorders>
            <w:vAlign w:val="center"/>
            <w:hideMark/>
          </w:tcPr>
          <w:p w14:paraId="371CFCC6"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17</w:t>
            </w:r>
          </w:p>
        </w:tc>
        <w:tc>
          <w:tcPr>
            <w:tcW w:w="1197" w:type="dxa"/>
            <w:tcBorders>
              <w:top w:val="nil"/>
              <w:left w:val="nil"/>
              <w:bottom w:val="double" w:sz="6" w:space="0" w:color="1F497D"/>
              <w:right w:val="double" w:sz="6" w:space="0" w:color="1F497D"/>
            </w:tcBorders>
            <w:vAlign w:val="center"/>
            <w:hideMark/>
          </w:tcPr>
          <w:p w14:paraId="6E19FAEA"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100%</w:t>
            </w:r>
          </w:p>
        </w:tc>
        <w:tc>
          <w:tcPr>
            <w:tcW w:w="919" w:type="dxa"/>
            <w:tcBorders>
              <w:top w:val="nil"/>
              <w:left w:val="nil"/>
              <w:bottom w:val="double" w:sz="6" w:space="0" w:color="1F497D"/>
              <w:right w:val="double" w:sz="6" w:space="0" w:color="1F497D"/>
            </w:tcBorders>
            <w:vAlign w:val="center"/>
            <w:hideMark/>
          </w:tcPr>
          <w:p w14:paraId="75BBCBAE"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w:t>
            </w:r>
          </w:p>
        </w:tc>
        <w:tc>
          <w:tcPr>
            <w:tcW w:w="1228" w:type="dxa"/>
            <w:tcBorders>
              <w:top w:val="nil"/>
              <w:left w:val="nil"/>
              <w:bottom w:val="double" w:sz="6" w:space="0" w:color="1F497D"/>
              <w:right w:val="double" w:sz="6" w:space="0" w:color="1F497D"/>
            </w:tcBorders>
            <w:vAlign w:val="center"/>
            <w:hideMark/>
          </w:tcPr>
          <w:p w14:paraId="4081C8F9"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16</w:t>
            </w:r>
          </w:p>
        </w:tc>
        <w:tc>
          <w:tcPr>
            <w:tcW w:w="1197" w:type="dxa"/>
            <w:tcBorders>
              <w:top w:val="nil"/>
              <w:left w:val="nil"/>
              <w:bottom w:val="double" w:sz="6" w:space="0" w:color="1F497D"/>
              <w:right w:val="double" w:sz="6" w:space="0" w:color="1F497D"/>
            </w:tcBorders>
            <w:vAlign w:val="center"/>
            <w:hideMark/>
          </w:tcPr>
          <w:p w14:paraId="4E07CE8D"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104%</w:t>
            </w:r>
          </w:p>
        </w:tc>
        <w:tc>
          <w:tcPr>
            <w:tcW w:w="1337" w:type="dxa"/>
            <w:tcBorders>
              <w:top w:val="single" w:sz="4" w:space="0" w:color="auto"/>
              <w:left w:val="single" w:sz="4" w:space="0" w:color="auto"/>
              <w:bottom w:val="single" w:sz="4" w:space="0" w:color="auto"/>
              <w:right w:val="single" w:sz="4" w:space="0" w:color="auto"/>
            </w:tcBorders>
            <w:noWrap/>
            <w:vAlign w:val="center"/>
            <w:hideMark/>
          </w:tcPr>
          <w:p w14:paraId="1C8BC5C0" w14:textId="77777777" w:rsidR="00D41A63" w:rsidRPr="00033E65" w:rsidRDefault="00D41A63" w:rsidP="00951D3E">
            <w:pPr>
              <w:spacing w:before="0" w:after="0"/>
              <w:jc w:val="center"/>
              <w:rPr>
                <w:rFonts w:cs="Arial"/>
                <w:sz w:val="20"/>
                <w:lang w:eastAsia="es-CR"/>
              </w:rPr>
            </w:pPr>
            <w:r w:rsidRPr="00033E65">
              <w:rPr>
                <w:rFonts w:cs="Arial"/>
                <w:sz w:val="20"/>
                <w:lang w:eastAsia="es-CR"/>
              </w:rPr>
              <w:t>21/06/2023</w:t>
            </w:r>
          </w:p>
        </w:tc>
        <w:tc>
          <w:tcPr>
            <w:tcW w:w="931" w:type="dxa"/>
            <w:tcBorders>
              <w:top w:val="nil"/>
              <w:left w:val="nil"/>
              <w:bottom w:val="double" w:sz="6" w:space="0" w:color="1F497D"/>
              <w:right w:val="double" w:sz="6" w:space="0" w:color="1F497D"/>
            </w:tcBorders>
            <w:vAlign w:val="center"/>
            <w:hideMark/>
          </w:tcPr>
          <w:p w14:paraId="392E1803"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162</w:t>
            </w:r>
          </w:p>
        </w:tc>
        <w:tc>
          <w:tcPr>
            <w:tcW w:w="1252" w:type="dxa"/>
            <w:tcBorders>
              <w:top w:val="nil"/>
              <w:left w:val="nil"/>
              <w:bottom w:val="double" w:sz="6" w:space="0" w:color="1F497D"/>
              <w:right w:val="double" w:sz="6" w:space="0" w:color="1F497D"/>
            </w:tcBorders>
            <w:vAlign w:val="center"/>
            <w:hideMark/>
          </w:tcPr>
          <w:p w14:paraId="385C0CF2"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62</w:t>
            </w:r>
          </w:p>
        </w:tc>
        <w:tc>
          <w:tcPr>
            <w:tcW w:w="146" w:type="dxa"/>
            <w:vAlign w:val="center"/>
            <w:hideMark/>
          </w:tcPr>
          <w:p w14:paraId="3E69824C" w14:textId="77777777" w:rsidR="00D41A63" w:rsidRPr="00033E65" w:rsidRDefault="00D41A63" w:rsidP="00D41A63">
            <w:pPr>
              <w:spacing w:before="0" w:after="0"/>
              <w:jc w:val="left"/>
              <w:rPr>
                <w:rFonts w:ascii="Times New Roman" w:hAnsi="Times New Roman"/>
                <w:sz w:val="20"/>
                <w:lang w:eastAsia="es-CR"/>
              </w:rPr>
            </w:pPr>
          </w:p>
        </w:tc>
      </w:tr>
      <w:tr w:rsidR="00D41A63" w:rsidRPr="00033E65" w14:paraId="3088F6CB" w14:textId="77777777" w:rsidTr="00274042">
        <w:trPr>
          <w:trHeight w:val="20"/>
        </w:trPr>
        <w:tc>
          <w:tcPr>
            <w:tcW w:w="1739" w:type="dxa"/>
            <w:tcBorders>
              <w:top w:val="nil"/>
              <w:left w:val="double" w:sz="6" w:space="0" w:color="1F497D"/>
              <w:bottom w:val="double" w:sz="6" w:space="0" w:color="1F497D"/>
              <w:right w:val="double" w:sz="6" w:space="0" w:color="1F497D"/>
            </w:tcBorders>
            <w:vAlign w:val="center"/>
            <w:hideMark/>
          </w:tcPr>
          <w:p w14:paraId="6CE2C9F1" w14:textId="77777777" w:rsidR="00D41A63" w:rsidRPr="00033E65" w:rsidRDefault="00D41A63" w:rsidP="00951D3E">
            <w:pPr>
              <w:spacing w:before="0" w:after="0"/>
              <w:jc w:val="left"/>
              <w:rPr>
                <w:rFonts w:cs="Calibri"/>
                <w:color w:val="000000"/>
                <w:szCs w:val="22"/>
                <w:lang w:eastAsia="es-CR"/>
              </w:rPr>
            </w:pPr>
            <w:r w:rsidRPr="00033E65">
              <w:rPr>
                <w:rFonts w:cs="Calibri"/>
                <w:color w:val="000000"/>
                <w:szCs w:val="22"/>
                <w:lang w:eastAsia="es-CR"/>
              </w:rPr>
              <w:t>Juzgado Agrario de Santa Cruz</w:t>
            </w:r>
          </w:p>
        </w:tc>
        <w:tc>
          <w:tcPr>
            <w:tcW w:w="1547" w:type="dxa"/>
            <w:tcBorders>
              <w:top w:val="nil"/>
              <w:left w:val="nil"/>
              <w:bottom w:val="double" w:sz="6" w:space="0" w:color="1F497D"/>
              <w:right w:val="double" w:sz="6" w:space="0" w:color="1F497D"/>
            </w:tcBorders>
            <w:vAlign w:val="center"/>
            <w:hideMark/>
          </w:tcPr>
          <w:p w14:paraId="536A1B8F" w14:textId="77777777" w:rsidR="00D41A63" w:rsidRPr="00033E65" w:rsidRDefault="00D41A63" w:rsidP="00951D3E">
            <w:pPr>
              <w:spacing w:before="0" w:after="0"/>
              <w:jc w:val="left"/>
              <w:rPr>
                <w:rFonts w:cs="Calibri"/>
                <w:color w:val="000000"/>
                <w:sz w:val="18"/>
                <w:szCs w:val="18"/>
                <w:lang w:eastAsia="es-CR"/>
              </w:rPr>
            </w:pPr>
            <w:r w:rsidRPr="00033E65">
              <w:rPr>
                <w:rFonts w:cs="Calibri"/>
                <w:color w:val="000000"/>
                <w:sz w:val="18"/>
                <w:szCs w:val="18"/>
                <w:lang w:eastAsia="es-CR"/>
              </w:rPr>
              <w:t>Los martes a solicitud de la Defensa Agraria</w:t>
            </w:r>
          </w:p>
        </w:tc>
        <w:tc>
          <w:tcPr>
            <w:tcW w:w="1336" w:type="dxa"/>
            <w:tcBorders>
              <w:top w:val="nil"/>
              <w:left w:val="nil"/>
              <w:bottom w:val="double" w:sz="6" w:space="0" w:color="1F497D"/>
              <w:right w:val="double" w:sz="6" w:space="0" w:color="1F497D"/>
            </w:tcBorders>
            <w:vAlign w:val="center"/>
            <w:hideMark/>
          </w:tcPr>
          <w:p w14:paraId="28B02447"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5</w:t>
            </w:r>
          </w:p>
        </w:tc>
        <w:tc>
          <w:tcPr>
            <w:tcW w:w="1336" w:type="dxa"/>
            <w:tcBorders>
              <w:top w:val="nil"/>
              <w:left w:val="nil"/>
              <w:bottom w:val="double" w:sz="6" w:space="0" w:color="1F497D"/>
              <w:right w:val="double" w:sz="6" w:space="0" w:color="1F497D"/>
            </w:tcBorders>
            <w:vAlign w:val="center"/>
            <w:hideMark/>
          </w:tcPr>
          <w:p w14:paraId="086C7DC8"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w:t>
            </w:r>
          </w:p>
        </w:tc>
        <w:tc>
          <w:tcPr>
            <w:tcW w:w="1197" w:type="dxa"/>
            <w:tcBorders>
              <w:top w:val="nil"/>
              <w:left w:val="nil"/>
              <w:bottom w:val="double" w:sz="6" w:space="0" w:color="1F497D"/>
              <w:right w:val="double" w:sz="6" w:space="0" w:color="1F497D"/>
            </w:tcBorders>
            <w:vAlign w:val="center"/>
            <w:hideMark/>
          </w:tcPr>
          <w:p w14:paraId="452207CB"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49%</w:t>
            </w:r>
          </w:p>
        </w:tc>
        <w:tc>
          <w:tcPr>
            <w:tcW w:w="919" w:type="dxa"/>
            <w:tcBorders>
              <w:top w:val="nil"/>
              <w:left w:val="nil"/>
              <w:bottom w:val="double" w:sz="6" w:space="0" w:color="1F497D"/>
              <w:right w:val="double" w:sz="6" w:space="0" w:color="1F497D"/>
            </w:tcBorders>
            <w:vAlign w:val="center"/>
            <w:hideMark/>
          </w:tcPr>
          <w:p w14:paraId="4591E20B"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w:t>
            </w:r>
          </w:p>
        </w:tc>
        <w:tc>
          <w:tcPr>
            <w:tcW w:w="1228" w:type="dxa"/>
            <w:tcBorders>
              <w:top w:val="nil"/>
              <w:left w:val="nil"/>
              <w:bottom w:val="double" w:sz="6" w:space="0" w:color="1F497D"/>
              <w:right w:val="double" w:sz="6" w:space="0" w:color="1F497D"/>
            </w:tcBorders>
            <w:vAlign w:val="center"/>
            <w:hideMark/>
          </w:tcPr>
          <w:p w14:paraId="08999E09"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16</w:t>
            </w:r>
          </w:p>
        </w:tc>
        <w:tc>
          <w:tcPr>
            <w:tcW w:w="1197" w:type="dxa"/>
            <w:tcBorders>
              <w:top w:val="nil"/>
              <w:left w:val="nil"/>
              <w:bottom w:val="double" w:sz="6" w:space="0" w:color="1F497D"/>
              <w:right w:val="double" w:sz="6" w:space="0" w:color="1F497D"/>
            </w:tcBorders>
            <w:vAlign w:val="center"/>
            <w:hideMark/>
          </w:tcPr>
          <w:p w14:paraId="0850712D"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28%</w:t>
            </w:r>
          </w:p>
        </w:tc>
        <w:tc>
          <w:tcPr>
            <w:tcW w:w="1337" w:type="dxa"/>
            <w:tcBorders>
              <w:top w:val="single" w:sz="4" w:space="0" w:color="000000"/>
              <w:left w:val="single" w:sz="4" w:space="0" w:color="000000"/>
              <w:bottom w:val="single" w:sz="4" w:space="0" w:color="000000"/>
              <w:right w:val="single" w:sz="4" w:space="0" w:color="000000"/>
            </w:tcBorders>
            <w:noWrap/>
            <w:vAlign w:val="center"/>
            <w:hideMark/>
          </w:tcPr>
          <w:p w14:paraId="11127DC7" w14:textId="77777777" w:rsidR="00D41A63" w:rsidRPr="00033E65" w:rsidRDefault="00D41A63" w:rsidP="00951D3E">
            <w:pPr>
              <w:spacing w:before="0" w:after="0"/>
              <w:jc w:val="center"/>
              <w:rPr>
                <w:rFonts w:cs="Arial"/>
                <w:sz w:val="20"/>
                <w:lang w:eastAsia="es-CR"/>
              </w:rPr>
            </w:pPr>
            <w:r w:rsidRPr="00033E65">
              <w:rPr>
                <w:rFonts w:cs="Arial"/>
                <w:sz w:val="20"/>
                <w:lang w:eastAsia="es-CR"/>
              </w:rPr>
              <w:t>18/04/23</w:t>
            </w:r>
          </w:p>
        </w:tc>
        <w:tc>
          <w:tcPr>
            <w:tcW w:w="931" w:type="dxa"/>
            <w:tcBorders>
              <w:top w:val="nil"/>
              <w:left w:val="nil"/>
              <w:bottom w:val="double" w:sz="6" w:space="0" w:color="1F497D"/>
              <w:right w:val="double" w:sz="6" w:space="0" w:color="1F497D"/>
            </w:tcBorders>
            <w:vAlign w:val="center"/>
            <w:hideMark/>
          </w:tcPr>
          <w:p w14:paraId="0D6FF823"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90</w:t>
            </w:r>
          </w:p>
        </w:tc>
        <w:tc>
          <w:tcPr>
            <w:tcW w:w="1252" w:type="dxa"/>
            <w:tcBorders>
              <w:top w:val="nil"/>
              <w:left w:val="nil"/>
              <w:bottom w:val="double" w:sz="6" w:space="0" w:color="1F497D"/>
              <w:right w:val="double" w:sz="6" w:space="0" w:color="1F497D"/>
            </w:tcBorders>
            <w:vAlign w:val="center"/>
            <w:hideMark/>
          </w:tcPr>
          <w:p w14:paraId="1B8F1D13"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51</w:t>
            </w:r>
          </w:p>
        </w:tc>
        <w:tc>
          <w:tcPr>
            <w:tcW w:w="146" w:type="dxa"/>
            <w:vAlign w:val="center"/>
            <w:hideMark/>
          </w:tcPr>
          <w:p w14:paraId="5C5B2AE2" w14:textId="77777777" w:rsidR="00D41A63" w:rsidRPr="00033E65" w:rsidRDefault="00D41A63" w:rsidP="00D41A63">
            <w:pPr>
              <w:spacing w:before="0" w:after="0"/>
              <w:jc w:val="left"/>
              <w:rPr>
                <w:rFonts w:ascii="Times New Roman" w:hAnsi="Times New Roman"/>
                <w:sz w:val="20"/>
                <w:lang w:eastAsia="es-CR"/>
              </w:rPr>
            </w:pPr>
          </w:p>
        </w:tc>
      </w:tr>
      <w:tr w:rsidR="00D41A63" w:rsidRPr="00033E65" w14:paraId="1137B65D" w14:textId="77777777" w:rsidTr="00274042">
        <w:trPr>
          <w:trHeight w:val="20"/>
        </w:trPr>
        <w:tc>
          <w:tcPr>
            <w:tcW w:w="1739" w:type="dxa"/>
            <w:tcBorders>
              <w:top w:val="nil"/>
              <w:left w:val="double" w:sz="6" w:space="0" w:color="1F497D"/>
              <w:bottom w:val="double" w:sz="6" w:space="0" w:color="1F497D"/>
              <w:right w:val="double" w:sz="6" w:space="0" w:color="1F497D"/>
            </w:tcBorders>
            <w:vAlign w:val="center"/>
            <w:hideMark/>
          </w:tcPr>
          <w:p w14:paraId="1170A9A8" w14:textId="77777777" w:rsidR="00D41A63" w:rsidRPr="00033E65" w:rsidRDefault="00D41A63" w:rsidP="00951D3E">
            <w:pPr>
              <w:spacing w:before="0" w:after="0"/>
              <w:jc w:val="left"/>
              <w:rPr>
                <w:rFonts w:cs="Calibri"/>
                <w:color w:val="000000"/>
                <w:szCs w:val="22"/>
                <w:lang w:eastAsia="es-CR"/>
              </w:rPr>
            </w:pPr>
            <w:r w:rsidRPr="00033E65">
              <w:rPr>
                <w:rFonts w:cs="Calibri"/>
                <w:color w:val="000000"/>
                <w:szCs w:val="22"/>
                <w:lang w:eastAsia="es-CR"/>
              </w:rPr>
              <w:t>Juzgado Agrario de Corredores</w:t>
            </w:r>
          </w:p>
        </w:tc>
        <w:tc>
          <w:tcPr>
            <w:tcW w:w="1547" w:type="dxa"/>
            <w:tcBorders>
              <w:top w:val="nil"/>
              <w:left w:val="nil"/>
              <w:bottom w:val="double" w:sz="6" w:space="0" w:color="1F497D"/>
              <w:right w:val="double" w:sz="6" w:space="0" w:color="1F497D"/>
            </w:tcBorders>
            <w:vAlign w:val="center"/>
            <w:hideMark/>
          </w:tcPr>
          <w:p w14:paraId="2A2958B1" w14:textId="77777777" w:rsidR="00D41A63" w:rsidRPr="00033E65" w:rsidRDefault="00D41A63" w:rsidP="00951D3E">
            <w:pPr>
              <w:spacing w:before="0" w:after="0"/>
              <w:jc w:val="left"/>
              <w:rPr>
                <w:rFonts w:cs="Calibri"/>
                <w:color w:val="000000"/>
                <w:sz w:val="18"/>
                <w:szCs w:val="18"/>
                <w:lang w:eastAsia="es-CR"/>
              </w:rPr>
            </w:pPr>
            <w:r w:rsidRPr="00033E65">
              <w:rPr>
                <w:rFonts w:cs="Calibri"/>
                <w:color w:val="000000"/>
                <w:sz w:val="18"/>
                <w:szCs w:val="18"/>
                <w:lang w:eastAsia="es-CR"/>
              </w:rPr>
              <w:t>Martes, miércoles y jueves</w:t>
            </w:r>
          </w:p>
        </w:tc>
        <w:tc>
          <w:tcPr>
            <w:tcW w:w="1336" w:type="dxa"/>
            <w:tcBorders>
              <w:top w:val="nil"/>
              <w:left w:val="nil"/>
              <w:bottom w:val="double" w:sz="6" w:space="0" w:color="1F497D"/>
              <w:right w:val="double" w:sz="6" w:space="0" w:color="1F497D"/>
            </w:tcBorders>
            <w:vAlign w:val="center"/>
            <w:hideMark/>
          </w:tcPr>
          <w:p w14:paraId="0F3C3CCB"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15</w:t>
            </w:r>
          </w:p>
        </w:tc>
        <w:tc>
          <w:tcPr>
            <w:tcW w:w="1336" w:type="dxa"/>
            <w:tcBorders>
              <w:top w:val="nil"/>
              <w:left w:val="nil"/>
              <w:bottom w:val="double" w:sz="6" w:space="0" w:color="1F497D"/>
              <w:right w:val="double" w:sz="6" w:space="0" w:color="1F497D"/>
            </w:tcBorders>
            <w:vAlign w:val="center"/>
            <w:hideMark/>
          </w:tcPr>
          <w:p w14:paraId="14F4FDF5"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15</w:t>
            </w:r>
          </w:p>
        </w:tc>
        <w:tc>
          <w:tcPr>
            <w:tcW w:w="1197" w:type="dxa"/>
            <w:tcBorders>
              <w:top w:val="nil"/>
              <w:left w:val="nil"/>
              <w:bottom w:val="double" w:sz="6" w:space="0" w:color="1F497D"/>
              <w:right w:val="double" w:sz="6" w:space="0" w:color="1F497D"/>
            </w:tcBorders>
            <w:vAlign w:val="center"/>
            <w:hideMark/>
          </w:tcPr>
          <w:p w14:paraId="15BF5B0D"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100%</w:t>
            </w:r>
          </w:p>
        </w:tc>
        <w:tc>
          <w:tcPr>
            <w:tcW w:w="919" w:type="dxa"/>
            <w:tcBorders>
              <w:top w:val="nil"/>
              <w:left w:val="nil"/>
              <w:bottom w:val="double" w:sz="6" w:space="0" w:color="1F497D"/>
              <w:right w:val="double" w:sz="6" w:space="0" w:color="1F497D"/>
            </w:tcBorders>
            <w:vAlign w:val="center"/>
            <w:hideMark/>
          </w:tcPr>
          <w:p w14:paraId="6914BA4B"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w:t>
            </w:r>
          </w:p>
        </w:tc>
        <w:tc>
          <w:tcPr>
            <w:tcW w:w="1228" w:type="dxa"/>
            <w:tcBorders>
              <w:top w:val="nil"/>
              <w:left w:val="nil"/>
              <w:bottom w:val="double" w:sz="6" w:space="0" w:color="1F497D"/>
              <w:right w:val="double" w:sz="6" w:space="0" w:color="1F497D"/>
            </w:tcBorders>
            <w:vAlign w:val="center"/>
            <w:hideMark/>
          </w:tcPr>
          <w:p w14:paraId="5B3BAE67"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16</w:t>
            </w:r>
          </w:p>
        </w:tc>
        <w:tc>
          <w:tcPr>
            <w:tcW w:w="1197" w:type="dxa"/>
            <w:tcBorders>
              <w:top w:val="nil"/>
              <w:left w:val="nil"/>
              <w:bottom w:val="double" w:sz="6" w:space="0" w:color="1F497D"/>
              <w:right w:val="double" w:sz="6" w:space="0" w:color="1F497D"/>
            </w:tcBorders>
            <w:vAlign w:val="center"/>
            <w:hideMark/>
          </w:tcPr>
          <w:p w14:paraId="1B9E997C"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96%</w:t>
            </w:r>
          </w:p>
        </w:tc>
        <w:tc>
          <w:tcPr>
            <w:tcW w:w="1337" w:type="dxa"/>
            <w:tcBorders>
              <w:top w:val="nil"/>
              <w:left w:val="nil"/>
              <w:bottom w:val="double" w:sz="6" w:space="0" w:color="1F497D"/>
              <w:right w:val="double" w:sz="6" w:space="0" w:color="1F497D"/>
            </w:tcBorders>
            <w:vAlign w:val="center"/>
            <w:hideMark/>
          </w:tcPr>
          <w:p w14:paraId="2E72EB63"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17/08/2023</w:t>
            </w:r>
          </w:p>
        </w:tc>
        <w:tc>
          <w:tcPr>
            <w:tcW w:w="931" w:type="dxa"/>
            <w:tcBorders>
              <w:top w:val="nil"/>
              <w:left w:val="nil"/>
              <w:bottom w:val="double" w:sz="6" w:space="0" w:color="1F497D"/>
              <w:right w:val="double" w:sz="6" w:space="0" w:color="1F497D"/>
            </w:tcBorders>
            <w:vAlign w:val="center"/>
            <w:hideMark/>
          </w:tcPr>
          <w:p w14:paraId="09BCF76E"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202</w:t>
            </w:r>
          </w:p>
        </w:tc>
        <w:tc>
          <w:tcPr>
            <w:tcW w:w="1252" w:type="dxa"/>
            <w:tcBorders>
              <w:top w:val="nil"/>
              <w:left w:val="nil"/>
              <w:bottom w:val="double" w:sz="6" w:space="0" w:color="1F497D"/>
              <w:right w:val="double" w:sz="6" w:space="0" w:color="1F497D"/>
            </w:tcBorders>
            <w:vAlign w:val="center"/>
            <w:hideMark/>
          </w:tcPr>
          <w:p w14:paraId="316CEEDC"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105</w:t>
            </w:r>
          </w:p>
        </w:tc>
        <w:tc>
          <w:tcPr>
            <w:tcW w:w="146" w:type="dxa"/>
            <w:vAlign w:val="center"/>
            <w:hideMark/>
          </w:tcPr>
          <w:p w14:paraId="3B1434BB" w14:textId="77777777" w:rsidR="00D41A63" w:rsidRPr="00033E65" w:rsidRDefault="00D41A63" w:rsidP="00D41A63">
            <w:pPr>
              <w:spacing w:before="0" w:after="0"/>
              <w:jc w:val="left"/>
              <w:rPr>
                <w:rFonts w:ascii="Times New Roman" w:hAnsi="Times New Roman"/>
                <w:sz w:val="20"/>
                <w:lang w:eastAsia="es-CR"/>
              </w:rPr>
            </w:pPr>
          </w:p>
        </w:tc>
      </w:tr>
      <w:tr w:rsidR="00D41A63" w:rsidRPr="00033E65" w14:paraId="0A91C6B4" w14:textId="77777777" w:rsidTr="00274042">
        <w:trPr>
          <w:trHeight w:val="20"/>
        </w:trPr>
        <w:tc>
          <w:tcPr>
            <w:tcW w:w="1739" w:type="dxa"/>
            <w:tcBorders>
              <w:top w:val="nil"/>
              <w:left w:val="double" w:sz="6" w:space="0" w:color="1F497D"/>
              <w:bottom w:val="double" w:sz="6" w:space="0" w:color="1F497D"/>
              <w:right w:val="double" w:sz="6" w:space="0" w:color="1F497D"/>
            </w:tcBorders>
            <w:vAlign w:val="center"/>
            <w:hideMark/>
          </w:tcPr>
          <w:p w14:paraId="215BCBC1" w14:textId="77777777" w:rsidR="00D41A63" w:rsidRPr="00033E65" w:rsidRDefault="00D41A63" w:rsidP="00951D3E">
            <w:pPr>
              <w:spacing w:before="0" w:after="0"/>
              <w:jc w:val="left"/>
              <w:rPr>
                <w:rFonts w:cs="Calibri"/>
                <w:color w:val="000000"/>
                <w:szCs w:val="22"/>
                <w:lang w:eastAsia="es-CR"/>
              </w:rPr>
            </w:pPr>
            <w:r w:rsidRPr="00033E65">
              <w:rPr>
                <w:rFonts w:cs="Calibri"/>
                <w:color w:val="000000"/>
                <w:szCs w:val="22"/>
                <w:lang w:eastAsia="es-CR"/>
              </w:rPr>
              <w:t>Juzgado Agrario de Pococí</w:t>
            </w:r>
          </w:p>
        </w:tc>
        <w:tc>
          <w:tcPr>
            <w:tcW w:w="1547" w:type="dxa"/>
            <w:tcBorders>
              <w:top w:val="nil"/>
              <w:left w:val="nil"/>
              <w:bottom w:val="double" w:sz="6" w:space="0" w:color="1F497D"/>
              <w:right w:val="double" w:sz="6" w:space="0" w:color="1F497D"/>
            </w:tcBorders>
            <w:vAlign w:val="center"/>
            <w:hideMark/>
          </w:tcPr>
          <w:p w14:paraId="59A466E8" w14:textId="77777777" w:rsidR="00D41A63" w:rsidRPr="00033E65" w:rsidRDefault="00D41A63" w:rsidP="00951D3E">
            <w:pPr>
              <w:spacing w:before="0" w:after="0"/>
              <w:jc w:val="left"/>
              <w:rPr>
                <w:rFonts w:cs="Calibri"/>
                <w:color w:val="000000"/>
                <w:sz w:val="18"/>
                <w:szCs w:val="18"/>
                <w:lang w:eastAsia="es-CR"/>
              </w:rPr>
            </w:pPr>
            <w:r w:rsidRPr="00033E65">
              <w:rPr>
                <w:rFonts w:cs="Calibri"/>
                <w:color w:val="000000"/>
                <w:sz w:val="18"/>
                <w:szCs w:val="18"/>
                <w:lang w:eastAsia="es-CR"/>
              </w:rPr>
              <w:t xml:space="preserve">Según día de solicitud </w:t>
            </w:r>
          </w:p>
        </w:tc>
        <w:tc>
          <w:tcPr>
            <w:tcW w:w="1336" w:type="dxa"/>
            <w:tcBorders>
              <w:top w:val="nil"/>
              <w:left w:val="nil"/>
              <w:bottom w:val="double" w:sz="6" w:space="0" w:color="1F497D"/>
              <w:right w:val="double" w:sz="6" w:space="0" w:color="1F497D"/>
            </w:tcBorders>
            <w:vAlign w:val="center"/>
            <w:hideMark/>
          </w:tcPr>
          <w:p w14:paraId="130CAA2D"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13</w:t>
            </w:r>
          </w:p>
        </w:tc>
        <w:tc>
          <w:tcPr>
            <w:tcW w:w="1336" w:type="dxa"/>
            <w:tcBorders>
              <w:top w:val="nil"/>
              <w:left w:val="nil"/>
              <w:bottom w:val="double" w:sz="6" w:space="0" w:color="1F497D"/>
              <w:right w:val="double" w:sz="6" w:space="0" w:color="1F497D"/>
            </w:tcBorders>
            <w:vAlign w:val="center"/>
            <w:hideMark/>
          </w:tcPr>
          <w:p w14:paraId="67E9364B"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13</w:t>
            </w:r>
          </w:p>
        </w:tc>
        <w:tc>
          <w:tcPr>
            <w:tcW w:w="1197" w:type="dxa"/>
            <w:tcBorders>
              <w:top w:val="nil"/>
              <w:left w:val="nil"/>
              <w:bottom w:val="double" w:sz="6" w:space="0" w:color="1F497D"/>
              <w:right w:val="double" w:sz="6" w:space="0" w:color="1F497D"/>
            </w:tcBorders>
            <w:vAlign w:val="center"/>
            <w:hideMark/>
          </w:tcPr>
          <w:p w14:paraId="78D4D30E"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98%</w:t>
            </w:r>
          </w:p>
        </w:tc>
        <w:tc>
          <w:tcPr>
            <w:tcW w:w="919" w:type="dxa"/>
            <w:tcBorders>
              <w:top w:val="nil"/>
              <w:left w:val="nil"/>
              <w:bottom w:val="double" w:sz="6" w:space="0" w:color="1F497D"/>
              <w:right w:val="double" w:sz="6" w:space="0" w:color="1F497D"/>
            </w:tcBorders>
            <w:vAlign w:val="center"/>
            <w:hideMark/>
          </w:tcPr>
          <w:p w14:paraId="17B1AAF0"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w:t>
            </w:r>
          </w:p>
        </w:tc>
        <w:tc>
          <w:tcPr>
            <w:tcW w:w="1228" w:type="dxa"/>
            <w:tcBorders>
              <w:top w:val="nil"/>
              <w:left w:val="nil"/>
              <w:bottom w:val="double" w:sz="6" w:space="0" w:color="1F497D"/>
              <w:right w:val="double" w:sz="6" w:space="0" w:color="1F497D"/>
            </w:tcBorders>
            <w:vAlign w:val="center"/>
            <w:hideMark/>
          </w:tcPr>
          <w:p w14:paraId="15F76D91"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16</w:t>
            </w:r>
          </w:p>
        </w:tc>
        <w:tc>
          <w:tcPr>
            <w:tcW w:w="1197" w:type="dxa"/>
            <w:tcBorders>
              <w:top w:val="nil"/>
              <w:left w:val="nil"/>
              <w:bottom w:val="double" w:sz="6" w:space="0" w:color="1F497D"/>
              <w:right w:val="double" w:sz="6" w:space="0" w:color="1F497D"/>
            </w:tcBorders>
            <w:vAlign w:val="center"/>
            <w:hideMark/>
          </w:tcPr>
          <w:p w14:paraId="503305E1"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80%</w:t>
            </w:r>
          </w:p>
        </w:tc>
        <w:tc>
          <w:tcPr>
            <w:tcW w:w="1337" w:type="dxa"/>
            <w:tcBorders>
              <w:top w:val="nil"/>
              <w:left w:val="nil"/>
              <w:bottom w:val="double" w:sz="6" w:space="0" w:color="1F497D"/>
              <w:right w:val="double" w:sz="6" w:space="0" w:color="1F497D"/>
            </w:tcBorders>
            <w:vAlign w:val="center"/>
            <w:hideMark/>
          </w:tcPr>
          <w:p w14:paraId="5075570A"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27/05/2024</w:t>
            </w:r>
          </w:p>
        </w:tc>
        <w:tc>
          <w:tcPr>
            <w:tcW w:w="931" w:type="dxa"/>
            <w:tcBorders>
              <w:top w:val="nil"/>
              <w:left w:val="nil"/>
              <w:bottom w:val="double" w:sz="6" w:space="0" w:color="1F497D"/>
              <w:right w:val="double" w:sz="6" w:space="0" w:color="1F497D"/>
            </w:tcBorders>
            <w:vAlign w:val="center"/>
            <w:hideMark/>
          </w:tcPr>
          <w:p w14:paraId="4098ED5B"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490</w:t>
            </w:r>
          </w:p>
        </w:tc>
        <w:tc>
          <w:tcPr>
            <w:tcW w:w="1252" w:type="dxa"/>
            <w:tcBorders>
              <w:top w:val="nil"/>
              <w:left w:val="nil"/>
              <w:bottom w:val="double" w:sz="6" w:space="0" w:color="1F497D"/>
              <w:right w:val="double" w:sz="6" w:space="0" w:color="1F497D"/>
            </w:tcBorders>
            <w:vAlign w:val="center"/>
            <w:hideMark/>
          </w:tcPr>
          <w:p w14:paraId="45D683EA"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238</w:t>
            </w:r>
          </w:p>
        </w:tc>
        <w:tc>
          <w:tcPr>
            <w:tcW w:w="146" w:type="dxa"/>
            <w:vAlign w:val="center"/>
            <w:hideMark/>
          </w:tcPr>
          <w:p w14:paraId="518F8944" w14:textId="77777777" w:rsidR="00D41A63" w:rsidRPr="00033E65" w:rsidRDefault="00D41A63" w:rsidP="00D41A63">
            <w:pPr>
              <w:spacing w:before="0" w:after="0"/>
              <w:jc w:val="left"/>
              <w:rPr>
                <w:rFonts w:ascii="Times New Roman" w:hAnsi="Times New Roman"/>
                <w:sz w:val="20"/>
                <w:lang w:eastAsia="es-CR"/>
              </w:rPr>
            </w:pPr>
          </w:p>
        </w:tc>
      </w:tr>
      <w:tr w:rsidR="00D41A63" w:rsidRPr="00033E65" w14:paraId="6C802668" w14:textId="77777777" w:rsidTr="00274042">
        <w:trPr>
          <w:trHeight w:val="20"/>
        </w:trPr>
        <w:tc>
          <w:tcPr>
            <w:tcW w:w="1739" w:type="dxa"/>
            <w:tcBorders>
              <w:top w:val="nil"/>
              <w:left w:val="double" w:sz="6" w:space="0" w:color="1F497D"/>
              <w:bottom w:val="double" w:sz="6" w:space="0" w:color="1F497D"/>
              <w:right w:val="double" w:sz="6" w:space="0" w:color="1F497D"/>
            </w:tcBorders>
            <w:vAlign w:val="center"/>
            <w:hideMark/>
          </w:tcPr>
          <w:p w14:paraId="1580A86E" w14:textId="77777777" w:rsidR="00D41A63" w:rsidRPr="00033E65" w:rsidRDefault="00D41A63" w:rsidP="00951D3E">
            <w:pPr>
              <w:spacing w:before="0" w:after="0"/>
              <w:jc w:val="left"/>
              <w:rPr>
                <w:rFonts w:cs="Calibri"/>
                <w:color w:val="000000"/>
                <w:szCs w:val="22"/>
                <w:lang w:eastAsia="es-CR"/>
              </w:rPr>
            </w:pPr>
            <w:r w:rsidRPr="00033E65">
              <w:rPr>
                <w:rFonts w:cs="Calibri"/>
                <w:color w:val="000000"/>
                <w:szCs w:val="22"/>
                <w:lang w:eastAsia="es-CR"/>
              </w:rPr>
              <w:t>Juzgado Agrario de Liberia</w:t>
            </w:r>
          </w:p>
        </w:tc>
        <w:tc>
          <w:tcPr>
            <w:tcW w:w="1547" w:type="dxa"/>
            <w:tcBorders>
              <w:top w:val="nil"/>
              <w:left w:val="nil"/>
              <w:bottom w:val="double" w:sz="6" w:space="0" w:color="1F497D"/>
              <w:right w:val="double" w:sz="6" w:space="0" w:color="1F497D"/>
            </w:tcBorders>
            <w:vAlign w:val="center"/>
            <w:hideMark/>
          </w:tcPr>
          <w:p w14:paraId="03CA50EB" w14:textId="77777777" w:rsidR="00D41A63" w:rsidRPr="00033E65" w:rsidRDefault="00D41A63" w:rsidP="00951D3E">
            <w:pPr>
              <w:spacing w:before="0" w:after="0"/>
              <w:jc w:val="left"/>
              <w:rPr>
                <w:rFonts w:cs="Calibri"/>
                <w:color w:val="000000"/>
                <w:sz w:val="18"/>
                <w:szCs w:val="18"/>
                <w:lang w:eastAsia="es-CR"/>
              </w:rPr>
            </w:pPr>
            <w:r w:rsidRPr="00033E65">
              <w:rPr>
                <w:rFonts w:cs="Calibri"/>
                <w:color w:val="000000"/>
                <w:sz w:val="18"/>
                <w:szCs w:val="18"/>
                <w:lang w:eastAsia="es-CR"/>
              </w:rPr>
              <w:t>Martes, miércoles y jueves</w:t>
            </w:r>
          </w:p>
        </w:tc>
        <w:tc>
          <w:tcPr>
            <w:tcW w:w="1336" w:type="dxa"/>
            <w:tcBorders>
              <w:top w:val="nil"/>
              <w:left w:val="nil"/>
              <w:bottom w:val="double" w:sz="6" w:space="0" w:color="1F497D"/>
              <w:right w:val="double" w:sz="6" w:space="0" w:color="1F497D"/>
            </w:tcBorders>
            <w:vAlign w:val="center"/>
            <w:hideMark/>
          </w:tcPr>
          <w:p w14:paraId="038EE964"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11</w:t>
            </w:r>
          </w:p>
        </w:tc>
        <w:tc>
          <w:tcPr>
            <w:tcW w:w="1336" w:type="dxa"/>
            <w:tcBorders>
              <w:top w:val="nil"/>
              <w:left w:val="nil"/>
              <w:bottom w:val="double" w:sz="6" w:space="0" w:color="1F497D"/>
              <w:right w:val="double" w:sz="6" w:space="0" w:color="1F497D"/>
            </w:tcBorders>
            <w:vAlign w:val="center"/>
            <w:hideMark/>
          </w:tcPr>
          <w:p w14:paraId="1C9C66A4"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11</w:t>
            </w:r>
          </w:p>
        </w:tc>
        <w:tc>
          <w:tcPr>
            <w:tcW w:w="1197" w:type="dxa"/>
            <w:tcBorders>
              <w:top w:val="nil"/>
              <w:left w:val="nil"/>
              <w:bottom w:val="double" w:sz="6" w:space="0" w:color="1F497D"/>
              <w:right w:val="double" w:sz="6" w:space="0" w:color="1F497D"/>
            </w:tcBorders>
            <w:vAlign w:val="center"/>
            <w:hideMark/>
          </w:tcPr>
          <w:p w14:paraId="371A55BB"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100%</w:t>
            </w:r>
          </w:p>
        </w:tc>
        <w:tc>
          <w:tcPr>
            <w:tcW w:w="919" w:type="dxa"/>
            <w:tcBorders>
              <w:top w:val="nil"/>
              <w:left w:val="nil"/>
              <w:bottom w:val="double" w:sz="6" w:space="0" w:color="1F497D"/>
              <w:right w:val="double" w:sz="6" w:space="0" w:color="1F497D"/>
            </w:tcBorders>
            <w:vAlign w:val="center"/>
            <w:hideMark/>
          </w:tcPr>
          <w:p w14:paraId="0857AA99"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w:t>
            </w:r>
          </w:p>
        </w:tc>
        <w:tc>
          <w:tcPr>
            <w:tcW w:w="1228" w:type="dxa"/>
            <w:tcBorders>
              <w:top w:val="nil"/>
              <w:left w:val="nil"/>
              <w:bottom w:val="double" w:sz="6" w:space="0" w:color="1F497D"/>
              <w:right w:val="double" w:sz="6" w:space="0" w:color="1F497D"/>
            </w:tcBorders>
            <w:vAlign w:val="center"/>
            <w:hideMark/>
          </w:tcPr>
          <w:p w14:paraId="263863E2"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16</w:t>
            </w:r>
          </w:p>
        </w:tc>
        <w:tc>
          <w:tcPr>
            <w:tcW w:w="1197" w:type="dxa"/>
            <w:tcBorders>
              <w:top w:val="nil"/>
              <w:left w:val="nil"/>
              <w:bottom w:val="double" w:sz="6" w:space="0" w:color="1F497D"/>
              <w:right w:val="double" w:sz="6" w:space="0" w:color="1F497D"/>
            </w:tcBorders>
            <w:vAlign w:val="center"/>
            <w:hideMark/>
          </w:tcPr>
          <w:p w14:paraId="5C5CA6B2"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66%</w:t>
            </w:r>
          </w:p>
        </w:tc>
        <w:tc>
          <w:tcPr>
            <w:tcW w:w="1337" w:type="dxa"/>
            <w:tcBorders>
              <w:top w:val="nil"/>
              <w:left w:val="nil"/>
              <w:bottom w:val="double" w:sz="6" w:space="0" w:color="1F497D"/>
              <w:right w:val="double" w:sz="6" w:space="0" w:color="1F497D"/>
            </w:tcBorders>
            <w:vAlign w:val="center"/>
            <w:hideMark/>
          </w:tcPr>
          <w:p w14:paraId="6973F372"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14/03/2023</w:t>
            </w:r>
          </w:p>
        </w:tc>
        <w:tc>
          <w:tcPr>
            <w:tcW w:w="931" w:type="dxa"/>
            <w:tcBorders>
              <w:top w:val="nil"/>
              <w:left w:val="nil"/>
              <w:bottom w:val="double" w:sz="6" w:space="0" w:color="1F497D"/>
              <w:right w:val="double" w:sz="6" w:space="0" w:color="1F497D"/>
            </w:tcBorders>
            <w:vAlign w:val="center"/>
            <w:hideMark/>
          </w:tcPr>
          <w:p w14:paraId="204F5520"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62</w:t>
            </w:r>
          </w:p>
        </w:tc>
        <w:tc>
          <w:tcPr>
            <w:tcW w:w="1252" w:type="dxa"/>
            <w:tcBorders>
              <w:top w:val="nil"/>
              <w:left w:val="nil"/>
              <w:bottom w:val="double" w:sz="6" w:space="0" w:color="1F497D"/>
              <w:right w:val="double" w:sz="6" w:space="0" w:color="1F497D"/>
            </w:tcBorders>
            <w:vAlign w:val="center"/>
            <w:hideMark/>
          </w:tcPr>
          <w:p w14:paraId="1E817801"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53</w:t>
            </w:r>
          </w:p>
        </w:tc>
        <w:tc>
          <w:tcPr>
            <w:tcW w:w="146" w:type="dxa"/>
            <w:vAlign w:val="center"/>
            <w:hideMark/>
          </w:tcPr>
          <w:p w14:paraId="67E58DDC" w14:textId="77777777" w:rsidR="00D41A63" w:rsidRPr="00033E65" w:rsidRDefault="00D41A63" w:rsidP="00D41A63">
            <w:pPr>
              <w:spacing w:before="0" w:after="0"/>
              <w:jc w:val="left"/>
              <w:rPr>
                <w:rFonts w:ascii="Times New Roman" w:hAnsi="Times New Roman"/>
                <w:sz w:val="20"/>
                <w:lang w:eastAsia="es-CR"/>
              </w:rPr>
            </w:pPr>
          </w:p>
        </w:tc>
      </w:tr>
      <w:tr w:rsidR="00D41A63" w:rsidRPr="00033E65" w14:paraId="714ECAB2" w14:textId="77777777" w:rsidTr="00274042">
        <w:trPr>
          <w:trHeight w:val="20"/>
        </w:trPr>
        <w:tc>
          <w:tcPr>
            <w:tcW w:w="1739" w:type="dxa"/>
            <w:tcBorders>
              <w:top w:val="nil"/>
              <w:left w:val="double" w:sz="6" w:space="0" w:color="1F497D"/>
              <w:bottom w:val="double" w:sz="6" w:space="0" w:color="1F497D"/>
              <w:right w:val="double" w:sz="6" w:space="0" w:color="1F497D"/>
            </w:tcBorders>
            <w:vAlign w:val="center"/>
            <w:hideMark/>
          </w:tcPr>
          <w:p w14:paraId="0B4E5CCB" w14:textId="77777777" w:rsidR="00D41A63" w:rsidRPr="00033E65" w:rsidRDefault="00D41A63" w:rsidP="00951D3E">
            <w:pPr>
              <w:spacing w:before="0" w:after="0"/>
              <w:jc w:val="left"/>
              <w:rPr>
                <w:rFonts w:cs="Calibri"/>
                <w:color w:val="000000"/>
                <w:szCs w:val="22"/>
                <w:lang w:eastAsia="es-CR"/>
              </w:rPr>
            </w:pPr>
            <w:r w:rsidRPr="00033E65">
              <w:rPr>
                <w:rFonts w:cs="Calibri"/>
                <w:color w:val="000000"/>
                <w:szCs w:val="22"/>
                <w:lang w:eastAsia="es-CR"/>
              </w:rPr>
              <w:t>Juzgado Agrario de Puntarenas</w:t>
            </w:r>
          </w:p>
        </w:tc>
        <w:tc>
          <w:tcPr>
            <w:tcW w:w="1547" w:type="dxa"/>
            <w:tcBorders>
              <w:top w:val="nil"/>
              <w:left w:val="nil"/>
              <w:bottom w:val="double" w:sz="6" w:space="0" w:color="1F497D"/>
              <w:right w:val="double" w:sz="6" w:space="0" w:color="1F497D"/>
            </w:tcBorders>
            <w:vAlign w:val="center"/>
            <w:hideMark/>
          </w:tcPr>
          <w:p w14:paraId="584A98B5" w14:textId="77777777" w:rsidR="00D41A63" w:rsidRPr="00033E65" w:rsidRDefault="00D41A63" w:rsidP="00951D3E">
            <w:pPr>
              <w:spacing w:before="0" w:after="0"/>
              <w:jc w:val="left"/>
              <w:rPr>
                <w:rFonts w:cs="Calibri"/>
                <w:color w:val="000000"/>
                <w:sz w:val="18"/>
                <w:szCs w:val="18"/>
                <w:lang w:eastAsia="es-CR"/>
              </w:rPr>
            </w:pPr>
            <w:r w:rsidRPr="00033E65">
              <w:rPr>
                <w:rFonts w:cs="Calibri"/>
                <w:color w:val="000000"/>
                <w:sz w:val="18"/>
                <w:szCs w:val="18"/>
                <w:lang w:eastAsia="es-CR"/>
              </w:rPr>
              <w:t xml:space="preserve">Lo pueden utilizar cualquier día de la semana </w:t>
            </w:r>
          </w:p>
        </w:tc>
        <w:tc>
          <w:tcPr>
            <w:tcW w:w="1336" w:type="dxa"/>
            <w:tcBorders>
              <w:top w:val="nil"/>
              <w:left w:val="nil"/>
              <w:bottom w:val="double" w:sz="6" w:space="0" w:color="1F497D"/>
              <w:right w:val="double" w:sz="6" w:space="0" w:color="1F497D"/>
            </w:tcBorders>
            <w:vAlign w:val="center"/>
            <w:hideMark/>
          </w:tcPr>
          <w:p w14:paraId="40D1441A"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18</w:t>
            </w:r>
          </w:p>
        </w:tc>
        <w:tc>
          <w:tcPr>
            <w:tcW w:w="1336" w:type="dxa"/>
            <w:tcBorders>
              <w:top w:val="nil"/>
              <w:left w:val="nil"/>
              <w:bottom w:val="double" w:sz="6" w:space="0" w:color="1F497D"/>
              <w:right w:val="double" w:sz="6" w:space="0" w:color="1F497D"/>
            </w:tcBorders>
            <w:vAlign w:val="center"/>
            <w:hideMark/>
          </w:tcPr>
          <w:p w14:paraId="372E65F3"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18</w:t>
            </w:r>
          </w:p>
        </w:tc>
        <w:tc>
          <w:tcPr>
            <w:tcW w:w="1197" w:type="dxa"/>
            <w:tcBorders>
              <w:top w:val="nil"/>
              <w:left w:val="nil"/>
              <w:bottom w:val="double" w:sz="6" w:space="0" w:color="1F497D"/>
              <w:right w:val="double" w:sz="6" w:space="0" w:color="1F497D"/>
            </w:tcBorders>
            <w:vAlign w:val="center"/>
            <w:hideMark/>
          </w:tcPr>
          <w:p w14:paraId="0A09E037"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100%</w:t>
            </w:r>
          </w:p>
        </w:tc>
        <w:tc>
          <w:tcPr>
            <w:tcW w:w="919" w:type="dxa"/>
            <w:tcBorders>
              <w:top w:val="nil"/>
              <w:left w:val="nil"/>
              <w:bottom w:val="double" w:sz="6" w:space="0" w:color="1F497D"/>
              <w:right w:val="double" w:sz="6" w:space="0" w:color="1F497D"/>
            </w:tcBorders>
            <w:vAlign w:val="center"/>
            <w:hideMark/>
          </w:tcPr>
          <w:p w14:paraId="37EB55A7"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w:t>
            </w:r>
          </w:p>
        </w:tc>
        <w:tc>
          <w:tcPr>
            <w:tcW w:w="1228" w:type="dxa"/>
            <w:tcBorders>
              <w:top w:val="nil"/>
              <w:left w:val="nil"/>
              <w:bottom w:val="double" w:sz="6" w:space="0" w:color="1F497D"/>
              <w:right w:val="double" w:sz="6" w:space="0" w:color="1F497D"/>
            </w:tcBorders>
            <w:vAlign w:val="center"/>
            <w:hideMark/>
          </w:tcPr>
          <w:p w14:paraId="5A41BFEF"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16</w:t>
            </w:r>
          </w:p>
        </w:tc>
        <w:tc>
          <w:tcPr>
            <w:tcW w:w="1197" w:type="dxa"/>
            <w:tcBorders>
              <w:top w:val="nil"/>
              <w:left w:val="nil"/>
              <w:bottom w:val="double" w:sz="6" w:space="0" w:color="1F497D"/>
              <w:right w:val="double" w:sz="6" w:space="0" w:color="1F497D"/>
            </w:tcBorders>
            <w:vAlign w:val="center"/>
            <w:hideMark/>
          </w:tcPr>
          <w:p w14:paraId="276D0C9E"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111%</w:t>
            </w:r>
          </w:p>
        </w:tc>
        <w:tc>
          <w:tcPr>
            <w:tcW w:w="1337" w:type="dxa"/>
            <w:tcBorders>
              <w:top w:val="nil"/>
              <w:left w:val="nil"/>
              <w:bottom w:val="double" w:sz="6" w:space="0" w:color="1F497D"/>
              <w:right w:val="double" w:sz="6" w:space="0" w:color="1F497D"/>
            </w:tcBorders>
            <w:vAlign w:val="center"/>
            <w:hideMark/>
          </w:tcPr>
          <w:p w14:paraId="1D89C63E"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04/05/2023</w:t>
            </w:r>
          </w:p>
        </w:tc>
        <w:tc>
          <w:tcPr>
            <w:tcW w:w="931" w:type="dxa"/>
            <w:tcBorders>
              <w:top w:val="nil"/>
              <w:left w:val="nil"/>
              <w:bottom w:val="double" w:sz="6" w:space="0" w:color="1F497D"/>
              <w:right w:val="double" w:sz="6" w:space="0" w:color="1F497D"/>
            </w:tcBorders>
            <w:vAlign w:val="center"/>
            <w:hideMark/>
          </w:tcPr>
          <w:p w14:paraId="4986FEE1"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99</w:t>
            </w:r>
          </w:p>
        </w:tc>
        <w:tc>
          <w:tcPr>
            <w:tcW w:w="1252" w:type="dxa"/>
            <w:tcBorders>
              <w:top w:val="nil"/>
              <w:left w:val="nil"/>
              <w:bottom w:val="double" w:sz="6" w:space="0" w:color="1F497D"/>
              <w:right w:val="double" w:sz="6" w:space="0" w:color="1F497D"/>
            </w:tcBorders>
            <w:vAlign w:val="center"/>
            <w:hideMark/>
          </w:tcPr>
          <w:p w14:paraId="5AECED15"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58</w:t>
            </w:r>
          </w:p>
        </w:tc>
        <w:tc>
          <w:tcPr>
            <w:tcW w:w="146" w:type="dxa"/>
            <w:vAlign w:val="center"/>
            <w:hideMark/>
          </w:tcPr>
          <w:p w14:paraId="4E501552" w14:textId="77777777" w:rsidR="00D41A63" w:rsidRPr="00033E65" w:rsidRDefault="00D41A63" w:rsidP="00D41A63">
            <w:pPr>
              <w:spacing w:before="0" w:after="0"/>
              <w:jc w:val="left"/>
              <w:rPr>
                <w:rFonts w:ascii="Times New Roman" w:hAnsi="Times New Roman"/>
                <w:sz w:val="20"/>
                <w:lang w:eastAsia="es-CR"/>
              </w:rPr>
            </w:pPr>
          </w:p>
        </w:tc>
      </w:tr>
      <w:tr w:rsidR="00D41A63" w:rsidRPr="00033E65" w14:paraId="1C8D56D7" w14:textId="77777777" w:rsidTr="00274042">
        <w:trPr>
          <w:trHeight w:val="20"/>
        </w:trPr>
        <w:tc>
          <w:tcPr>
            <w:tcW w:w="1739" w:type="dxa"/>
            <w:tcBorders>
              <w:top w:val="nil"/>
              <w:left w:val="double" w:sz="6" w:space="0" w:color="1F497D"/>
              <w:bottom w:val="double" w:sz="6" w:space="0" w:color="1F497D"/>
              <w:right w:val="double" w:sz="6" w:space="0" w:color="1F497D"/>
            </w:tcBorders>
            <w:vAlign w:val="center"/>
            <w:hideMark/>
          </w:tcPr>
          <w:p w14:paraId="76C2FBAF" w14:textId="77777777" w:rsidR="00D41A63" w:rsidRPr="00033E65" w:rsidRDefault="00D41A63" w:rsidP="00951D3E">
            <w:pPr>
              <w:spacing w:before="0" w:after="0"/>
              <w:jc w:val="left"/>
              <w:rPr>
                <w:rFonts w:cs="Calibri"/>
                <w:color w:val="000000"/>
                <w:szCs w:val="22"/>
                <w:lang w:eastAsia="es-CR"/>
              </w:rPr>
            </w:pPr>
            <w:r w:rsidRPr="00033E65">
              <w:rPr>
                <w:rFonts w:cs="Calibri"/>
                <w:color w:val="000000"/>
                <w:szCs w:val="22"/>
                <w:lang w:eastAsia="es-CR"/>
              </w:rPr>
              <w:t>Juzgado Agrario del II C.J. San José</w:t>
            </w:r>
          </w:p>
        </w:tc>
        <w:tc>
          <w:tcPr>
            <w:tcW w:w="1547" w:type="dxa"/>
            <w:tcBorders>
              <w:top w:val="nil"/>
              <w:left w:val="nil"/>
              <w:bottom w:val="double" w:sz="6" w:space="0" w:color="1F497D"/>
              <w:right w:val="double" w:sz="6" w:space="0" w:color="1F497D"/>
            </w:tcBorders>
            <w:vAlign w:val="center"/>
            <w:hideMark/>
          </w:tcPr>
          <w:p w14:paraId="313E4D81" w14:textId="77777777" w:rsidR="00D41A63" w:rsidRPr="00033E65" w:rsidRDefault="00D41A63" w:rsidP="00951D3E">
            <w:pPr>
              <w:spacing w:before="0" w:after="0"/>
              <w:jc w:val="left"/>
              <w:rPr>
                <w:rFonts w:cs="Calibri"/>
                <w:color w:val="000000"/>
                <w:sz w:val="18"/>
                <w:szCs w:val="18"/>
                <w:lang w:eastAsia="es-CR"/>
              </w:rPr>
            </w:pPr>
            <w:r w:rsidRPr="00033E65">
              <w:rPr>
                <w:rFonts w:cs="Calibri"/>
                <w:color w:val="000000"/>
                <w:sz w:val="18"/>
                <w:szCs w:val="18"/>
                <w:lang w:eastAsia="es-CR"/>
              </w:rPr>
              <w:t>Martes y viernes</w:t>
            </w:r>
          </w:p>
        </w:tc>
        <w:tc>
          <w:tcPr>
            <w:tcW w:w="1336" w:type="dxa"/>
            <w:tcBorders>
              <w:top w:val="nil"/>
              <w:left w:val="nil"/>
              <w:bottom w:val="double" w:sz="6" w:space="0" w:color="1F497D"/>
              <w:right w:val="double" w:sz="6" w:space="0" w:color="1F497D"/>
            </w:tcBorders>
            <w:vAlign w:val="center"/>
            <w:hideMark/>
          </w:tcPr>
          <w:p w14:paraId="3E301B1D"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8</w:t>
            </w:r>
          </w:p>
        </w:tc>
        <w:tc>
          <w:tcPr>
            <w:tcW w:w="1336" w:type="dxa"/>
            <w:tcBorders>
              <w:top w:val="nil"/>
              <w:left w:val="nil"/>
              <w:bottom w:val="double" w:sz="6" w:space="0" w:color="1F497D"/>
              <w:right w:val="double" w:sz="6" w:space="0" w:color="1F497D"/>
            </w:tcBorders>
            <w:vAlign w:val="center"/>
            <w:hideMark/>
          </w:tcPr>
          <w:p w14:paraId="568D0BCA"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8</w:t>
            </w:r>
          </w:p>
        </w:tc>
        <w:tc>
          <w:tcPr>
            <w:tcW w:w="1197" w:type="dxa"/>
            <w:tcBorders>
              <w:top w:val="nil"/>
              <w:left w:val="nil"/>
              <w:bottom w:val="double" w:sz="6" w:space="0" w:color="1F497D"/>
              <w:right w:val="double" w:sz="6" w:space="0" w:color="1F497D"/>
            </w:tcBorders>
            <w:vAlign w:val="center"/>
            <w:hideMark/>
          </w:tcPr>
          <w:p w14:paraId="7C0A1F91"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100%</w:t>
            </w:r>
          </w:p>
        </w:tc>
        <w:tc>
          <w:tcPr>
            <w:tcW w:w="919" w:type="dxa"/>
            <w:tcBorders>
              <w:top w:val="nil"/>
              <w:left w:val="nil"/>
              <w:bottom w:val="double" w:sz="6" w:space="0" w:color="1F497D"/>
              <w:right w:val="double" w:sz="6" w:space="0" w:color="1F497D"/>
            </w:tcBorders>
            <w:vAlign w:val="center"/>
            <w:hideMark/>
          </w:tcPr>
          <w:p w14:paraId="2B6A000D"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w:t>
            </w:r>
          </w:p>
        </w:tc>
        <w:tc>
          <w:tcPr>
            <w:tcW w:w="1228" w:type="dxa"/>
            <w:tcBorders>
              <w:top w:val="nil"/>
              <w:left w:val="nil"/>
              <w:bottom w:val="double" w:sz="6" w:space="0" w:color="1F497D"/>
              <w:right w:val="double" w:sz="6" w:space="0" w:color="1F497D"/>
            </w:tcBorders>
            <w:vAlign w:val="center"/>
            <w:hideMark/>
          </w:tcPr>
          <w:p w14:paraId="1C90CEAA"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16</w:t>
            </w:r>
          </w:p>
        </w:tc>
        <w:tc>
          <w:tcPr>
            <w:tcW w:w="1197" w:type="dxa"/>
            <w:tcBorders>
              <w:top w:val="nil"/>
              <w:left w:val="nil"/>
              <w:bottom w:val="double" w:sz="6" w:space="0" w:color="1F497D"/>
              <w:right w:val="double" w:sz="6" w:space="0" w:color="1F497D"/>
            </w:tcBorders>
            <w:vAlign w:val="center"/>
            <w:hideMark/>
          </w:tcPr>
          <w:p w14:paraId="7A54FE5C"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48%</w:t>
            </w:r>
          </w:p>
        </w:tc>
        <w:tc>
          <w:tcPr>
            <w:tcW w:w="1337" w:type="dxa"/>
            <w:tcBorders>
              <w:top w:val="nil"/>
              <w:left w:val="nil"/>
              <w:bottom w:val="double" w:sz="6" w:space="0" w:color="1F497D"/>
              <w:right w:val="double" w:sz="6" w:space="0" w:color="1F497D"/>
            </w:tcBorders>
            <w:vAlign w:val="center"/>
            <w:hideMark/>
          </w:tcPr>
          <w:p w14:paraId="29AF0EE0"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23/05/2023</w:t>
            </w:r>
          </w:p>
        </w:tc>
        <w:tc>
          <w:tcPr>
            <w:tcW w:w="931" w:type="dxa"/>
            <w:tcBorders>
              <w:top w:val="nil"/>
              <w:left w:val="nil"/>
              <w:bottom w:val="double" w:sz="6" w:space="0" w:color="1F497D"/>
              <w:right w:val="double" w:sz="6" w:space="0" w:color="1F497D"/>
            </w:tcBorders>
            <w:vAlign w:val="center"/>
            <w:hideMark/>
          </w:tcPr>
          <w:p w14:paraId="3BDA802A"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117</w:t>
            </w:r>
          </w:p>
        </w:tc>
        <w:tc>
          <w:tcPr>
            <w:tcW w:w="1252" w:type="dxa"/>
            <w:tcBorders>
              <w:top w:val="nil"/>
              <w:left w:val="nil"/>
              <w:bottom w:val="double" w:sz="6" w:space="0" w:color="1F497D"/>
              <w:right w:val="double" w:sz="6" w:space="0" w:color="1F497D"/>
            </w:tcBorders>
            <w:vAlign w:val="center"/>
            <w:hideMark/>
          </w:tcPr>
          <w:p w14:paraId="4873AE76"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47</w:t>
            </w:r>
          </w:p>
        </w:tc>
        <w:tc>
          <w:tcPr>
            <w:tcW w:w="146" w:type="dxa"/>
            <w:vAlign w:val="center"/>
            <w:hideMark/>
          </w:tcPr>
          <w:p w14:paraId="18F8D197" w14:textId="77777777" w:rsidR="00D41A63" w:rsidRPr="00033E65" w:rsidRDefault="00D41A63" w:rsidP="00D41A63">
            <w:pPr>
              <w:spacing w:before="0" w:after="0"/>
              <w:jc w:val="left"/>
              <w:rPr>
                <w:rFonts w:ascii="Times New Roman" w:hAnsi="Times New Roman"/>
                <w:sz w:val="20"/>
                <w:lang w:eastAsia="es-CR"/>
              </w:rPr>
            </w:pPr>
          </w:p>
        </w:tc>
      </w:tr>
      <w:tr w:rsidR="00D41A63" w:rsidRPr="00033E65" w14:paraId="216721C7" w14:textId="77777777" w:rsidTr="00274042">
        <w:trPr>
          <w:trHeight w:val="20"/>
        </w:trPr>
        <w:tc>
          <w:tcPr>
            <w:tcW w:w="1739" w:type="dxa"/>
            <w:tcBorders>
              <w:top w:val="nil"/>
              <w:left w:val="double" w:sz="6" w:space="0" w:color="1F497D"/>
              <w:bottom w:val="double" w:sz="6" w:space="0" w:color="1F497D"/>
              <w:right w:val="double" w:sz="6" w:space="0" w:color="1F497D"/>
            </w:tcBorders>
            <w:vAlign w:val="center"/>
            <w:hideMark/>
          </w:tcPr>
          <w:p w14:paraId="7549266E" w14:textId="77777777" w:rsidR="00D41A63" w:rsidRPr="00033E65" w:rsidRDefault="00D41A63" w:rsidP="00951D3E">
            <w:pPr>
              <w:spacing w:before="0" w:after="0"/>
              <w:jc w:val="left"/>
              <w:rPr>
                <w:rFonts w:cs="Calibri"/>
                <w:color w:val="000000"/>
                <w:szCs w:val="22"/>
                <w:lang w:eastAsia="es-CR"/>
              </w:rPr>
            </w:pPr>
            <w:r w:rsidRPr="00033E65">
              <w:rPr>
                <w:rFonts w:cs="Calibri"/>
                <w:color w:val="000000"/>
                <w:szCs w:val="22"/>
                <w:lang w:eastAsia="es-CR"/>
              </w:rPr>
              <w:t>Juzgado Agrario de Puntarenas, Sede Jicaral</w:t>
            </w:r>
          </w:p>
        </w:tc>
        <w:tc>
          <w:tcPr>
            <w:tcW w:w="1547" w:type="dxa"/>
            <w:tcBorders>
              <w:top w:val="nil"/>
              <w:left w:val="nil"/>
              <w:bottom w:val="double" w:sz="6" w:space="0" w:color="1F497D"/>
              <w:right w:val="double" w:sz="6" w:space="0" w:color="1F497D"/>
            </w:tcBorders>
            <w:vAlign w:val="center"/>
            <w:hideMark/>
          </w:tcPr>
          <w:p w14:paraId="1254503C" w14:textId="77777777" w:rsidR="00D41A63" w:rsidRPr="00033E65" w:rsidRDefault="00D41A63" w:rsidP="00951D3E">
            <w:pPr>
              <w:spacing w:before="0" w:after="0"/>
              <w:jc w:val="left"/>
              <w:rPr>
                <w:rFonts w:cs="Calibri"/>
                <w:color w:val="000000"/>
                <w:sz w:val="18"/>
                <w:szCs w:val="18"/>
                <w:lang w:eastAsia="es-CR"/>
              </w:rPr>
            </w:pPr>
            <w:r w:rsidRPr="00033E65">
              <w:rPr>
                <w:rFonts w:cs="Calibri"/>
                <w:color w:val="000000"/>
                <w:sz w:val="18"/>
                <w:szCs w:val="18"/>
                <w:lang w:eastAsia="es-CR"/>
              </w:rPr>
              <w:t xml:space="preserve">Lo pueden utilizar cualquier día de la semana </w:t>
            </w:r>
          </w:p>
        </w:tc>
        <w:tc>
          <w:tcPr>
            <w:tcW w:w="1336" w:type="dxa"/>
            <w:tcBorders>
              <w:top w:val="nil"/>
              <w:left w:val="nil"/>
              <w:bottom w:val="double" w:sz="6" w:space="0" w:color="1F497D"/>
              <w:right w:val="double" w:sz="6" w:space="0" w:color="1F497D"/>
            </w:tcBorders>
            <w:vAlign w:val="center"/>
            <w:hideMark/>
          </w:tcPr>
          <w:p w14:paraId="4796D474" w14:textId="77777777" w:rsidR="00D41A63" w:rsidRPr="00033E65" w:rsidRDefault="00D41A63" w:rsidP="00951D3E">
            <w:pPr>
              <w:spacing w:before="0" w:after="0"/>
              <w:jc w:val="center"/>
              <w:rPr>
                <w:rFonts w:cs="Calibri"/>
                <w:color w:val="244061" w:themeColor="accent1" w:themeShade="80"/>
                <w:szCs w:val="22"/>
                <w:lang w:eastAsia="es-CR"/>
              </w:rPr>
            </w:pPr>
            <w:r w:rsidRPr="00033E65">
              <w:rPr>
                <w:rFonts w:cs="Calibri"/>
                <w:color w:val="244061" w:themeColor="accent1" w:themeShade="80"/>
                <w:szCs w:val="22"/>
                <w:lang w:eastAsia="es-CR"/>
              </w:rPr>
              <w:t>*Nota</w:t>
            </w:r>
          </w:p>
        </w:tc>
        <w:tc>
          <w:tcPr>
            <w:tcW w:w="1336" w:type="dxa"/>
            <w:tcBorders>
              <w:top w:val="nil"/>
              <w:left w:val="nil"/>
              <w:bottom w:val="double" w:sz="6" w:space="0" w:color="1F497D"/>
              <w:right w:val="double" w:sz="6" w:space="0" w:color="1F497D"/>
            </w:tcBorders>
            <w:vAlign w:val="center"/>
            <w:hideMark/>
          </w:tcPr>
          <w:p w14:paraId="00614B00" w14:textId="77777777" w:rsidR="00D41A63" w:rsidRPr="00033E65" w:rsidRDefault="00D41A63" w:rsidP="00951D3E">
            <w:pPr>
              <w:spacing w:before="0" w:after="0"/>
              <w:jc w:val="center"/>
              <w:rPr>
                <w:rFonts w:cs="Calibri"/>
                <w:color w:val="244061" w:themeColor="accent1" w:themeShade="80"/>
                <w:szCs w:val="22"/>
                <w:lang w:eastAsia="es-CR"/>
              </w:rPr>
            </w:pPr>
            <w:r w:rsidRPr="00033E65">
              <w:rPr>
                <w:rFonts w:cs="Calibri"/>
                <w:color w:val="244061" w:themeColor="accent1" w:themeShade="80"/>
                <w:szCs w:val="22"/>
                <w:lang w:eastAsia="es-CR"/>
              </w:rPr>
              <w:t>*Nota</w:t>
            </w:r>
          </w:p>
        </w:tc>
        <w:tc>
          <w:tcPr>
            <w:tcW w:w="1197" w:type="dxa"/>
            <w:tcBorders>
              <w:top w:val="nil"/>
              <w:left w:val="nil"/>
              <w:bottom w:val="double" w:sz="6" w:space="0" w:color="1F497D"/>
              <w:right w:val="double" w:sz="6" w:space="0" w:color="1F497D"/>
            </w:tcBorders>
            <w:vAlign w:val="center"/>
            <w:hideMark/>
          </w:tcPr>
          <w:p w14:paraId="2F86DED9" w14:textId="77777777" w:rsidR="00D41A63" w:rsidRPr="00033E65" w:rsidRDefault="00D41A63" w:rsidP="00951D3E">
            <w:pPr>
              <w:spacing w:before="0" w:after="0"/>
              <w:jc w:val="center"/>
              <w:rPr>
                <w:rFonts w:cs="Calibri"/>
                <w:color w:val="244061" w:themeColor="accent1" w:themeShade="80"/>
                <w:szCs w:val="22"/>
                <w:lang w:eastAsia="es-CR"/>
              </w:rPr>
            </w:pPr>
            <w:r w:rsidRPr="00033E65">
              <w:rPr>
                <w:rFonts w:cs="Calibri"/>
                <w:color w:val="244061" w:themeColor="accent1" w:themeShade="80"/>
                <w:szCs w:val="22"/>
                <w:lang w:eastAsia="es-CR"/>
              </w:rPr>
              <w:t>*Nota</w:t>
            </w:r>
          </w:p>
        </w:tc>
        <w:tc>
          <w:tcPr>
            <w:tcW w:w="919" w:type="dxa"/>
            <w:tcBorders>
              <w:top w:val="nil"/>
              <w:left w:val="nil"/>
              <w:bottom w:val="double" w:sz="6" w:space="0" w:color="1F497D"/>
              <w:right w:val="double" w:sz="6" w:space="0" w:color="1F497D"/>
            </w:tcBorders>
            <w:vAlign w:val="center"/>
            <w:hideMark/>
          </w:tcPr>
          <w:p w14:paraId="641FE5E0"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1</w:t>
            </w:r>
          </w:p>
        </w:tc>
        <w:tc>
          <w:tcPr>
            <w:tcW w:w="1228" w:type="dxa"/>
            <w:tcBorders>
              <w:top w:val="nil"/>
              <w:left w:val="nil"/>
              <w:bottom w:val="double" w:sz="6" w:space="0" w:color="1F497D"/>
              <w:right w:val="double" w:sz="6" w:space="0" w:color="1F497D"/>
            </w:tcBorders>
            <w:vAlign w:val="center"/>
            <w:hideMark/>
          </w:tcPr>
          <w:p w14:paraId="36C2AFB2"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8</w:t>
            </w:r>
          </w:p>
        </w:tc>
        <w:tc>
          <w:tcPr>
            <w:tcW w:w="1197" w:type="dxa"/>
            <w:tcBorders>
              <w:top w:val="nil"/>
              <w:left w:val="nil"/>
              <w:bottom w:val="double" w:sz="6" w:space="0" w:color="1F497D"/>
              <w:right w:val="double" w:sz="6" w:space="0" w:color="1F497D"/>
            </w:tcBorders>
            <w:vAlign w:val="center"/>
            <w:hideMark/>
          </w:tcPr>
          <w:p w14:paraId="65DB1A07" w14:textId="21A1C666" w:rsidR="00D41A63" w:rsidRPr="00033E65" w:rsidRDefault="00D42C9D" w:rsidP="00951D3E">
            <w:pPr>
              <w:spacing w:before="0" w:after="0"/>
              <w:jc w:val="center"/>
              <w:rPr>
                <w:rFonts w:cs="Calibri"/>
                <w:color w:val="000000"/>
                <w:szCs w:val="22"/>
                <w:lang w:eastAsia="es-CR"/>
              </w:rPr>
            </w:pPr>
            <w:r w:rsidRPr="00033E65">
              <w:rPr>
                <w:rFonts w:cs="Calibri"/>
                <w:color w:val="244061" w:themeColor="accent1" w:themeShade="80"/>
                <w:szCs w:val="22"/>
                <w:lang w:eastAsia="es-CR"/>
              </w:rPr>
              <w:t>*</w:t>
            </w:r>
          </w:p>
        </w:tc>
        <w:tc>
          <w:tcPr>
            <w:tcW w:w="1337" w:type="dxa"/>
            <w:tcBorders>
              <w:top w:val="nil"/>
              <w:left w:val="nil"/>
              <w:bottom w:val="double" w:sz="6" w:space="0" w:color="1F497D"/>
              <w:right w:val="double" w:sz="6" w:space="0" w:color="1F497D"/>
            </w:tcBorders>
            <w:vAlign w:val="center"/>
            <w:hideMark/>
          </w:tcPr>
          <w:p w14:paraId="21825AA2"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23/03/2023</w:t>
            </w:r>
          </w:p>
        </w:tc>
        <w:tc>
          <w:tcPr>
            <w:tcW w:w="931" w:type="dxa"/>
            <w:tcBorders>
              <w:top w:val="nil"/>
              <w:left w:val="nil"/>
              <w:bottom w:val="double" w:sz="6" w:space="0" w:color="1F497D"/>
              <w:right w:val="double" w:sz="6" w:space="0" w:color="1F497D"/>
            </w:tcBorders>
            <w:vAlign w:val="center"/>
            <w:hideMark/>
          </w:tcPr>
          <w:p w14:paraId="20DBB565"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55</w:t>
            </w:r>
          </w:p>
        </w:tc>
        <w:tc>
          <w:tcPr>
            <w:tcW w:w="1252" w:type="dxa"/>
            <w:tcBorders>
              <w:top w:val="nil"/>
              <w:left w:val="nil"/>
              <w:bottom w:val="double" w:sz="6" w:space="0" w:color="1F497D"/>
              <w:right w:val="double" w:sz="6" w:space="0" w:color="1F497D"/>
            </w:tcBorders>
            <w:vAlign w:val="center"/>
            <w:hideMark/>
          </w:tcPr>
          <w:p w14:paraId="27CAB48A" w14:textId="77777777" w:rsidR="00D41A63" w:rsidRPr="00033E65" w:rsidRDefault="00D41A63" w:rsidP="00951D3E">
            <w:pPr>
              <w:spacing w:before="0" w:after="0"/>
              <w:jc w:val="center"/>
              <w:rPr>
                <w:rFonts w:cs="Calibri"/>
                <w:color w:val="000000"/>
                <w:szCs w:val="22"/>
                <w:lang w:eastAsia="es-CR"/>
              </w:rPr>
            </w:pPr>
            <w:r w:rsidRPr="00033E65">
              <w:rPr>
                <w:rFonts w:cs="Calibri"/>
                <w:color w:val="000000"/>
                <w:szCs w:val="22"/>
                <w:lang w:eastAsia="es-CR"/>
              </w:rPr>
              <w:t>0</w:t>
            </w:r>
          </w:p>
        </w:tc>
        <w:tc>
          <w:tcPr>
            <w:tcW w:w="146" w:type="dxa"/>
            <w:vAlign w:val="center"/>
            <w:hideMark/>
          </w:tcPr>
          <w:p w14:paraId="267CEB99" w14:textId="77777777" w:rsidR="00D41A63" w:rsidRPr="00033E65" w:rsidRDefault="00D41A63" w:rsidP="00D41A63">
            <w:pPr>
              <w:spacing w:before="0" w:after="0"/>
              <w:jc w:val="left"/>
              <w:rPr>
                <w:rFonts w:ascii="Times New Roman" w:hAnsi="Times New Roman"/>
                <w:sz w:val="20"/>
                <w:lang w:eastAsia="es-CR"/>
              </w:rPr>
            </w:pPr>
          </w:p>
        </w:tc>
      </w:tr>
    </w:tbl>
    <w:p w14:paraId="6A3381B4" w14:textId="65E202F1" w:rsidR="00482B61" w:rsidRPr="00033E65" w:rsidRDefault="00482B61" w:rsidP="00482B61">
      <w:pPr>
        <w:rPr>
          <w:b/>
          <w:i/>
          <w:sz w:val="18"/>
          <w:lang w:eastAsia="en-US"/>
        </w:rPr>
      </w:pPr>
      <w:r w:rsidRPr="00033E65">
        <w:rPr>
          <w:b/>
          <w:i/>
          <w:sz w:val="18"/>
          <w:lang w:eastAsia="en-US"/>
        </w:rPr>
        <w:t xml:space="preserve">Fuente: Subproceso de Modernización Institucional, área No Penal, solicitud de información a las Administraciones Regionales de cada Circuito Judicial y matrices de Indicadores de Gestión a diciembre 2022.   </w:t>
      </w:r>
    </w:p>
    <w:p w14:paraId="3A358FB5" w14:textId="13C29173" w:rsidR="00F52071" w:rsidRPr="00033E65" w:rsidRDefault="00482B61" w:rsidP="000759E1">
      <w:pPr>
        <w:rPr>
          <w:b/>
          <w:i/>
          <w:color w:val="244061" w:themeColor="accent1" w:themeShade="80"/>
          <w:sz w:val="18"/>
          <w:lang w:eastAsia="en-US"/>
        </w:rPr>
      </w:pPr>
      <w:r w:rsidRPr="00033E65">
        <w:rPr>
          <w:b/>
          <w:i/>
          <w:color w:val="244061" w:themeColor="accent1" w:themeShade="80"/>
          <w:sz w:val="18"/>
          <w:lang w:eastAsia="en-US"/>
        </w:rPr>
        <w:t xml:space="preserve">*Nota: La Administración </w:t>
      </w:r>
      <w:r w:rsidR="00462A9F" w:rsidRPr="00033E65">
        <w:rPr>
          <w:b/>
          <w:i/>
          <w:color w:val="244061" w:themeColor="accent1" w:themeShade="80"/>
          <w:sz w:val="18"/>
          <w:lang w:eastAsia="en-US"/>
        </w:rPr>
        <w:t>de Nicoya asigna un vehículo al despacho sin chofer,</w:t>
      </w:r>
      <w:r w:rsidRPr="00033E65">
        <w:rPr>
          <w:b/>
          <w:i/>
          <w:color w:val="244061" w:themeColor="accent1" w:themeShade="80"/>
          <w:sz w:val="18"/>
          <w:lang w:eastAsia="en-US"/>
        </w:rPr>
        <w:t xml:space="preserve"> por lo que, </w:t>
      </w:r>
      <w:r w:rsidR="00462A9F" w:rsidRPr="00033E65">
        <w:rPr>
          <w:b/>
          <w:i/>
          <w:color w:val="244061" w:themeColor="accent1" w:themeShade="80"/>
          <w:sz w:val="18"/>
          <w:lang w:eastAsia="en-US"/>
        </w:rPr>
        <w:t>el vehículo</w:t>
      </w:r>
      <w:r w:rsidRPr="00033E65">
        <w:rPr>
          <w:b/>
          <w:i/>
          <w:color w:val="244061" w:themeColor="accent1" w:themeShade="80"/>
          <w:sz w:val="18"/>
          <w:lang w:eastAsia="en-US"/>
        </w:rPr>
        <w:t xml:space="preserve"> </w:t>
      </w:r>
      <w:r w:rsidR="00462A9F" w:rsidRPr="00033E65">
        <w:rPr>
          <w:b/>
          <w:i/>
          <w:color w:val="244061" w:themeColor="accent1" w:themeShade="80"/>
          <w:sz w:val="18"/>
          <w:lang w:eastAsia="en-US"/>
        </w:rPr>
        <w:t>es conducido</w:t>
      </w:r>
      <w:r w:rsidRPr="00033E65">
        <w:rPr>
          <w:b/>
          <w:i/>
          <w:color w:val="244061" w:themeColor="accent1" w:themeShade="80"/>
          <w:sz w:val="18"/>
          <w:lang w:eastAsia="en-US"/>
        </w:rPr>
        <w:t xml:space="preserve"> por las personas autorizadas y ellos mismos administran </w:t>
      </w:r>
      <w:r w:rsidR="00D0686B" w:rsidRPr="00033E65">
        <w:rPr>
          <w:b/>
          <w:i/>
          <w:color w:val="244061" w:themeColor="accent1" w:themeShade="80"/>
          <w:sz w:val="18"/>
          <w:lang w:eastAsia="en-US"/>
        </w:rPr>
        <w:t>el</w:t>
      </w:r>
      <w:r w:rsidRPr="00033E65">
        <w:rPr>
          <w:b/>
          <w:i/>
          <w:color w:val="244061" w:themeColor="accent1" w:themeShade="80"/>
          <w:sz w:val="18"/>
          <w:lang w:eastAsia="en-US"/>
        </w:rPr>
        <w:t xml:space="preserve"> servicio.</w:t>
      </w:r>
    </w:p>
    <w:tbl>
      <w:tblPr>
        <w:tblpPr w:leftFromText="141" w:rightFromText="141" w:vertAnchor="text" w:horzAnchor="page" w:tblpX="361" w:tblpY="-8305"/>
        <w:tblW w:w="62" w:type="pct"/>
        <w:tblLayout w:type="fixed"/>
        <w:tblCellMar>
          <w:left w:w="70" w:type="dxa"/>
          <w:right w:w="70" w:type="dxa"/>
        </w:tblCellMar>
        <w:tblLook w:val="04A0" w:firstRow="1" w:lastRow="0" w:firstColumn="1" w:lastColumn="0" w:noHBand="0" w:noVBand="1"/>
      </w:tblPr>
      <w:tblGrid>
        <w:gridCol w:w="161"/>
      </w:tblGrid>
      <w:tr w:rsidR="00CE5522" w:rsidRPr="00033E65" w14:paraId="2A458855" w14:textId="77777777" w:rsidTr="001641FD">
        <w:trPr>
          <w:trHeight w:val="20"/>
          <w:tblHeader/>
        </w:trPr>
        <w:tc>
          <w:tcPr>
            <w:tcW w:w="5000" w:type="pct"/>
            <w:tcBorders>
              <w:top w:val="nil"/>
              <w:left w:val="nil"/>
              <w:bottom w:val="nil"/>
              <w:right w:val="nil"/>
            </w:tcBorders>
            <w:shd w:val="clear" w:color="auto" w:fill="auto"/>
            <w:noWrap/>
            <w:vAlign w:val="bottom"/>
            <w:hideMark/>
          </w:tcPr>
          <w:p w14:paraId="718F8746" w14:textId="77777777" w:rsidR="001641FD" w:rsidRPr="00033E65" w:rsidRDefault="001641FD" w:rsidP="00F52071">
            <w:pPr>
              <w:spacing w:before="0" w:after="0"/>
              <w:jc w:val="center"/>
              <w:rPr>
                <w:rFonts w:cs="Calibri"/>
                <w:b/>
                <w:color w:val="244061" w:themeColor="accent1" w:themeShade="80"/>
                <w:sz w:val="20"/>
                <w:lang w:val="es-MX" w:eastAsia="es-MX"/>
              </w:rPr>
            </w:pPr>
          </w:p>
        </w:tc>
      </w:tr>
      <w:tr w:rsidR="00CE5522" w:rsidRPr="00033E65" w14:paraId="2148721E" w14:textId="77777777" w:rsidTr="001641FD">
        <w:trPr>
          <w:trHeight w:val="862"/>
        </w:trPr>
        <w:tc>
          <w:tcPr>
            <w:tcW w:w="5000" w:type="pct"/>
            <w:vAlign w:val="center"/>
            <w:hideMark/>
          </w:tcPr>
          <w:p w14:paraId="779B70EF" w14:textId="77777777" w:rsidR="001641FD" w:rsidRPr="00033E65" w:rsidRDefault="001641FD" w:rsidP="00F52071">
            <w:pPr>
              <w:spacing w:before="0" w:after="0"/>
              <w:jc w:val="left"/>
              <w:rPr>
                <w:rFonts w:ascii="Times New Roman" w:hAnsi="Times New Roman"/>
                <w:color w:val="244061" w:themeColor="accent1" w:themeShade="80"/>
                <w:sz w:val="20"/>
                <w:lang w:val="es-MX" w:eastAsia="es-MX"/>
              </w:rPr>
            </w:pPr>
          </w:p>
        </w:tc>
      </w:tr>
    </w:tbl>
    <w:p w14:paraId="3B5F5BDF" w14:textId="75C5246C" w:rsidR="00360BB6" w:rsidRPr="00033E65" w:rsidRDefault="00360BB6" w:rsidP="00360BB6">
      <w:pPr>
        <w:tabs>
          <w:tab w:val="left" w:pos="2204"/>
        </w:tabs>
        <w:rPr>
          <w:b/>
          <w:i/>
          <w:color w:val="244061" w:themeColor="accent1" w:themeShade="80"/>
          <w:sz w:val="18"/>
          <w:lang w:eastAsia="en-US"/>
        </w:rPr>
      </w:pPr>
    </w:p>
    <w:p w14:paraId="722D85D5" w14:textId="54544E28" w:rsidR="00360BB6" w:rsidRPr="00033E65" w:rsidRDefault="00360BB6" w:rsidP="00360BB6">
      <w:pPr>
        <w:tabs>
          <w:tab w:val="left" w:pos="2204"/>
        </w:tabs>
        <w:rPr>
          <w:sz w:val="18"/>
          <w:lang w:eastAsia="en-US"/>
        </w:rPr>
        <w:sectPr w:rsidR="00360BB6" w:rsidRPr="00033E65" w:rsidSect="00F52071">
          <w:pgSz w:w="15840" w:h="12240" w:orient="landscape"/>
          <w:pgMar w:top="1701" w:right="1418" w:bottom="1701" w:left="1418" w:header="709" w:footer="709" w:gutter="0"/>
          <w:cols w:space="708"/>
          <w:docGrid w:linePitch="360"/>
        </w:sectPr>
      </w:pPr>
      <w:r w:rsidRPr="00033E65">
        <w:rPr>
          <w:sz w:val="18"/>
          <w:lang w:eastAsia="en-US"/>
        </w:rPr>
        <w:tab/>
      </w:r>
    </w:p>
    <w:p w14:paraId="1404C90C" w14:textId="77777777" w:rsidR="008424AA" w:rsidRPr="00033E65" w:rsidRDefault="008424AA" w:rsidP="008424AA">
      <w:pPr>
        <w:ind w:right="49"/>
      </w:pPr>
      <w:r w:rsidRPr="00033E65">
        <w:t xml:space="preserve">De acuerdo la información suministrada por las Administraciones Regionales, la mayoría de los Juzgados cuentan con días asignados en los cuales pueden hacer uso de vehículos. </w:t>
      </w:r>
    </w:p>
    <w:p w14:paraId="16A17DB8" w14:textId="0E85AEC7" w:rsidR="008424AA" w:rsidRPr="00033E65" w:rsidRDefault="008424AA" w:rsidP="005F246F">
      <w:pPr>
        <w:spacing w:line="276" w:lineRule="auto"/>
        <w:ind w:right="49"/>
      </w:pPr>
      <w:r w:rsidRPr="00033E65">
        <w:t xml:space="preserve">Con respecto a lo acordado en sesión extraordinaria del Consejo Superior 47-19 artículo XXIII, donde se indica que se deben realizar ocho (8) audiencias </w:t>
      </w:r>
      <w:r w:rsidR="00250B48" w:rsidRPr="00033E65">
        <w:t xml:space="preserve">al mes </w:t>
      </w:r>
      <w:r w:rsidRPr="00033E65">
        <w:t>fuera del Despacho por persona juzgadora, cada Despacho donde se tienen dos personas juzgadoras, en el mejor de los casos deben realizar 16 salidas a diligencias fuera de la oficina</w:t>
      </w:r>
      <w:r w:rsidR="00250B48" w:rsidRPr="00033E65">
        <w:t xml:space="preserve"> al mes</w:t>
      </w:r>
      <w:r w:rsidRPr="00033E65">
        <w:t>, lo que corresponde en que deben contar con vehículo 16 veces al mes, a diferencia de los Juzgados de naturaleza mixta y el Juzgado Agrario de Pérez Zeledón</w:t>
      </w:r>
      <w:r w:rsidR="00A5779F" w:rsidRPr="00033E65">
        <w:t xml:space="preserve"> y Jicaral son</w:t>
      </w:r>
      <w:r w:rsidRPr="00033E65">
        <w:t xml:space="preserve"> unipersonal</w:t>
      </w:r>
      <w:r w:rsidR="00A5779F" w:rsidRPr="00033E65">
        <w:t>es</w:t>
      </w:r>
      <w:r w:rsidRPr="00033E65">
        <w:t xml:space="preserve">. Importante acotar, cada persona juzgadora a parte de las ocho (8) señalamientos fuera del Despacho, también debe realizar 12 señalamientos dentro de la oficina, para un total de 20 señalamientos mensuales por persona juzgadora. </w:t>
      </w:r>
      <w:r w:rsidRPr="00033E65">
        <w:rPr>
          <w:i/>
          <w:iCs/>
        </w:rPr>
        <w:t xml:space="preserve">(ver anexo </w:t>
      </w:r>
      <w:r w:rsidR="004F3041" w:rsidRPr="00033E65">
        <w:rPr>
          <w:i/>
          <w:iCs/>
        </w:rPr>
        <w:t>2</w:t>
      </w:r>
      <w:r w:rsidR="00C11615" w:rsidRPr="00033E65">
        <w:rPr>
          <w:i/>
          <w:iCs/>
        </w:rPr>
        <w:t>2</w:t>
      </w:r>
      <w:r w:rsidRPr="00033E65">
        <w:rPr>
          <w:i/>
          <w:iCs/>
        </w:rPr>
        <w:t xml:space="preserve"> Recomendaciones de Auditoría Judicial 1284-213-AUO-2014)</w:t>
      </w:r>
    </w:p>
    <w:p w14:paraId="4C60C3B3" w14:textId="4D8E0D76" w:rsidR="008424AA" w:rsidRPr="00033E65" w:rsidRDefault="008424AA" w:rsidP="008424AA">
      <w:pPr>
        <w:ind w:right="49"/>
      </w:pPr>
      <w:r w:rsidRPr="00033E65">
        <w:t>En el caso del Juzgado de Cartago tienen asignado el vehículo todo el año los martes</w:t>
      </w:r>
      <w:r w:rsidR="0047242C" w:rsidRPr="00033E65">
        <w:t>, miércoles</w:t>
      </w:r>
      <w:r w:rsidRPr="00033E65">
        <w:t xml:space="preserve"> y viernes; y en el caso de contar con disponibilidad otros días únicamente sería posible si alguna otra oficina cancelara. De esta forma no sería posible el cumplimiento de la cantidad de salidas esperadas por persona juzgadora ya que prá</w:t>
      </w:r>
      <w:r w:rsidR="0047242C" w:rsidRPr="00033E65">
        <w:t>cti</w:t>
      </w:r>
      <w:r w:rsidR="00200359" w:rsidRPr="00033E65">
        <w:t xml:space="preserve">camente estarían saliendo un poco más del </w:t>
      </w:r>
      <w:r w:rsidR="00FA2BB4" w:rsidRPr="00033E65">
        <w:t>70</w:t>
      </w:r>
      <w:r w:rsidR="00200359" w:rsidRPr="00033E65">
        <w:t>%</w:t>
      </w:r>
      <w:r w:rsidR="0047242C" w:rsidRPr="00033E65">
        <w:t xml:space="preserve"> </w:t>
      </w:r>
      <w:r w:rsidRPr="00033E65">
        <w:t>de lo esper</w:t>
      </w:r>
      <w:r w:rsidR="0047242C" w:rsidRPr="00033E65">
        <w:t xml:space="preserve">ado, lo que se traduce a </w:t>
      </w:r>
      <w:r w:rsidR="008D2C19" w:rsidRPr="00033E65">
        <w:t>doce</w:t>
      </w:r>
      <w:r w:rsidRPr="00033E65">
        <w:t xml:space="preserve"> veces por mes (</w:t>
      </w:r>
      <w:r w:rsidR="0047242C" w:rsidRPr="00033E65">
        <w:t>seis</w:t>
      </w:r>
      <w:r w:rsidRPr="00033E65">
        <w:t xml:space="preserve"> por Jueza o Juez). </w:t>
      </w:r>
      <w:r w:rsidR="0047242C" w:rsidRPr="00033E65">
        <w:t xml:space="preserve">De </w:t>
      </w:r>
      <w:r w:rsidR="0023063F" w:rsidRPr="00033E65">
        <w:t xml:space="preserve">doce </w:t>
      </w:r>
      <w:r w:rsidRPr="00033E65">
        <w:t>solicitudes en promedio que realiza e</w:t>
      </w:r>
      <w:r w:rsidR="0047242C" w:rsidRPr="00033E65">
        <w:t xml:space="preserve">l Juzgado, se ejecutan </w:t>
      </w:r>
      <w:r w:rsidR="00A23F1B" w:rsidRPr="00033E65">
        <w:t>nueve</w:t>
      </w:r>
      <w:r w:rsidR="0047242C" w:rsidRPr="00033E65">
        <w:t xml:space="preserve"> (</w:t>
      </w:r>
      <w:r w:rsidR="00091F76" w:rsidRPr="00033E65">
        <w:t>9</w:t>
      </w:r>
      <w:r w:rsidRPr="00033E65">
        <w:t>) por la administración, según datos suministrados por la Administración Regional de Cartago</w:t>
      </w:r>
      <w:r w:rsidR="00D63C5D" w:rsidRPr="00033E65">
        <w:t xml:space="preserve">. </w:t>
      </w:r>
      <w:r w:rsidR="000248CB" w:rsidRPr="00033E65">
        <w:t xml:space="preserve">A diciembre </w:t>
      </w:r>
      <w:r w:rsidR="00D63C5D" w:rsidRPr="00033E65">
        <w:t xml:space="preserve">2022 el Juzgado Agrario de Cartago </w:t>
      </w:r>
      <w:r w:rsidRPr="00033E65">
        <w:t xml:space="preserve">registra un total de </w:t>
      </w:r>
      <w:r w:rsidR="00471F4B" w:rsidRPr="00033E65">
        <w:t>69</w:t>
      </w:r>
      <w:r w:rsidRPr="00033E65">
        <w:t xml:space="preserve"> señalamientos a audiencia pendientes de realización con un plazo de </w:t>
      </w:r>
      <w:r w:rsidR="0047242C" w:rsidRPr="00033E65">
        <w:t>1</w:t>
      </w:r>
      <w:r w:rsidR="00DB7C25" w:rsidRPr="00033E65">
        <w:t>23</w:t>
      </w:r>
      <w:r w:rsidRPr="00033E65">
        <w:t xml:space="preserve"> días </w:t>
      </w:r>
      <w:r w:rsidR="00D63C5D" w:rsidRPr="00033E65">
        <w:t xml:space="preserve">de espera </w:t>
      </w:r>
      <w:r w:rsidRPr="00033E65">
        <w:t>(</w:t>
      </w:r>
      <w:r w:rsidR="004B293D" w:rsidRPr="00033E65">
        <w:t>cuatro</w:t>
      </w:r>
      <w:r w:rsidRPr="00033E65">
        <w:t xml:space="preserve"> [</w:t>
      </w:r>
      <w:r w:rsidR="004B293D" w:rsidRPr="00033E65">
        <w:t>4</w:t>
      </w:r>
      <w:r w:rsidRPr="00033E65">
        <w:t>] meses</w:t>
      </w:r>
      <w:r w:rsidR="00264016" w:rsidRPr="00033E65">
        <w:t>)</w:t>
      </w:r>
      <w:r w:rsidR="00D63C5D" w:rsidRPr="00033E65">
        <w:t xml:space="preserve">. </w:t>
      </w:r>
      <w:r w:rsidRPr="00033E65">
        <w:t xml:space="preserve">Para que el Despacho pueda cumplir la cuota de </w:t>
      </w:r>
      <w:r w:rsidR="00F56E15" w:rsidRPr="00033E65">
        <w:t>16</w:t>
      </w:r>
      <w:r w:rsidRPr="00033E65">
        <w:t xml:space="preserve"> audiencias fuera de la oficina, tienen que señalar las necesarias para su cumplimiento y no realizar cancelaciones, pero se cuenta con la limitante de transporte para una cuarta salida</w:t>
      </w:r>
      <w:r w:rsidR="00774571" w:rsidRPr="00033E65">
        <w:t xml:space="preserve"> a la semana</w:t>
      </w:r>
      <w:r w:rsidRPr="00033E65">
        <w:t xml:space="preserve">. </w:t>
      </w:r>
    </w:p>
    <w:p w14:paraId="37408B49" w14:textId="2DA5ACD8" w:rsidR="008424AA" w:rsidRPr="00033E65" w:rsidRDefault="008424AA" w:rsidP="008424AA">
      <w:pPr>
        <w:ind w:right="49"/>
      </w:pPr>
      <w:r w:rsidRPr="00033E65">
        <w:t>Pérez Zeledón al contar con un Despacho unipersonal, debe salir por mes ocho (8) veces fuera del Despacho, por lo que con la asignación actual se puede cumplir con lo esperado, ya que la Administración le asigna el vehícul</w:t>
      </w:r>
      <w:r w:rsidR="00814268" w:rsidRPr="00033E65">
        <w:t xml:space="preserve">o los lunes y miércoles, además, el despacho indica que los viernes es un tercer día asignado siempre y cuando exista medida cautelar o interdicto de derribo, el mismo queda siempre sujeto a disponibilidad de la Administración Regional o Defensa Pública. </w:t>
      </w:r>
      <w:r w:rsidR="00C87655" w:rsidRPr="00033E65">
        <w:t xml:space="preserve">De </w:t>
      </w:r>
      <w:r w:rsidR="0094559F" w:rsidRPr="00033E65">
        <w:t>13</w:t>
      </w:r>
      <w:r w:rsidRPr="00033E65">
        <w:t xml:space="preserve"> solicitudes en promedio que realiza el Juzgado, se ejecutan </w:t>
      </w:r>
      <w:r w:rsidR="00C87655" w:rsidRPr="00033E65">
        <w:t>nueve (9</w:t>
      </w:r>
      <w:r w:rsidR="003461DD" w:rsidRPr="00033E65">
        <w:t>) por la administración. A diciembre del 202</w:t>
      </w:r>
      <w:r w:rsidR="00CD1997" w:rsidRPr="00033E65">
        <w:t>2</w:t>
      </w:r>
      <w:r w:rsidRPr="00033E65">
        <w:t xml:space="preserve"> registra un total de </w:t>
      </w:r>
      <w:r w:rsidR="00A2482F" w:rsidRPr="00033E65">
        <w:t>60</w:t>
      </w:r>
      <w:r w:rsidRPr="00033E65">
        <w:t xml:space="preserve"> señalamientos a audiencia pendientes de realización con un plazo de </w:t>
      </w:r>
      <w:r w:rsidR="00571C93" w:rsidRPr="00033E65">
        <w:t xml:space="preserve">181 </w:t>
      </w:r>
      <w:r w:rsidRPr="00033E65">
        <w:t>días (</w:t>
      </w:r>
      <w:r w:rsidR="003461DD" w:rsidRPr="00033E65">
        <w:t>seis</w:t>
      </w:r>
      <w:r w:rsidRPr="00033E65">
        <w:t xml:space="preserve"> [</w:t>
      </w:r>
      <w:r w:rsidR="003461DD" w:rsidRPr="00033E65">
        <w:t>6</w:t>
      </w:r>
      <w:r w:rsidRPr="00033E65">
        <w:t>] meses</w:t>
      </w:r>
      <w:r w:rsidR="00692F07" w:rsidRPr="00033E65">
        <w:t xml:space="preserve"> </w:t>
      </w:r>
      <w:r w:rsidR="00203C7E" w:rsidRPr="00033E65">
        <w:t>aproximadamente)</w:t>
      </w:r>
      <w:r w:rsidRPr="00033E65">
        <w:t xml:space="preserve">, Con la valoración actual, se está solicitando un </w:t>
      </w:r>
      <w:r w:rsidR="00604545" w:rsidRPr="00033E65">
        <w:t>167</w:t>
      </w:r>
      <w:r w:rsidRPr="00033E65">
        <w:t>% de los señalamientos esperados por la person</w:t>
      </w:r>
      <w:r w:rsidR="00571BAD" w:rsidRPr="00033E65">
        <w:t>a juzgadora</w:t>
      </w:r>
      <w:r w:rsidR="00774571" w:rsidRPr="00033E65">
        <w:t>, es decir, el despacho</w:t>
      </w:r>
      <w:r w:rsidR="00691020" w:rsidRPr="00033E65">
        <w:t xml:space="preserve"> sobrepasa la cantidad</w:t>
      </w:r>
      <w:r w:rsidR="00774571" w:rsidRPr="00033E65">
        <w:t xml:space="preserve"> solicit</w:t>
      </w:r>
      <w:r w:rsidR="00691020" w:rsidRPr="00033E65">
        <w:t>udes</w:t>
      </w:r>
      <w:r w:rsidR="00774571" w:rsidRPr="00033E65">
        <w:t xml:space="preserve"> </w:t>
      </w:r>
      <w:r w:rsidR="00691020" w:rsidRPr="00033E65">
        <w:t xml:space="preserve">de </w:t>
      </w:r>
      <w:r w:rsidR="00774571" w:rsidRPr="00033E65">
        <w:t xml:space="preserve">servicio de transporte </w:t>
      </w:r>
      <w:r w:rsidR="00691020" w:rsidRPr="00033E65">
        <w:t>con respecto a la cuota establecida</w:t>
      </w:r>
      <w:r w:rsidR="00571BAD" w:rsidRPr="00033E65">
        <w:t>.</w:t>
      </w:r>
    </w:p>
    <w:p w14:paraId="0E339DBB" w14:textId="2298B8E2" w:rsidR="007144ED" w:rsidRPr="00033E65" w:rsidRDefault="008424AA" w:rsidP="008424AA">
      <w:pPr>
        <w:ind w:right="49"/>
      </w:pPr>
      <w:r w:rsidRPr="00033E65">
        <w:t xml:space="preserve">El Juzgado Agrario de </w:t>
      </w:r>
      <w:r w:rsidR="00230EC8" w:rsidRPr="00033E65">
        <w:t>Limón puede</w:t>
      </w:r>
      <w:r w:rsidR="00DF7454" w:rsidRPr="00033E65">
        <w:t xml:space="preserve"> contar con asignación de vehículos de lunes a viernes</w:t>
      </w:r>
      <w:r w:rsidRPr="00033E65">
        <w:t>, ya que la Administración les da prioridad por ser juicios in situ, por lo que se les da un vehículo cada vez que lo requieran.</w:t>
      </w:r>
      <w:r w:rsidR="00DF7454" w:rsidRPr="00033E65">
        <w:t xml:space="preserve"> </w:t>
      </w:r>
      <w:r w:rsidR="00CB35EB" w:rsidRPr="00033E65">
        <w:t xml:space="preserve">Se realiza un promedio de </w:t>
      </w:r>
      <w:r w:rsidR="00E3177C" w:rsidRPr="00033E65">
        <w:t>30</w:t>
      </w:r>
      <w:r w:rsidRPr="00033E65">
        <w:t xml:space="preserve"> solicitudes al mes de </w:t>
      </w:r>
      <w:r w:rsidR="00CB35EB" w:rsidRPr="00033E65">
        <w:t xml:space="preserve">las cuales se hacen efectivas </w:t>
      </w:r>
      <w:r w:rsidR="006D40A7" w:rsidRPr="00033E65">
        <w:t xml:space="preserve">12 </w:t>
      </w:r>
      <w:r w:rsidRPr="00033E65">
        <w:t xml:space="preserve">en promedio por parte de la Administración, por </w:t>
      </w:r>
      <w:r w:rsidR="00CB35EB" w:rsidRPr="00033E65">
        <w:t xml:space="preserve">lo que se ejecuta sólo el </w:t>
      </w:r>
      <w:r w:rsidR="00DC568B" w:rsidRPr="00033E65">
        <w:t>39</w:t>
      </w:r>
      <w:r w:rsidRPr="00033E65">
        <w:t>% de lo solicitado. Con esta valoración el</w:t>
      </w:r>
      <w:r w:rsidR="00CB35EB" w:rsidRPr="00033E65">
        <w:t xml:space="preserve"> Despacho está solicitando un </w:t>
      </w:r>
      <w:r w:rsidR="00DD6FA9" w:rsidRPr="00033E65">
        <w:t>184</w:t>
      </w:r>
      <w:r w:rsidRPr="00033E65">
        <w:t xml:space="preserve">% de lo esperado mensualmente. </w:t>
      </w:r>
      <w:r w:rsidR="00427695" w:rsidRPr="00033E65">
        <w:t>A diciembre del 202</w:t>
      </w:r>
      <w:r w:rsidR="00DD6FA9" w:rsidRPr="00033E65">
        <w:t>2</w:t>
      </w:r>
      <w:r w:rsidRPr="00033E65">
        <w:t xml:space="preserve">, el Juzgado cuenta con </w:t>
      </w:r>
      <w:r w:rsidR="00425BDD" w:rsidRPr="00033E65">
        <w:t xml:space="preserve">621 </w:t>
      </w:r>
      <w:r w:rsidRPr="00033E65">
        <w:t>señalamiento</w:t>
      </w:r>
      <w:r w:rsidR="00064363" w:rsidRPr="00033E65">
        <w:t xml:space="preserve">s a audiencia, con un plazo de </w:t>
      </w:r>
      <w:r w:rsidR="004D6636" w:rsidRPr="00033E65">
        <w:t xml:space="preserve">1042 </w:t>
      </w:r>
      <w:r w:rsidRPr="00033E65">
        <w:t xml:space="preserve">días (aproximadamente </w:t>
      </w:r>
      <w:r w:rsidR="001F742B" w:rsidRPr="00033E65">
        <w:t xml:space="preserve">35 </w:t>
      </w:r>
      <w:r w:rsidRPr="00033E65">
        <w:t>meses</w:t>
      </w:r>
      <w:r w:rsidR="009B4426" w:rsidRPr="00033E65">
        <w:t xml:space="preserve">. </w:t>
      </w:r>
      <w:r w:rsidRPr="00033E65">
        <w:t>La cantidad d</w:t>
      </w:r>
      <w:r w:rsidR="009F3F92" w:rsidRPr="00033E65">
        <w:t xml:space="preserve">e </w:t>
      </w:r>
      <w:r w:rsidR="009D519D" w:rsidRPr="00033E65">
        <w:t>621</w:t>
      </w:r>
      <w:r w:rsidRPr="00033E65">
        <w:t xml:space="preserve"> audiencias pendientes de realización </w:t>
      </w:r>
      <w:r w:rsidR="00230EC8" w:rsidRPr="00033E65">
        <w:t>obedece a</w:t>
      </w:r>
      <w:r w:rsidR="00DF7454" w:rsidRPr="00033E65">
        <w:t xml:space="preserve"> la cantidad </w:t>
      </w:r>
      <w:r w:rsidR="00230EC8" w:rsidRPr="00033E65">
        <w:t>de casos</w:t>
      </w:r>
      <w:r w:rsidR="00DF7454" w:rsidRPr="00033E65">
        <w:t xml:space="preserve"> en el Despacho por carga de trabajo y el promedio mensual de solicitudes ejecutadas por la Administración es menor a la que el Juzgado solicita.  </w:t>
      </w:r>
    </w:p>
    <w:p w14:paraId="2FF24303" w14:textId="24C8C7BE" w:rsidR="008424AA" w:rsidRPr="00033E65" w:rsidRDefault="007144ED" w:rsidP="007144ED">
      <w:pPr>
        <w:ind w:right="49"/>
      </w:pPr>
      <w:r w:rsidRPr="00033E65">
        <w:t>En San Ramón, solicitud de vehículo lo puedes realizar cualquier día de la semana. Cuentan con un promedio de</w:t>
      </w:r>
      <w:r w:rsidR="005A2E59" w:rsidRPr="00033E65">
        <w:t xml:space="preserve"> </w:t>
      </w:r>
      <w:r w:rsidR="00B807F5" w:rsidRPr="00033E65">
        <w:t>12</w:t>
      </w:r>
      <w:r w:rsidRPr="00033E65">
        <w:t xml:space="preserve"> solicitudes al mes de las cuales se hacen efectivas </w:t>
      </w:r>
      <w:r w:rsidR="002A272C" w:rsidRPr="00033E65">
        <w:t xml:space="preserve">12 </w:t>
      </w:r>
      <w:r w:rsidRPr="00033E65">
        <w:t>en promedio por parte de la Administración,</w:t>
      </w:r>
      <w:r w:rsidR="008424AA" w:rsidRPr="00033E65">
        <w:t xml:space="preserve"> lo que significa que </w:t>
      </w:r>
      <w:r w:rsidR="00CB4E91" w:rsidRPr="00033E65">
        <w:t xml:space="preserve">se ejecuta el </w:t>
      </w:r>
      <w:r w:rsidR="002A272C" w:rsidRPr="00033E65">
        <w:t>100</w:t>
      </w:r>
      <w:r w:rsidR="008424AA" w:rsidRPr="00033E65">
        <w:t xml:space="preserve">% de las solicitudes y un </w:t>
      </w:r>
      <w:r w:rsidR="00CB63E9" w:rsidRPr="00033E65">
        <w:t>78</w:t>
      </w:r>
      <w:r w:rsidR="008424AA" w:rsidRPr="00033E65">
        <w:t>% de s</w:t>
      </w:r>
      <w:r w:rsidR="00CB4E91" w:rsidRPr="00033E65">
        <w:t xml:space="preserve">olicitudes esperadas en el mes. </w:t>
      </w:r>
      <w:r w:rsidR="00D26AB5" w:rsidRPr="00033E65">
        <w:t>A diciembre</w:t>
      </w:r>
      <w:r w:rsidR="00CB4E91" w:rsidRPr="00033E65">
        <w:t xml:space="preserve"> del 202</w:t>
      </w:r>
      <w:r w:rsidR="00CB63E9" w:rsidRPr="00033E65">
        <w:t>2</w:t>
      </w:r>
      <w:r w:rsidR="008424AA" w:rsidRPr="00033E65">
        <w:t xml:space="preserve">, el Juzgado cuenta con </w:t>
      </w:r>
      <w:r w:rsidR="00631348" w:rsidRPr="00033E65">
        <w:t xml:space="preserve">29 </w:t>
      </w:r>
      <w:r w:rsidR="008424AA" w:rsidRPr="00033E65">
        <w:t xml:space="preserve">señalamientos a audiencia con un plazo de </w:t>
      </w:r>
      <w:r w:rsidR="00631348" w:rsidRPr="00033E65">
        <w:t>41</w:t>
      </w:r>
      <w:r w:rsidR="00DF6D1C" w:rsidRPr="00033E65">
        <w:t xml:space="preserve"> </w:t>
      </w:r>
      <w:r w:rsidR="008424AA" w:rsidRPr="00033E65">
        <w:t>días</w:t>
      </w:r>
      <w:r w:rsidR="005A2E59" w:rsidRPr="00033E65">
        <w:t>.</w:t>
      </w:r>
    </w:p>
    <w:p w14:paraId="7C019278" w14:textId="2DF37D06" w:rsidR="008424AA" w:rsidRPr="00033E65" w:rsidRDefault="00CB4E91" w:rsidP="008424AA">
      <w:pPr>
        <w:ind w:right="49"/>
      </w:pPr>
      <w:r w:rsidRPr="00033E65">
        <w:t xml:space="preserve">El </w:t>
      </w:r>
      <w:r w:rsidR="008424AA" w:rsidRPr="00033E65">
        <w:t>Juzgado Agrario de Alajuela, al contar con vehículo tres (3) veces por semana (12 audiencias fuera del Despacho</w:t>
      </w:r>
      <w:r w:rsidR="00DF6D1C" w:rsidRPr="00033E65">
        <w:t xml:space="preserve"> al mes</w:t>
      </w:r>
      <w:r w:rsidR="008424AA" w:rsidRPr="00033E65">
        <w:t>)</w:t>
      </w:r>
      <w:r w:rsidR="00DF6D1C" w:rsidRPr="00033E65">
        <w:t xml:space="preserve"> </w:t>
      </w:r>
      <w:r w:rsidR="008424AA" w:rsidRPr="00033E65">
        <w:t xml:space="preserve">y no existe la posibilidad por parte de la Administración en darles otro día, ya que según indican cuentan con la agenda llena por la demanda de otras oficinas del circuito. Por parte del Despacho realiza un promedio de </w:t>
      </w:r>
      <w:r w:rsidR="00363573" w:rsidRPr="00033E65">
        <w:t xml:space="preserve">11 </w:t>
      </w:r>
      <w:r w:rsidR="008424AA" w:rsidRPr="00033E65">
        <w:t>solicitudes de vehículo al mes a la Administración, de los cuales se le</w:t>
      </w:r>
      <w:r w:rsidRPr="00033E65">
        <w:t>s asigna un promedio de la cantidad solicitada en el</w:t>
      </w:r>
      <w:r w:rsidR="008424AA" w:rsidRPr="00033E65">
        <w:t xml:space="preserve"> mes</w:t>
      </w:r>
      <w:r w:rsidRPr="00033E65">
        <w:t xml:space="preserve"> (</w:t>
      </w:r>
      <w:r w:rsidR="0096172D" w:rsidRPr="00033E65">
        <w:t>11</w:t>
      </w:r>
      <w:r w:rsidRPr="00033E65">
        <w:t>)</w:t>
      </w:r>
      <w:r w:rsidR="008424AA" w:rsidRPr="00033E65">
        <w:t>, lo cual causa que la oficina no cumpla con lo mínimo esperado de diligencias fuera. No se está solicitando lo esperado por parte del Despacho por el motivo de contar con sólo tres (3) días por semana el vehículo, lo que produce un atraso en agenda y hasta incumplimientos en la justicia pronta y cumplida del usuario. Dicho lo anterior, el Juzga</w:t>
      </w:r>
      <w:r w:rsidRPr="00033E65">
        <w:t xml:space="preserve">do está solicitando apenas el </w:t>
      </w:r>
      <w:r w:rsidR="00295EB6" w:rsidRPr="00033E65">
        <w:t>67</w:t>
      </w:r>
      <w:r w:rsidR="008424AA" w:rsidRPr="00033E65">
        <w:t>% de lo esperado. A</w:t>
      </w:r>
      <w:r w:rsidR="00D26AB5" w:rsidRPr="00033E65">
        <w:t xml:space="preserve"> diciembre del </w:t>
      </w:r>
      <w:r w:rsidR="008424AA" w:rsidRPr="00033E65">
        <w:t>202</w:t>
      </w:r>
      <w:r w:rsidR="00295EB6" w:rsidRPr="00033E65">
        <w:t>2</w:t>
      </w:r>
      <w:r w:rsidR="008424AA" w:rsidRPr="00033E65">
        <w:t xml:space="preserve"> el Despacho cuenta con </w:t>
      </w:r>
      <w:r w:rsidR="00CC1C9C" w:rsidRPr="00033E65">
        <w:t>30</w:t>
      </w:r>
      <w:r w:rsidR="008424AA" w:rsidRPr="00033E65">
        <w:t xml:space="preserve"> señalamientos pendientes de audiencia con un plazo de agenda de </w:t>
      </w:r>
      <w:r w:rsidR="004624B9" w:rsidRPr="00033E65">
        <w:t xml:space="preserve">87 </w:t>
      </w:r>
      <w:r w:rsidR="008424AA" w:rsidRPr="00033E65">
        <w:t>días (</w:t>
      </w:r>
      <w:r w:rsidR="004624B9" w:rsidRPr="00033E65">
        <w:t>3</w:t>
      </w:r>
      <w:r w:rsidR="008424AA" w:rsidRPr="00033E65">
        <w:t>mes</w:t>
      </w:r>
      <w:r w:rsidR="003951AE" w:rsidRPr="00033E65">
        <w:t>es</w:t>
      </w:r>
      <w:r w:rsidR="008424AA" w:rsidRPr="00033E65">
        <w:t>)</w:t>
      </w:r>
      <w:r w:rsidR="00DF6D1C" w:rsidRPr="00033E65">
        <w:t xml:space="preserve">. </w:t>
      </w:r>
    </w:p>
    <w:p w14:paraId="635CF144" w14:textId="73D938B2" w:rsidR="008424AA" w:rsidRPr="00033E65" w:rsidRDefault="008424AA" w:rsidP="008424AA">
      <w:pPr>
        <w:ind w:right="49"/>
      </w:pPr>
      <w:r w:rsidRPr="00033E65">
        <w:t xml:space="preserve">El Juzgado Agrario de San Carlos cuenta con disponibilidad para utilizar el vehículo </w:t>
      </w:r>
      <w:r w:rsidR="00DF7454" w:rsidRPr="00033E65">
        <w:t>de lunes a viernes</w:t>
      </w:r>
      <w:r w:rsidRPr="00033E65">
        <w:t xml:space="preserve">. El Despacho realiza un promedio de </w:t>
      </w:r>
      <w:r w:rsidR="00227AC8" w:rsidRPr="00033E65">
        <w:t>17</w:t>
      </w:r>
      <w:r w:rsidRPr="00033E65">
        <w:t xml:space="preserve"> solicitudes al mes de las cuales las mismas </w:t>
      </w:r>
      <w:r w:rsidR="00C2352E" w:rsidRPr="00033E65">
        <w:t xml:space="preserve">17 </w:t>
      </w:r>
      <w:r w:rsidRPr="00033E65">
        <w:t xml:space="preserve">la Administración les ha cedido el vehículo. </w:t>
      </w:r>
      <w:r w:rsidR="00691E2A" w:rsidRPr="00033E65">
        <w:t>A diciembre del</w:t>
      </w:r>
      <w:r w:rsidR="00B24F9F" w:rsidRPr="00033E65">
        <w:t xml:space="preserve"> 202</w:t>
      </w:r>
      <w:r w:rsidR="00DF6D1C" w:rsidRPr="00033E65">
        <w:t>2</w:t>
      </w:r>
      <w:r w:rsidRPr="00033E65">
        <w:t xml:space="preserve"> el Juzgado cuenta con </w:t>
      </w:r>
      <w:r w:rsidR="00493787" w:rsidRPr="00033E65">
        <w:t xml:space="preserve">62 </w:t>
      </w:r>
      <w:r w:rsidRPr="00033E65">
        <w:t xml:space="preserve">señalamientos pendientes de audiencia con un plazo de </w:t>
      </w:r>
      <w:r w:rsidR="00CB27F3" w:rsidRPr="00033E65">
        <w:t xml:space="preserve">162 </w:t>
      </w:r>
      <w:r w:rsidRPr="00033E65">
        <w:t>días (</w:t>
      </w:r>
      <w:r w:rsidR="00187B70" w:rsidRPr="00033E65">
        <w:t xml:space="preserve">cinco </w:t>
      </w:r>
      <w:r w:rsidR="001D1871" w:rsidRPr="00033E65">
        <w:t>meses</w:t>
      </w:r>
      <w:r w:rsidRPr="00033E65">
        <w:t xml:space="preserve"> aproximadamente)</w:t>
      </w:r>
      <w:r w:rsidR="00DF6D1C" w:rsidRPr="00033E65">
        <w:t xml:space="preserve">. </w:t>
      </w:r>
      <w:r w:rsidR="00FE1A0A" w:rsidRPr="00033E65">
        <w:t xml:space="preserve">Se está cumpliendo un </w:t>
      </w:r>
      <w:r w:rsidR="000F539E" w:rsidRPr="00033E65">
        <w:t>104</w:t>
      </w:r>
      <w:r w:rsidRPr="00033E65">
        <w:t>% de lo esperado en cuanto a diligencias fuera del Despacho</w:t>
      </w:r>
      <w:r w:rsidR="003A2C24" w:rsidRPr="00033E65">
        <w:t>.</w:t>
      </w:r>
      <w:r w:rsidRPr="00033E65">
        <w:t xml:space="preserve"> </w:t>
      </w:r>
    </w:p>
    <w:p w14:paraId="64439FAC" w14:textId="77777777" w:rsidR="00895D00" w:rsidRPr="00033E65" w:rsidRDefault="008424AA" w:rsidP="008424AA">
      <w:pPr>
        <w:ind w:right="49"/>
      </w:pPr>
      <w:r w:rsidRPr="00033E65">
        <w:t xml:space="preserve">Un dato interesante se registra en el Juzgado Agrario de Santa Cruz, ya que según indica la Administración Regional, que este Despacho no gestiona con frecuencia las solicitudes de transporte; las solicitudes relacionadas con la materia Agraria ingresan directamente de la Defensa Agraria; con el fin de coordinar y dar un mejor aprovechamiento al vehículo; se estableció de forma conjunta entre Administración y Defensa Agraria; los </w:t>
      </w:r>
      <w:r w:rsidR="009B662C" w:rsidRPr="00033E65">
        <w:t xml:space="preserve">martes </w:t>
      </w:r>
      <w:r w:rsidRPr="00033E65">
        <w:t xml:space="preserve">para realización de las diligencias. Existe disposición por parte de la Administración en brindarle el servicio, pero debe ser gestionada por el Despacho. De acuerdo con los datos suministrados por la Administración Regional, la Defensa Pública gestiona en promedio por mes </w:t>
      </w:r>
      <w:r w:rsidR="00065831" w:rsidRPr="00033E65">
        <w:t xml:space="preserve">cinco </w:t>
      </w:r>
      <w:r w:rsidRPr="00033E65">
        <w:t>(</w:t>
      </w:r>
      <w:r w:rsidR="00065831" w:rsidRPr="00033E65">
        <w:t>5</w:t>
      </w:r>
      <w:r w:rsidRPr="00033E65">
        <w:t xml:space="preserve">) veces el transporte de las cuales </w:t>
      </w:r>
      <w:r w:rsidR="00065831" w:rsidRPr="00033E65">
        <w:t xml:space="preserve">dos </w:t>
      </w:r>
      <w:r w:rsidRPr="00033E65">
        <w:t>(</w:t>
      </w:r>
      <w:r w:rsidR="00065831" w:rsidRPr="00033E65">
        <w:t>2</w:t>
      </w:r>
      <w:r w:rsidRPr="00033E65">
        <w:t>) se ejecutan por la Administración, lo cual haría indicar que solame</w:t>
      </w:r>
      <w:r w:rsidR="00B47E0C" w:rsidRPr="00033E65">
        <w:t xml:space="preserve">nte se está cumpliendo con un </w:t>
      </w:r>
      <w:r w:rsidR="00895D00" w:rsidRPr="00033E65">
        <w:t>49</w:t>
      </w:r>
      <w:r w:rsidRPr="00033E65">
        <w:t xml:space="preserve">% de lo esperado por el personal juzgador. </w:t>
      </w:r>
      <w:r w:rsidR="00691E2A" w:rsidRPr="00033E65">
        <w:t>A diciembre de</w:t>
      </w:r>
      <w:r w:rsidR="00B47E0C" w:rsidRPr="00033E65">
        <w:t xml:space="preserve"> </w:t>
      </w:r>
      <w:r w:rsidR="008B1F5C" w:rsidRPr="00033E65">
        <w:t>2022</w:t>
      </w:r>
      <w:r w:rsidRPr="00033E65">
        <w:t xml:space="preserve"> el Juzgado cu</w:t>
      </w:r>
      <w:r w:rsidR="009C4683" w:rsidRPr="00033E65">
        <w:t>e</w:t>
      </w:r>
      <w:r w:rsidRPr="00033E65">
        <w:t xml:space="preserve">nta con </w:t>
      </w:r>
      <w:r w:rsidR="008E65D3" w:rsidRPr="00033E65">
        <w:t xml:space="preserve">51 </w:t>
      </w:r>
      <w:r w:rsidRPr="00033E65">
        <w:t xml:space="preserve">señalamientos a audiencia con un plazo de </w:t>
      </w:r>
      <w:r w:rsidR="008E65D3" w:rsidRPr="00033E65">
        <w:t>90</w:t>
      </w:r>
      <w:r w:rsidRPr="00033E65">
        <w:t xml:space="preserve"> días. Para que se cumpla con la cuota de señalamientos, el Despacho en conjunto con la Administración deben establecer los cuatro (4) días por semana que pueden hacer uso de las unidades.</w:t>
      </w:r>
    </w:p>
    <w:p w14:paraId="7FA0984A" w14:textId="009759B2" w:rsidR="008424AA" w:rsidRPr="00033E65" w:rsidRDefault="008424AA" w:rsidP="008424AA">
      <w:pPr>
        <w:ind w:right="49"/>
      </w:pPr>
      <w:r w:rsidRPr="00033E65">
        <w:t xml:space="preserve"> En el caso del Juzgado Agrario de Corredores, cuentan con vehículo </w:t>
      </w:r>
      <w:r w:rsidR="00B47E0C" w:rsidRPr="00033E65">
        <w:t xml:space="preserve">los días martes, miércoles y </w:t>
      </w:r>
      <w:r w:rsidR="00C4011A" w:rsidRPr="00033E65">
        <w:t>jueves</w:t>
      </w:r>
      <w:r w:rsidRPr="00033E65">
        <w:t>, pero la limitante es que no se cuenta con chofer. Existe la posibilidad que las personas juzgadoras conduzcan el vehículo, pero no se aceptan las responsabilidades que eso conlleva y el estado del camino pueden generar un riesgo en carretera. Realizan un promed</w:t>
      </w:r>
      <w:r w:rsidR="00C4011A" w:rsidRPr="00033E65">
        <w:t xml:space="preserve">io de </w:t>
      </w:r>
      <w:r w:rsidR="00B436F6" w:rsidRPr="00033E65">
        <w:t xml:space="preserve">15 </w:t>
      </w:r>
      <w:r w:rsidRPr="00033E65">
        <w:t>sol</w:t>
      </w:r>
      <w:r w:rsidR="00C4011A" w:rsidRPr="00033E65">
        <w:t>icitudes al mes de las cuales 15</w:t>
      </w:r>
      <w:r w:rsidRPr="00033E65">
        <w:t xml:space="preserve"> son ejecutadas por la Administración Regional, por lo </w:t>
      </w:r>
      <w:r w:rsidR="00C4011A" w:rsidRPr="00033E65">
        <w:t xml:space="preserve">que se está cumpliendo con el </w:t>
      </w:r>
      <w:r w:rsidR="00D40918" w:rsidRPr="00033E65">
        <w:t>96</w:t>
      </w:r>
      <w:r w:rsidRPr="00033E65">
        <w:t>% de las solicitudes esperadas al</w:t>
      </w:r>
      <w:r w:rsidR="00C4011A" w:rsidRPr="00033E65">
        <w:t xml:space="preserve"> mes por el personal juzgador. A diciembre del </w:t>
      </w:r>
      <w:r w:rsidR="00D40918" w:rsidRPr="00033E65">
        <w:t xml:space="preserve">2022 </w:t>
      </w:r>
      <w:r w:rsidRPr="00033E65">
        <w:t xml:space="preserve">existe un total de </w:t>
      </w:r>
      <w:r w:rsidR="00D40918" w:rsidRPr="00033E65">
        <w:t xml:space="preserve">105 </w:t>
      </w:r>
      <w:r w:rsidRPr="00033E65">
        <w:t xml:space="preserve">audiencias pendientes </w:t>
      </w:r>
      <w:r w:rsidR="00C4011A" w:rsidRPr="00033E65">
        <w:t xml:space="preserve">de realización con un plazo de </w:t>
      </w:r>
      <w:r w:rsidR="00DC12D5" w:rsidRPr="00033E65">
        <w:t>202</w:t>
      </w:r>
      <w:r w:rsidRPr="00033E65">
        <w:t xml:space="preserve"> día</w:t>
      </w:r>
      <w:r w:rsidR="00C4011A" w:rsidRPr="00033E65">
        <w:t>s</w:t>
      </w:r>
      <w:r w:rsidR="00895D00" w:rsidRPr="00033E65">
        <w:t xml:space="preserve">. </w:t>
      </w:r>
      <w:r w:rsidRPr="00033E65">
        <w:t>Lo anterior hace indicar que el Despacho no tiene problemas de transporte, pero sí de trasportista.</w:t>
      </w:r>
    </w:p>
    <w:p w14:paraId="4EFF3FE0" w14:textId="4F14A296" w:rsidR="008424AA" w:rsidRPr="00033E65" w:rsidRDefault="008424AA" w:rsidP="008424AA">
      <w:pPr>
        <w:ind w:right="49"/>
      </w:pPr>
      <w:r w:rsidRPr="00033E65">
        <w:t xml:space="preserve">Con respecto al caso del Juzgado Agrario de </w:t>
      </w:r>
      <w:r w:rsidR="0090547C" w:rsidRPr="00033E65">
        <w:t>Pococí</w:t>
      </w:r>
      <w:r w:rsidRPr="00033E65">
        <w:t xml:space="preserve">, existe servicio de trasporte </w:t>
      </w:r>
      <w:r w:rsidR="006B5052" w:rsidRPr="00033E65">
        <w:t xml:space="preserve">según </w:t>
      </w:r>
      <w:r w:rsidR="009C4683" w:rsidRPr="00033E65">
        <w:t xml:space="preserve">el </w:t>
      </w:r>
      <w:r w:rsidR="006B5052" w:rsidRPr="00033E65">
        <w:t>día que el despacho requiera</w:t>
      </w:r>
      <w:r w:rsidRPr="00033E65">
        <w:t xml:space="preserve"> </w:t>
      </w:r>
      <w:r w:rsidR="00895D00" w:rsidRPr="00033E65">
        <w:t>el servicio</w:t>
      </w:r>
      <w:r w:rsidRPr="00033E65">
        <w:t>, por lo que, manteniéndose esa asignación, se puede cumplir con la cantidad de diligencia mensuales de 16 audiencias fuera del Despacho por parte de las dos (2) personas juzgadoras.  De acuerdo con los datos brindados, el Despach</w:t>
      </w:r>
      <w:r w:rsidR="006B5052" w:rsidRPr="00033E65">
        <w:t xml:space="preserve">o ha realizado un promedio de </w:t>
      </w:r>
      <w:r w:rsidR="00381538" w:rsidRPr="00033E65">
        <w:t xml:space="preserve">13 </w:t>
      </w:r>
      <w:r w:rsidRPr="00033E65">
        <w:t xml:space="preserve">solicitudes al mes, la cuales son la cantidad esperada por el personal juzgador, de las </w:t>
      </w:r>
      <w:r w:rsidR="006B5052" w:rsidRPr="00033E65">
        <w:t xml:space="preserve">cuales </w:t>
      </w:r>
      <w:r w:rsidR="00381538" w:rsidRPr="00033E65">
        <w:t xml:space="preserve">13 </w:t>
      </w:r>
      <w:r w:rsidRPr="00033E65">
        <w:t xml:space="preserve">se ejecutan por parte de la Administración. </w:t>
      </w:r>
      <w:r w:rsidR="006B5052" w:rsidRPr="00033E65">
        <w:t>A diciembre del 202</w:t>
      </w:r>
      <w:r w:rsidR="00381538" w:rsidRPr="00033E65">
        <w:t>2</w:t>
      </w:r>
      <w:r w:rsidRPr="00033E65">
        <w:t xml:space="preserve"> el Juzgado cuenta con </w:t>
      </w:r>
      <w:r w:rsidR="00832E25" w:rsidRPr="00033E65">
        <w:t xml:space="preserve">238 </w:t>
      </w:r>
      <w:r w:rsidRPr="00033E65">
        <w:t xml:space="preserve">señalamientos a audiencia con un plazo de </w:t>
      </w:r>
      <w:r w:rsidR="00832E25" w:rsidRPr="00033E65">
        <w:t xml:space="preserve">490 </w:t>
      </w:r>
      <w:r w:rsidRPr="00033E65">
        <w:t>días (</w:t>
      </w:r>
      <w:r w:rsidR="00B650A1" w:rsidRPr="00033E65">
        <w:t>16</w:t>
      </w:r>
      <w:r w:rsidRPr="00033E65">
        <w:t>meses aproximadamente)</w:t>
      </w:r>
      <w:r w:rsidR="00895D00" w:rsidRPr="00033E65">
        <w:t>.</w:t>
      </w:r>
    </w:p>
    <w:p w14:paraId="31424AEB" w14:textId="7A99DC83" w:rsidR="008424AA" w:rsidRPr="00033E65" w:rsidRDefault="00CB081C" w:rsidP="008424AA">
      <w:pPr>
        <w:ind w:right="49"/>
      </w:pPr>
      <w:r w:rsidRPr="00033E65">
        <w:t>En</w:t>
      </w:r>
      <w:r w:rsidR="008424AA" w:rsidRPr="00033E65">
        <w:t xml:space="preserve"> el Juzgado Agrario de Liberia, donde la Administración le asigna al </w:t>
      </w:r>
      <w:r w:rsidRPr="00033E65">
        <w:t xml:space="preserve">Despacho el vehículo los </w:t>
      </w:r>
      <w:r w:rsidR="008424AA" w:rsidRPr="00033E65">
        <w:t xml:space="preserve">martes, miércoles y jueves, por lo que también cumplen con la cuota esperada. En promedio el Despacho gestiona en promedio </w:t>
      </w:r>
      <w:r w:rsidR="003268B4" w:rsidRPr="00033E65">
        <w:t>11</w:t>
      </w:r>
      <w:r w:rsidR="008424AA" w:rsidRPr="00033E65">
        <w:t xml:space="preserve"> veces el vehículo ante la Administración Regional, los cuales </w:t>
      </w:r>
      <w:r w:rsidRPr="00033E65">
        <w:t xml:space="preserve">la misma cantidad de </w:t>
      </w:r>
      <w:r w:rsidR="008424AA" w:rsidRPr="00033E65">
        <w:t>veces ejecutan dicha solicitud; es decir, el Juzgado está solicitando el vehículo</w:t>
      </w:r>
      <w:r w:rsidRPr="00033E65">
        <w:t xml:space="preserve"> </w:t>
      </w:r>
      <w:r w:rsidR="00481A05" w:rsidRPr="00033E65">
        <w:t>menos de</w:t>
      </w:r>
      <w:r w:rsidRPr="00033E65">
        <w:t xml:space="preserve"> lo esperado por las dos (2)</w:t>
      </w:r>
      <w:r w:rsidR="008424AA" w:rsidRPr="00033E65">
        <w:t xml:space="preserve"> persona</w:t>
      </w:r>
      <w:r w:rsidRPr="00033E65">
        <w:t>s</w:t>
      </w:r>
      <w:r w:rsidR="008424AA" w:rsidRPr="00033E65">
        <w:t xml:space="preserve"> juzgadora</w:t>
      </w:r>
      <w:r w:rsidRPr="00033E65">
        <w:t>s</w:t>
      </w:r>
      <w:r w:rsidR="008424AA" w:rsidRPr="00033E65">
        <w:t xml:space="preserve"> al mes, por lo que </w:t>
      </w:r>
      <w:r w:rsidRPr="00033E65">
        <w:t>se solicita el</w:t>
      </w:r>
      <w:r w:rsidR="008424AA" w:rsidRPr="00033E65">
        <w:t xml:space="preserve"> </w:t>
      </w:r>
      <w:r w:rsidR="00481A05" w:rsidRPr="00033E65">
        <w:t>66</w:t>
      </w:r>
      <w:r w:rsidRPr="00033E65">
        <w:t>%</w:t>
      </w:r>
      <w:r w:rsidR="008424AA" w:rsidRPr="00033E65">
        <w:t xml:space="preserve"> de lo esperado. </w:t>
      </w:r>
      <w:r w:rsidRPr="00033E65">
        <w:t xml:space="preserve">A diciembre del </w:t>
      </w:r>
      <w:r w:rsidR="00481A05" w:rsidRPr="00033E65">
        <w:t>2022</w:t>
      </w:r>
      <w:r w:rsidR="008424AA" w:rsidRPr="00033E65">
        <w:t xml:space="preserve"> el Juzgado cuenta con </w:t>
      </w:r>
      <w:r w:rsidR="00C82D6C" w:rsidRPr="00033E65">
        <w:t xml:space="preserve">53 </w:t>
      </w:r>
      <w:r w:rsidR="008424AA" w:rsidRPr="00033E65">
        <w:t xml:space="preserve">señalamientos a audiencia con un plazo de </w:t>
      </w:r>
      <w:r w:rsidR="00C82D6C" w:rsidRPr="00033E65">
        <w:t xml:space="preserve">62 </w:t>
      </w:r>
      <w:r w:rsidR="008424AA" w:rsidRPr="00033E65">
        <w:t>días (</w:t>
      </w:r>
      <w:r w:rsidR="00C82D6C" w:rsidRPr="00033E65">
        <w:t xml:space="preserve">dos </w:t>
      </w:r>
      <w:r w:rsidR="008424AA" w:rsidRPr="00033E65">
        <w:t>[</w:t>
      </w:r>
      <w:r w:rsidR="00C82D6C" w:rsidRPr="00033E65">
        <w:t>2</w:t>
      </w:r>
      <w:r w:rsidR="008424AA" w:rsidRPr="00033E65">
        <w:t>] mese</w:t>
      </w:r>
      <w:r w:rsidRPr="00033E65">
        <w:t>s</w:t>
      </w:r>
      <w:r w:rsidR="005A2AD8" w:rsidRPr="00033E65">
        <w:t>).</w:t>
      </w:r>
    </w:p>
    <w:p w14:paraId="5740EB57" w14:textId="23422C03" w:rsidR="008424AA" w:rsidRPr="00033E65" w:rsidRDefault="008424AA" w:rsidP="008424AA">
      <w:pPr>
        <w:ind w:right="49"/>
      </w:pPr>
      <w:r w:rsidRPr="00033E65">
        <w:t xml:space="preserve">Para el Juzgado Agrario de Puntarenas, se asigna vehículo </w:t>
      </w:r>
      <w:r w:rsidR="00A746A4" w:rsidRPr="00033E65">
        <w:t>cualquier día de la semana</w:t>
      </w:r>
      <w:r w:rsidRPr="00033E65">
        <w:t xml:space="preserve">, pero con previa </w:t>
      </w:r>
      <w:r w:rsidR="00A4157F" w:rsidRPr="00033E65">
        <w:t xml:space="preserve"> </w:t>
      </w:r>
      <w:r w:rsidRPr="00033E65">
        <w:t xml:space="preserve"> problemas con la disponibilidad del vehículo, ya que debe también contar con disponibilidad para otras oficinas. Cuando tienen problemas con la Administración salen con el carro de la Defensa Pública o cuando otra oficina cancela el vehículo lo asignan al Juzgado. El Juzgad</w:t>
      </w:r>
      <w:r w:rsidR="00A746A4" w:rsidRPr="00033E65">
        <w:t xml:space="preserve">o realiza un promedio </w:t>
      </w:r>
      <w:r w:rsidR="0009186C" w:rsidRPr="00033E65">
        <w:t>18</w:t>
      </w:r>
      <w:r w:rsidRPr="00033E65">
        <w:t xml:space="preserve"> gestiones al m</w:t>
      </w:r>
      <w:r w:rsidR="00A746A4" w:rsidRPr="00033E65">
        <w:t xml:space="preserve">es de las cuales las mismas </w:t>
      </w:r>
      <w:r w:rsidR="00AE6E16" w:rsidRPr="00033E65">
        <w:t xml:space="preserve">dieciocho </w:t>
      </w:r>
      <w:r w:rsidR="00A746A4" w:rsidRPr="00033E65">
        <w:t>(</w:t>
      </w:r>
      <w:r w:rsidR="00AE6E16" w:rsidRPr="00033E65">
        <w:t>18</w:t>
      </w:r>
      <w:r w:rsidRPr="00033E65">
        <w:t>) son ejecutadas por la Administración, de lo cual se concluye que el De</w:t>
      </w:r>
      <w:r w:rsidR="00A746A4" w:rsidRPr="00033E65">
        <w:t>spacho solicita un 1</w:t>
      </w:r>
      <w:r w:rsidR="00FE74DE" w:rsidRPr="00033E65">
        <w:t>11</w:t>
      </w:r>
      <w:r w:rsidRPr="00033E65">
        <w:t xml:space="preserve">% de lo esperado. </w:t>
      </w:r>
      <w:r w:rsidR="00A746A4" w:rsidRPr="00033E65">
        <w:t xml:space="preserve">A diciembre del </w:t>
      </w:r>
      <w:r w:rsidR="00FE74DE" w:rsidRPr="00033E65">
        <w:t xml:space="preserve">2022 </w:t>
      </w:r>
      <w:r w:rsidRPr="00033E65">
        <w:t xml:space="preserve">el Juzgado cuenta con </w:t>
      </w:r>
      <w:r w:rsidR="00AF078C" w:rsidRPr="00033E65">
        <w:t xml:space="preserve">58 </w:t>
      </w:r>
      <w:r w:rsidRPr="00033E65">
        <w:t xml:space="preserve">señalamientos con un plazo de </w:t>
      </w:r>
      <w:r w:rsidR="00AF078C" w:rsidRPr="00033E65">
        <w:t xml:space="preserve">99 </w:t>
      </w:r>
      <w:r w:rsidR="00BB2C61" w:rsidRPr="00033E65">
        <w:t>días (</w:t>
      </w:r>
      <w:r w:rsidR="00AF078C" w:rsidRPr="00033E65">
        <w:t xml:space="preserve">3 </w:t>
      </w:r>
      <w:r w:rsidRPr="00033E65">
        <w:t>meses aproximadamente)</w:t>
      </w:r>
      <w:r w:rsidR="00A4157F" w:rsidRPr="00033E65">
        <w:t xml:space="preserve">. </w:t>
      </w:r>
    </w:p>
    <w:p w14:paraId="70915DDE" w14:textId="6CCDCAFC" w:rsidR="008424AA" w:rsidRPr="00033E65" w:rsidRDefault="008424AA" w:rsidP="008424AA">
      <w:pPr>
        <w:ind w:right="49"/>
      </w:pPr>
      <w:r w:rsidRPr="00033E65">
        <w:t xml:space="preserve">Al respecto con el Juzgado Agrario de Goicoechea, únicamente tienen los martes y vienes asignados, ya que existe mucha demanda por parte de las demás oficinas del circuito, por lo que se ve limitado la asignación para otros días. De </w:t>
      </w:r>
      <w:r w:rsidR="00866ED0" w:rsidRPr="00033E65">
        <w:t>8</w:t>
      </w:r>
      <w:r w:rsidRPr="00033E65">
        <w:t xml:space="preserve"> solicitudes en promedio que realiza el Despacho a la Administración, </w:t>
      </w:r>
      <w:r w:rsidR="005A0B90" w:rsidRPr="00033E65">
        <w:t>está</w:t>
      </w:r>
      <w:r w:rsidRPr="00033E65">
        <w:t xml:space="preserve"> </w:t>
      </w:r>
      <w:r w:rsidR="005A0B90" w:rsidRPr="00033E65">
        <w:t>ejecutando la misma cantidad</w:t>
      </w:r>
      <w:r w:rsidRPr="00033E65">
        <w:t>, dato que concuerda con la limitante del circui</w:t>
      </w:r>
      <w:r w:rsidR="005A0B90" w:rsidRPr="00033E65">
        <w:t xml:space="preserve">to, por lo que se solicita un </w:t>
      </w:r>
      <w:r w:rsidR="00866ED0" w:rsidRPr="00033E65">
        <w:t>48</w:t>
      </w:r>
      <w:r w:rsidRPr="00033E65">
        <w:t xml:space="preserve">% de lo esperado. </w:t>
      </w:r>
      <w:r w:rsidR="003077F6" w:rsidRPr="00033E65">
        <w:t>A diciembre de</w:t>
      </w:r>
      <w:r w:rsidR="005A0B90" w:rsidRPr="00033E65">
        <w:t xml:space="preserve">l </w:t>
      </w:r>
      <w:r w:rsidR="00866ED0" w:rsidRPr="00033E65">
        <w:t xml:space="preserve">2022 </w:t>
      </w:r>
      <w:r w:rsidRPr="00033E65">
        <w:t xml:space="preserve">el Despacho cuenta con </w:t>
      </w:r>
      <w:r w:rsidR="00866ED0" w:rsidRPr="00033E65">
        <w:t xml:space="preserve">47 </w:t>
      </w:r>
      <w:r w:rsidRPr="00033E65">
        <w:t>señalamient</w:t>
      </w:r>
      <w:r w:rsidR="005A0B90" w:rsidRPr="00033E65">
        <w:t xml:space="preserve">os a audiencia con un plazo de </w:t>
      </w:r>
      <w:r w:rsidR="001E4EC9" w:rsidRPr="00033E65">
        <w:t xml:space="preserve">117 </w:t>
      </w:r>
      <w:r w:rsidRPr="00033E65">
        <w:t>días el ultimo señalamiento</w:t>
      </w:r>
      <w:r w:rsidR="00DB3B7B" w:rsidRPr="00033E65">
        <w:t xml:space="preserve">. </w:t>
      </w:r>
      <w:r w:rsidRPr="00033E65">
        <w:t xml:space="preserve">Se tiene la limitante para este Despacho el poder cumplir con lo esperado, ya como bien se indica en líneas anteriores, no existe la posibilidad de transporte más días a la semana.  </w:t>
      </w:r>
    </w:p>
    <w:p w14:paraId="57492D0E" w14:textId="4F2B73A4" w:rsidR="005A0B90" w:rsidRPr="00033E65" w:rsidRDefault="005A0B90" w:rsidP="008424AA">
      <w:pPr>
        <w:ind w:right="49"/>
      </w:pPr>
      <w:r w:rsidRPr="00033E65">
        <w:t>En cuanto al Juzgado Agrario de Puntarenas, Sede Jicaral, al contar con un Despacho unipersonal, debe salir por mes ocho (8) veces fuera del Despacho, por lo que con la asignación actual se puede cumplir con lo esperado, ya que la Administración le asigna el vehículo de lunes a viernes</w:t>
      </w:r>
      <w:r w:rsidR="00DB3B7B" w:rsidRPr="00033E65">
        <w:t xml:space="preserve"> pero sin chofer, lo debe manejar personal autorizado. </w:t>
      </w:r>
      <w:r w:rsidR="00040855" w:rsidRPr="00033E65">
        <w:t>Este despacho inicio labores</w:t>
      </w:r>
      <w:r w:rsidR="00834C6F" w:rsidRPr="00033E65">
        <w:t xml:space="preserve"> </w:t>
      </w:r>
      <w:r w:rsidR="00FC07DB" w:rsidRPr="00033E65">
        <w:t>en</w:t>
      </w:r>
      <w:r w:rsidR="00834C6F" w:rsidRPr="00033E65">
        <w:t xml:space="preserve"> mayo del 2021</w:t>
      </w:r>
      <w:r w:rsidR="006807DE" w:rsidRPr="00033E65">
        <w:t>.</w:t>
      </w:r>
    </w:p>
    <w:p w14:paraId="13CAF1C1" w14:textId="11F72020" w:rsidR="008424AA" w:rsidRPr="00033E65" w:rsidRDefault="008424AA" w:rsidP="008424AA">
      <w:pPr>
        <w:ind w:right="49"/>
      </w:pPr>
      <w:r w:rsidRPr="00033E65">
        <w:t>En cu</w:t>
      </w:r>
      <w:r w:rsidR="00E903AE" w:rsidRPr="00033E65">
        <w:t>a</w:t>
      </w:r>
      <w:r w:rsidRPr="00033E65">
        <w:t xml:space="preserve">nto a los Juzgados de naturaleza mixta, la cantidad de señalamientos fuera del Despacho es menor, por lo que el Juzgado de Buenos Aires realiza </w:t>
      </w:r>
      <w:r w:rsidR="00F56E15" w:rsidRPr="00033E65">
        <w:t>en promedio de nueve</w:t>
      </w:r>
      <w:r w:rsidRPr="00033E65">
        <w:t xml:space="preserve"> (</w:t>
      </w:r>
      <w:r w:rsidR="00F56E15" w:rsidRPr="00033E65">
        <w:t>9</w:t>
      </w:r>
      <w:r w:rsidRPr="00033E65">
        <w:t>) señalamientos al mes, por lo que la Administración les asigna los lunes</w:t>
      </w:r>
      <w:r w:rsidR="00F56E15" w:rsidRPr="00033E65">
        <w:t>, martes y jueves</w:t>
      </w:r>
      <w:r w:rsidRPr="00033E65">
        <w:t xml:space="preserve"> el vehículo, pero lo conduce el propio Juez y el jueves con chofer. </w:t>
      </w:r>
    </w:p>
    <w:p w14:paraId="6BA9465D" w14:textId="74700E78" w:rsidR="008424AA" w:rsidRPr="00033E65" w:rsidRDefault="008424AA" w:rsidP="008424AA">
      <w:pPr>
        <w:ind w:right="49"/>
      </w:pPr>
      <w:r w:rsidRPr="00033E65">
        <w:t xml:space="preserve">En el caso de Upala, utilizan el vehículo </w:t>
      </w:r>
      <w:r w:rsidR="00F474D4" w:rsidRPr="00033E65">
        <w:t xml:space="preserve">asignado por la </w:t>
      </w:r>
      <w:r w:rsidR="00955B7E" w:rsidRPr="00033E65">
        <w:t>Administración</w:t>
      </w:r>
      <w:r w:rsidR="00F474D4" w:rsidRPr="00033E65">
        <w:t xml:space="preserve"> Regional de San </w:t>
      </w:r>
      <w:r w:rsidR="00955B7E" w:rsidRPr="00033E65">
        <w:t>Carlos los</w:t>
      </w:r>
      <w:r w:rsidR="00422381" w:rsidRPr="00033E65">
        <w:t xml:space="preserve"> días</w:t>
      </w:r>
      <w:r w:rsidR="00955B7E" w:rsidRPr="00033E65">
        <w:t xml:space="preserve"> martes</w:t>
      </w:r>
      <w:r w:rsidRPr="00033E65">
        <w:t xml:space="preserve"> y viernes, por lo que realizan en teoría ocho (8) señalamientos diarios. </w:t>
      </w:r>
    </w:p>
    <w:p w14:paraId="57FD420A" w14:textId="2EC21797" w:rsidR="008424AA" w:rsidRPr="00033E65" w:rsidRDefault="008424AA" w:rsidP="008424AA">
      <w:pPr>
        <w:ind w:right="49"/>
      </w:pPr>
      <w:r w:rsidRPr="00033E65">
        <w:t>En el caso de Turrialba, según ind</w:t>
      </w:r>
      <w:r w:rsidR="00E20BD6" w:rsidRPr="00033E65">
        <w:t>ica la Administración Regional, los días</w:t>
      </w:r>
      <w:r w:rsidRPr="00033E65">
        <w:t xml:space="preserve"> jueves tienen asignado un vehículo con chofer. </w:t>
      </w:r>
    </w:p>
    <w:p w14:paraId="670FD624" w14:textId="31997AB2" w:rsidR="007C4002" w:rsidRPr="00033E65" w:rsidRDefault="007C4002" w:rsidP="008424AA">
      <w:pPr>
        <w:ind w:right="49"/>
      </w:pPr>
      <w:r w:rsidRPr="00033E65">
        <w:t>A partir de la información anterior los siguientes despachos tendrían requerimiento de vehículo:</w:t>
      </w:r>
    </w:p>
    <w:p w14:paraId="6804C698" w14:textId="13CE974C" w:rsidR="000A24A4" w:rsidRPr="00033E65" w:rsidRDefault="000A24A4" w:rsidP="000A24A4">
      <w:pPr>
        <w:ind w:right="49"/>
        <w:jc w:val="center"/>
        <w:rPr>
          <w:b/>
          <w:bCs/>
          <w:color w:val="244061" w:themeColor="accent1" w:themeShade="80"/>
        </w:rPr>
      </w:pPr>
      <w:r w:rsidRPr="00033E65">
        <w:rPr>
          <w:b/>
          <w:bCs/>
          <w:color w:val="244061" w:themeColor="accent1" w:themeShade="80"/>
        </w:rPr>
        <w:t>Cuadro 27</w:t>
      </w:r>
    </w:p>
    <w:p w14:paraId="778EEE30" w14:textId="506378EB" w:rsidR="000A24A4" w:rsidRPr="00033E65" w:rsidRDefault="000A24A4" w:rsidP="000A24A4">
      <w:pPr>
        <w:ind w:right="49"/>
        <w:jc w:val="center"/>
        <w:rPr>
          <w:b/>
          <w:bCs/>
          <w:color w:val="244061" w:themeColor="accent1" w:themeShade="80"/>
        </w:rPr>
      </w:pPr>
      <w:r w:rsidRPr="00033E65">
        <w:rPr>
          <w:b/>
          <w:bCs/>
          <w:color w:val="244061" w:themeColor="accent1" w:themeShade="80"/>
        </w:rPr>
        <w:t>Detalle necesidad de vehículo para Juzgados que atienden materia Agraria</w:t>
      </w:r>
    </w:p>
    <w:p w14:paraId="1322B128" w14:textId="420E5AE6" w:rsidR="000A24A4" w:rsidRPr="00033E65" w:rsidRDefault="000A24A4" w:rsidP="000A24A4">
      <w:pPr>
        <w:ind w:right="49"/>
        <w:jc w:val="center"/>
        <w:rPr>
          <w:b/>
          <w:bCs/>
          <w:color w:val="244061" w:themeColor="accent1" w:themeShade="80"/>
        </w:rPr>
      </w:pPr>
      <w:r w:rsidRPr="00033E65">
        <w:rPr>
          <w:b/>
          <w:bCs/>
          <w:color w:val="244061" w:themeColor="accent1" w:themeShade="80"/>
        </w:rPr>
        <w:t>2022</w:t>
      </w:r>
    </w:p>
    <w:tbl>
      <w:tblPr>
        <w:tblW w:w="9049" w:type="dxa"/>
        <w:tblCellMar>
          <w:left w:w="70" w:type="dxa"/>
          <w:right w:w="70" w:type="dxa"/>
        </w:tblCellMar>
        <w:tblLook w:val="04A0" w:firstRow="1" w:lastRow="0" w:firstColumn="1" w:lastColumn="0" w:noHBand="0" w:noVBand="1"/>
      </w:tblPr>
      <w:tblGrid>
        <w:gridCol w:w="2457"/>
        <w:gridCol w:w="1276"/>
        <w:gridCol w:w="1717"/>
        <w:gridCol w:w="1008"/>
        <w:gridCol w:w="1179"/>
        <w:gridCol w:w="1412"/>
      </w:tblGrid>
      <w:tr w:rsidR="003E0385" w:rsidRPr="00033E65" w14:paraId="1E42A499" w14:textId="77777777" w:rsidTr="00274042">
        <w:trPr>
          <w:trHeight w:val="2030"/>
        </w:trPr>
        <w:tc>
          <w:tcPr>
            <w:tcW w:w="2457"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6BF40179" w14:textId="77777777" w:rsidR="003E0385" w:rsidRPr="00033E65" w:rsidRDefault="003E0385" w:rsidP="00F53EC1">
            <w:pPr>
              <w:spacing w:before="0" w:after="0"/>
              <w:jc w:val="center"/>
              <w:rPr>
                <w:rFonts w:cs="Calibri"/>
                <w:b/>
                <w:bCs/>
                <w:color w:val="EEECE1"/>
                <w:szCs w:val="22"/>
                <w:lang w:eastAsia="es-CR"/>
              </w:rPr>
            </w:pPr>
            <w:r w:rsidRPr="00033E65">
              <w:rPr>
                <w:rFonts w:cs="Calibri"/>
                <w:b/>
                <w:bCs/>
                <w:color w:val="EEECE1"/>
                <w:szCs w:val="22"/>
                <w:lang w:eastAsia="es-CR"/>
              </w:rPr>
              <w:t>Despachos</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0AE97306" w14:textId="77777777" w:rsidR="003E0385" w:rsidRPr="00033E65" w:rsidRDefault="003E0385" w:rsidP="00F53EC1">
            <w:pPr>
              <w:spacing w:before="0" w:after="0"/>
              <w:jc w:val="center"/>
              <w:rPr>
                <w:rFonts w:cs="Calibri"/>
                <w:b/>
                <w:bCs/>
                <w:color w:val="EEECE1"/>
                <w:szCs w:val="22"/>
                <w:lang w:eastAsia="es-CR"/>
              </w:rPr>
            </w:pPr>
            <w:r w:rsidRPr="00033E65">
              <w:rPr>
                <w:rFonts w:cs="Calibri"/>
                <w:b/>
                <w:bCs/>
                <w:color w:val="EEECE1"/>
                <w:szCs w:val="22"/>
                <w:lang w:eastAsia="es-CR"/>
              </w:rPr>
              <w:t>Solicitudes teóricas que debe realizar el despacho (necesidad Reforma Agraria)</w:t>
            </w:r>
          </w:p>
        </w:tc>
        <w:tc>
          <w:tcPr>
            <w:tcW w:w="1717" w:type="dxa"/>
            <w:tcBorders>
              <w:top w:val="double" w:sz="6" w:space="0" w:color="1F497D"/>
              <w:left w:val="nil"/>
              <w:bottom w:val="double" w:sz="6" w:space="0" w:color="1F497D"/>
              <w:right w:val="double" w:sz="6" w:space="0" w:color="1F497D"/>
            </w:tcBorders>
            <w:shd w:val="clear" w:color="000000" w:fill="31869B"/>
            <w:vAlign w:val="center"/>
            <w:hideMark/>
          </w:tcPr>
          <w:p w14:paraId="38EE6E98" w14:textId="77777777" w:rsidR="003E0385" w:rsidRPr="00033E65" w:rsidRDefault="003E0385" w:rsidP="00F53EC1">
            <w:pPr>
              <w:spacing w:before="0" w:after="0"/>
              <w:jc w:val="center"/>
              <w:rPr>
                <w:rFonts w:cs="Calibri"/>
                <w:b/>
                <w:bCs/>
                <w:color w:val="EEECE1"/>
                <w:szCs w:val="22"/>
                <w:lang w:eastAsia="es-CR"/>
              </w:rPr>
            </w:pPr>
            <w:r w:rsidRPr="00033E65">
              <w:rPr>
                <w:rFonts w:cs="Calibri"/>
                <w:b/>
                <w:bCs/>
                <w:color w:val="EEECE1"/>
                <w:szCs w:val="22"/>
                <w:lang w:eastAsia="es-CR"/>
              </w:rPr>
              <w:t>Cantidad asignada por la Administración Regional</w:t>
            </w:r>
          </w:p>
        </w:tc>
        <w:tc>
          <w:tcPr>
            <w:tcW w:w="1008" w:type="dxa"/>
            <w:tcBorders>
              <w:top w:val="double" w:sz="6" w:space="0" w:color="1F497D"/>
              <w:left w:val="nil"/>
              <w:bottom w:val="double" w:sz="6" w:space="0" w:color="1F497D"/>
              <w:right w:val="single" w:sz="4" w:space="0" w:color="auto"/>
            </w:tcBorders>
            <w:shd w:val="clear" w:color="000000" w:fill="31869B"/>
            <w:vAlign w:val="center"/>
            <w:hideMark/>
          </w:tcPr>
          <w:p w14:paraId="2E1586A6" w14:textId="77777777" w:rsidR="003E0385" w:rsidRPr="00033E65" w:rsidRDefault="003E0385" w:rsidP="00F53EC1">
            <w:pPr>
              <w:spacing w:before="0" w:after="0"/>
              <w:jc w:val="center"/>
              <w:rPr>
                <w:rFonts w:cs="Calibri"/>
                <w:b/>
                <w:bCs/>
                <w:color w:val="EEECE1"/>
                <w:szCs w:val="22"/>
                <w:lang w:eastAsia="es-CR"/>
              </w:rPr>
            </w:pPr>
            <w:r w:rsidRPr="00033E65">
              <w:rPr>
                <w:rFonts w:cs="Calibri"/>
                <w:b/>
                <w:bCs/>
                <w:color w:val="EEECE1"/>
                <w:szCs w:val="22"/>
                <w:lang w:eastAsia="es-CR"/>
              </w:rPr>
              <w:t>¿Existe faltante?</w:t>
            </w:r>
          </w:p>
        </w:tc>
        <w:tc>
          <w:tcPr>
            <w:tcW w:w="1179" w:type="dxa"/>
            <w:tcBorders>
              <w:top w:val="single" w:sz="4" w:space="0" w:color="auto"/>
              <w:left w:val="single" w:sz="4" w:space="0" w:color="auto"/>
              <w:bottom w:val="single" w:sz="4" w:space="0" w:color="auto"/>
              <w:right w:val="single" w:sz="4" w:space="0" w:color="auto"/>
            </w:tcBorders>
            <w:shd w:val="clear" w:color="000000" w:fill="31869B"/>
            <w:vAlign w:val="center"/>
          </w:tcPr>
          <w:p w14:paraId="69B834C3" w14:textId="333FC3E4" w:rsidR="003E0385" w:rsidRPr="00033E65" w:rsidRDefault="003E0385" w:rsidP="00F53EC1">
            <w:pPr>
              <w:spacing w:before="0" w:after="0"/>
              <w:jc w:val="center"/>
              <w:rPr>
                <w:rFonts w:cs="Calibri"/>
                <w:b/>
                <w:bCs/>
                <w:color w:val="EEECE1"/>
                <w:szCs w:val="22"/>
                <w:lang w:eastAsia="es-CR"/>
              </w:rPr>
            </w:pPr>
            <w:r w:rsidRPr="00033E65">
              <w:rPr>
                <w:rFonts w:cs="Calibri"/>
                <w:b/>
                <w:bCs/>
                <w:color w:val="EEECE1"/>
                <w:szCs w:val="22"/>
                <w:lang w:eastAsia="es-CR"/>
              </w:rPr>
              <w:t xml:space="preserve">Cantidad de vehículos </w:t>
            </w:r>
            <w:r w:rsidR="00F53EC1" w:rsidRPr="00033E65">
              <w:rPr>
                <w:rFonts w:cs="Calibri"/>
                <w:b/>
                <w:bCs/>
                <w:color w:val="EEECE1"/>
                <w:szCs w:val="22"/>
                <w:lang w:eastAsia="es-CR"/>
              </w:rPr>
              <w:t>con chofer necesarios</w:t>
            </w:r>
          </w:p>
        </w:tc>
        <w:tc>
          <w:tcPr>
            <w:tcW w:w="1412" w:type="dxa"/>
            <w:tcBorders>
              <w:top w:val="single" w:sz="4" w:space="0" w:color="auto"/>
              <w:left w:val="single" w:sz="4" w:space="0" w:color="auto"/>
              <w:bottom w:val="single" w:sz="4" w:space="0" w:color="auto"/>
              <w:right w:val="single" w:sz="4" w:space="0" w:color="auto"/>
            </w:tcBorders>
            <w:shd w:val="clear" w:color="000000" w:fill="31869B"/>
            <w:vAlign w:val="center"/>
            <w:hideMark/>
          </w:tcPr>
          <w:p w14:paraId="0ADB6872" w14:textId="4EF009E3" w:rsidR="003E0385" w:rsidRPr="00033E65" w:rsidRDefault="003E0385" w:rsidP="00F53EC1">
            <w:pPr>
              <w:spacing w:before="0" w:after="0"/>
              <w:jc w:val="center"/>
              <w:rPr>
                <w:rFonts w:cs="Calibri"/>
                <w:b/>
                <w:bCs/>
                <w:color w:val="EEECE1"/>
                <w:szCs w:val="22"/>
                <w:lang w:eastAsia="es-CR"/>
              </w:rPr>
            </w:pPr>
            <w:r w:rsidRPr="00033E65">
              <w:rPr>
                <w:rFonts w:cs="Calibri"/>
                <w:b/>
                <w:bCs/>
                <w:color w:val="EEECE1"/>
                <w:szCs w:val="22"/>
                <w:lang w:eastAsia="es-CR"/>
              </w:rPr>
              <w:t>Se reforzó con vehículo para el 2022, según 616-DE-2022</w:t>
            </w:r>
          </w:p>
        </w:tc>
      </w:tr>
      <w:tr w:rsidR="003E0385" w:rsidRPr="00033E65" w14:paraId="1ED796E1" w14:textId="77777777" w:rsidTr="00274042">
        <w:trPr>
          <w:trHeight w:val="310"/>
        </w:trPr>
        <w:tc>
          <w:tcPr>
            <w:tcW w:w="2457" w:type="dxa"/>
            <w:tcBorders>
              <w:top w:val="nil"/>
              <w:left w:val="double" w:sz="6" w:space="0" w:color="1F497D"/>
              <w:bottom w:val="double" w:sz="6" w:space="0" w:color="1F497D"/>
              <w:right w:val="double" w:sz="6" w:space="0" w:color="1F497D"/>
            </w:tcBorders>
            <w:shd w:val="clear" w:color="auto" w:fill="auto"/>
            <w:vAlign w:val="center"/>
            <w:hideMark/>
          </w:tcPr>
          <w:p w14:paraId="7DB14A7C" w14:textId="77777777" w:rsidR="003E0385" w:rsidRPr="00033E65" w:rsidRDefault="003E0385" w:rsidP="0087671C">
            <w:pPr>
              <w:spacing w:before="0" w:after="0"/>
              <w:jc w:val="left"/>
              <w:rPr>
                <w:rFonts w:cs="Calibri"/>
                <w:color w:val="000000"/>
                <w:szCs w:val="22"/>
                <w:lang w:eastAsia="es-CR"/>
              </w:rPr>
            </w:pPr>
            <w:r w:rsidRPr="00033E65">
              <w:rPr>
                <w:rFonts w:cs="Calibri"/>
                <w:color w:val="000000"/>
                <w:szCs w:val="22"/>
                <w:lang w:eastAsia="es-CR"/>
              </w:rPr>
              <w:t>Juzgado Agrario Cartago</w:t>
            </w:r>
          </w:p>
        </w:tc>
        <w:tc>
          <w:tcPr>
            <w:tcW w:w="1276" w:type="dxa"/>
            <w:tcBorders>
              <w:top w:val="nil"/>
              <w:left w:val="nil"/>
              <w:bottom w:val="double" w:sz="6" w:space="0" w:color="1F497D"/>
              <w:right w:val="double" w:sz="6" w:space="0" w:color="1F497D"/>
            </w:tcBorders>
            <w:shd w:val="clear" w:color="auto" w:fill="auto"/>
            <w:vAlign w:val="center"/>
            <w:hideMark/>
          </w:tcPr>
          <w:p w14:paraId="15836D23"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6DFE9561" w14:textId="1CB48E9C" w:rsidR="003E0385" w:rsidRPr="0043490A" w:rsidRDefault="003E0385" w:rsidP="007C4002">
            <w:pPr>
              <w:spacing w:before="0" w:after="0"/>
              <w:jc w:val="center"/>
              <w:rPr>
                <w:rFonts w:cs="Calibri"/>
                <w:color w:val="000000"/>
                <w:szCs w:val="22"/>
                <w:lang w:eastAsia="es-CR"/>
              </w:rPr>
            </w:pPr>
            <w:r w:rsidRPr="00033E65">
              <w:rPr>
                <w:rFonts w:cs="Calibri"/>
                <w:color w:val="000000"/>
                <w:szCs w:val="22"/>
                <w:lang w:eastAsia="es-CR"/>
              </w:rPr>
              <w:t>9</w:t>
            </w:r>
          </w:p>
        </w:tc>
        <w:tc>
          <w:tcPr>
            <w:tcW w:w="1008" w:type="dxa"/>
            <w:tcBorders>
              <w:top w:val="nil"/>
              <w:left w:val="nil"/>
              <w:bottom w:val="double" w:sz="6" w:space="0" w:color="1F497D"/>
              <w:right w:val="single" w:sz="4" w:space="0" w:color="auto"/>
            </w:tcBorders>
            <w:shd w:val="clear" w:color="auto" w:fill="auto"/>
            <w:vAlign w:val="center"/>
            <w:hideMark/>
          </w:tcPr>
          <w:p w14:paraId="5AB596E2"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c>
          <w:tcPr>
            <w:tcW w:w="1179" w:type="dxa"/>
            <w:tcBorders>
              <w:top w:val="single" w:sz="4" w:space="0" w:color="auto"/>
              <w:left w:val="single" w:sz="4" w:space="0" w:color="auto"/>
              <w:bottom w:val="single" w:sz="4" w:space="0" w:color="auto"/>
              <w:right w:val="single" w:sz="4" w:space="0" w:color="auto"/>
            </w:tcBorders>
            <w:vAlign w:val="center"/>
          </w:tcPr>
          <w:p w14:paraId="2B232756" w14:textId="30220660" w:rsidR="003E0385" w:rsidRPr="00033E65" w:rsidRDefault="00F53EC1" w:rsidP="00F53EC1">
            <w:pPr>
              <w:spacing w:before="0" w:after="0"/>
              <w:jc w:val="center"/>
              <w:rPr>
                <w:rFonts w:cs="Calibri"/>
                <w:color w:val="000000"/>
                <w:szCs w:val="22"/>
                <w:lang w:eastAsia="es-CR"/>
              </w:rPr>
            </w:pPr>
            <w:r w:rsidRPr="00033E65">
              <w:rPr>
                <w:rFonts w:cs="Calibri"/>
                <w:color w:val="000000"/>
                <w:szCs w:val="22"/>
                <w:lang w:eastAsia="es-CR"/>
              </w:rPr>
              <w:t>1</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A44A1" w14:textId="2B42577D"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r>
      <w:tr w:rsidR="003E0385" w:rsidRPr="00033E65" w14:paraId="71CC5E1A" w14:textId="77777777" w:rsidTr="00274042">
        <w:trPr>
          <w:trHeight w:val="310"/>
        </w:trPr>
        <w:tc>
          <w:tcPr>
            <w:tcW w:w="2457" w:type="dxa"/>
            <w:tcBorders>
              <w:top w:val="nil"/>
              <w:left w:val="double" w:sz="6" w:space="0" w:color="1F497D"/>
              <w:bottom w:val="double" w:sz="6" w:space="0" w:color="1F497D"/>
              <w:right w:val="double" w:sz="6" w:space="0" w:color="1F497D"/>
            </w:tcBorders>
            <w:shd w:val="clear" w:color="auto" w:fill="auto"/>
            <w:vAlign w:val="center"/>
            <w:hideMark/>
          </w:tcPr>
          <w:p w14:paraId="4FC3E6AA" w14:textId="77777777" w:rsidR="003E0385" w:rsidRPr="00033E65" w:rsidRDefault="003E0385" w:rsidP="0087671C">
            <w:pPr>
              <w:spacing w:before="0" w:after="0"/>
              <w:jc w:val="left"/>
              <w:rPr>
                <w:rFonts w:cs="Calibri"/>
                <w:color w:val="000000"/>
                <w:szCs w:val="22"/>
                <w:lang w:eastAsia="es-CR"/>
              </w:rPr>
            </w:pPr>
            <w:r w:rsidRPr="00033E65">
              <w:rPr>
                <w:rFonts w:cs="Calibri"/>
                <w:color w:val="000000"/>
                <w:szCs w:val="22"/>
                <w:lang w:eastAsia="es-CR"/>
              </w:rPr>
              <w:t>Juzgado Agrario de Pérez Zeledón</w:t>
            </w:r>
          </w:p>
        </w:tc>
        <w:tc>
          <w:tcPr>
            <w:tcW w:w="1276" w:type="dxa"/>
            <w:tcBorders>
              <w:top w:val="nil"/>
              <w:left w:val="nil"/>
              <w:bottom w:val="double" w:sz="6" w:space="0" w:color="1F497D"/>
              <w:right w:val="double" w:sz="6" w:space="0" w:color="1F497D"/>
            </w:tcBorders>
            <w:shd w:val="clear" w:color="auto" w:fill="auto"/>
            <w:vAlign w:val="center"/>
            <w:hideMark/>
          </w:tcPr>
          <w:p w14:paraId="2974F90D"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8</w:t>
            </w:r>
          </w:p>
        </w:tc>
        <w:tc>
          <w:tcPr>
            <w:tcW w:w="1717" w:type="dxa"/>
            <w:tcBorders>
              <w:top w:val="nil"/>
              <w:left w:val="nil"/>
              <w:bottom w:val="double" w:sz="6" w:space="0" w:color="1F497D"/>
              <w:right w:val="double" w:sz="6" w:space="0" w:color="1F497D"/>
            </w:tcBorders>
            <w:shd w:val="clear" w:color="auto" w:fill="auto"/>
            <w:vAlign w:val="center"/>
            <w:hideMark/>
          </w:tcPr>
          <w:p w14:paraId="078333C7"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9</w:t>
            </w:r>
          </w:p>
        </w:tc>
        <w:tc>
          <w:tcPr>
            <w:tcW w:w="1008" w:type="dxa"/>
            <w:tcBorders>
              <w:top w:val="nil"/>
              <w:left w:val="nil"/>
              <w:bottom w:val="double" w:sz="6" w:space="0" w:color="1F497D"/>
              <w:right w:val="single" w:sz="4" w:space="0" w:color="auto"/>
            </w:tcBorders>
            <w:shd w:val="clear" w:color="auto" w:fill="auto"/>
            <w:vAlign w:val="center"/>
            <w:hideMark/>
          </w:tcPr>
          <w:p w14:paraId="4F661AC8"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No</w:t>
            </w:r>
          </w:p>
        </w:tc>
        <w:tc>
          <w:tcPr>
            <w:tcW w:w="1179" w:type="dxa"/>
            <w:tcBorders>
              <w:top w:val="single" w:sz="4" w:space="0" w:color="auto"/>
              <w:left w:val="single" w:sz="4" w:space="0" w:color="auto"/>
              <w:bottom w:val="single" w:sz="4" w:space="0" w:color="auto"/>
              <w:right w:val="single" w:sz="4" w:space="0" w:color="auto"/>
            </w:tcBorders>
            <w:vAlign w:val="center"/>
          </w:tcPr>
          <w:p w14:paraId="13BA15C8" w14:textId="7A1F74D5" w:rsidR="003E0385" w:rsidRPr="00033E65" w:rsidRDefault="00F53EC1" w:rsidP="00F53EC1">
            <w:pPr>
              <w:spacing w:before="0" w:after="0"/>
              <w:jc w:val="center"/>
              <w:rPr>
                <w:rFonts w:cs="Calibri"/>
                <w:color w:val="000000"/>
                <w:szCs w:val="22"/>
                <w:lang w:eastAsia="es-CR"/>
              </w:rPr>
            </w:pPr>
            <w:r w:rsidRPr="00033E65">
              <w:rPr>
                <w:rFonts w:cs="Calibri"/>
                <w:color w:val="000000"/>
                <w:szCs w:val="22"/>
                <w:lang w:eastAsia="es-CR"/>
              </w:rPr>
              <w:t>0</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E3B0F" w14:textId="67D5E4DE"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No</w:t>
            </w:r>
          </w:p>
        </w:tc>
      </w:tr>
      <w:tr w:rsidR="003E0385" w:rsidRPr="00033E65" w14:paraId="15F8B7E2" w14:textId="77777777" w:rsidTr="00274042">
        <w:trPr>
          <w:trHeight w:val="310"/>
        </w:trPr>
        <w:tc>
          <w:tcPr>
            <w:tcW w:w="2457" w:type="dxa"/>
            <w:tcBorders>
              <w:top w:val="nil"/>
              <w:left w:val="double" w:sz="6" w:space="0" w:color="1F497D"/>
              <w:bottom w:val="double" w:sz="6" w:space="0" w:color="1F497D"/>
              <w:right w:val="double" w:sz="6" w:space="0" w:color="1F497D"/>
            </w:tcBorders>
            <w:shd w:val="clear" w:color="auto" w:fill="auto"/>
            <w:vAlign w:val="center"/>
            <w:hideMark/>
          </w:tcPr>
          <w:p w14:paraId="4842F95D" w14:textId="77777777" w:rsidR="003E0385" w:rsidRPr="00033E65" w:rsidRDefault="003E0385" w:rsidP="0087671C">
            <w:pPr>
              <w:spacing w:before="0" w:after="0"/>
              <w:jc w:val="left"/>
              <w:rPr>
                <w:rFonts w:cs="Calibri"/>
                <w:color w:val="000000"/>
                <w:szCs w:val="22"/>
                <w:lang w:eastAsia="es-CR"/>
              </w:rPr>
            </w:pPr>
            <w:r w:rsidRPr="00033E65">
              <w:rPr>
                <w:rFonts w:cs="Calibri"/>
                <w:color w:val="000000"/>
                <w:szCs w:val="22"/>
                <w:lang w:eastAsia="es-CR"/>
              </w:rPr>
              <w:t>Juzgado Agrario de Limón</w:t>
            </w:r>
          </w:p>
        </w:tc>
        <w:tc>
          <w:tcPr>
            <w:tcW w:w="1276" w:type="dxa"/>
            <w:tcBorders>
              <w:top w:val="nil"/>
              <w:left w:val="nil"/>
              <w:bottom w:val="double" w:sz="6" w:space="0" w:color="1F497D"/>
              <w:right w:val="double" w:sz="6" w:space="0" w:color="1F497D"/>
            </w:tcBorders>
            <w:shd w:val="clear" w:color="auto" w:fill="auto"/>
            <w:vAlign w:val="center"/>
            <w:hideMark/>
          </w:tcPr>
          <w:p w14:paraId="4C65509B"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65D232C2" w14:textId="4A4B1F8A" w:rsidR="003E0385" w:rsidRPr="0043490A" w:rsidRDefault="003E0385" w:rsidP="007C4002">
            <w:pPr>
              <w:spacing w:before="0" w:after="0"/>
              <w:jc w:val="center"/>
              <w:rPr>
                <w:rFonts w:cs="Calibri"/>
                <w:color w:val="000000"/>
                <w:szCs w:val="22"/>
                <w:lang w:eastAsia="es-CR"/>
              </w:rPr>
            </w:pPr>
            <w:r w:rsidRPr="00033E65">
              <w:rPr>
                <w:rFonts w:cs="Calibri"/>
                <w:color w:val="000000"/>
                <w:szCs w:val="22"/>
                <w:lang w:eastAsia="es-CR"/>
              </w:rPr>
              <w:t>12</w:t>
            </w:r>
          </w:p>
        </w:tc>
        <w:tc>
          <w:tcPr>
            <w:tcW w:w="1008" w:type="dxa"/>
            <w:tcBorders>
              <w:top w:val="nil"/>
              <w:left w:val="nil"/>
              <w:bottom w:val="double" w:sz="6" w:space="0" w:color="1F497D"/>
              <w:right w:val="single" w:sz="4" w:space="0" w:color="auto"/>
            </w:tcBorders>
            <w:shd w:val="clear" w:color="auto" w:fill="auto"/>
            <w:vAlign w:val="center"/>
            <w:hideMark/>
          </w:tcPr>
          <w:p w14:paraId="4BF21E42"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c>
          <w:tcPr>
            <w:tcW w:w="1179" w:type="dxa"/>
            <w:tcBorders>
              <w:top w:val="single" w:sz="4" w:space="0" w:color="auto"/>
              <w:left w:val="single" w:sz="4" w:space="0" w:color="auto"/>
              <w:bottom w:val="single" w:sz="4" w:space="0" w:color="auto"/>
              <w:right w:val="single" w:sz="4" w:space="0" w:color="auto"/>
            </w:tcBorders>
            <w:vAlign w:val="center"/>
          </w:tcPr>
          <w:p w14:paraId="03BFD08D" w14:textId="472D1148" w:rsidR="003E0385" w:rsidRPr="00033E65" w:rsidRDefault="00F53EC1" w:rsidP="00F53EC1">
            <w:pPr>
              <w:spacing w:before="0" w:after="0"/>
              <w:jc w:val="center"/>
              <w:rPr>
                <w:rFonts w:cs="Calibri"/>
                <w:color w:val="000000"/>
                <w:szCs w:val="22"/>
                <w:lang w:eastAsia="es-CR"/>
              </w:rPr>
            </w:pPr>
            <w:r w:rsidRPr="00033E65">
              <w:rPr>
                <w:rFonts w:cs="Calibri"/>
                <w:color w:val="000000"/>
                <w:szCs w:val="22"/>
                <w:lang w:eastAsia="es-CR"/>
              </w:rPr>
              <w:t>1</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FA564" w14:textId="48AF2F8B"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No</w:t>
            </w:r>
          </w:p>
        </w:tc>
      </w:tr>
      <w:tr w:rsidR="003E0385" w:rsidRPr="00033E65" w14:paraId="5A30485E" w14:textId="77777777" w:rsidTr="00274042">
        <w:trPr>
          <w:trHeight w:val="310"/>
        </w:trPr>
        <w:tc>
          <w:tcPr>
            <w:tcW w:w="2457" w:type="dxa"/>
            <w:tcBorders>
              <w:top w:val="nil"/>
              <w:left w:val="double" w:sz="6" w:space="0" w:color="1F497D"/>
              <w:bottom w:val="double" w:sz="6" w:space="0" w:color="1F497D"/>
              <w:right w:val="double" w:sz="6" w:space="0" w:color="1F497D"/>
            </w:tcBorders>
            <w:shd w:val="clear" w:color="auto" w:fill="auto"/>
            <w:vAlign w:val="center"/>
            <w:hideMark/>
          </w:tcPr>
          <w:p w14:paraId="01B328AE" w14:textId="77777777" w:rsidR="003E0385" w:rsidRPr="00033E65" w:rsidRDefault="003E0385" w:rsidP="0087671C">
            <w:pPr>
              <w:spacing w:before="0" w:after="0"/>
              <w:jc w:val="left"/>
              <w:rPr>
                <w:rFonts w:cs="Calibri"/>
                <w:color w:val="000000"/>
                <w:szCs w:val="22"/>
                <w:lang w:eastAsia="es-CR"/>
              </w:rPr>
            </w:pPr>
            <w:r w:rsidRPr="00033E65">
              <w:rPr>
                <w:rFonts w:cs="Calibri"/>
                <w:color w:val="000000"/>
                <w:szCs w:val="22"/>
                <w:lang w:eastAsia="es-CR"/>
              </w:rPr>
              <w:t>Juzgado Agrario de San Ramón</w:t>
            </w:r>
          </w:p>
        </w:tc>
        <w:tc>
          <w:tcPr>
            <w:tcW w:w="1276" w:type="dxa"/>
            <w:tcBorders>
              <w:top w:val="nil"/>
              <w:left w:val="nil"/>
              <w:bottom w:val="double" w:sz="6" w:space="0" w:color="1F497D"/>
              <w:right w:val="double" w:sz="6" w:space="0" w:color="1F497D"/>
            </w:tcBorders>
            <w:shd w:val="clear" w:color="auto" w:fill="auto"/>
            <w:vAlign w:val="center"/>
            <w:hideMark/>
          </w:tcPr>
          <w:p w14:paraId="512C4AF1"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2B43CE14" w14:textId="67EC42D3"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12</w:t>
            </w:r>
          </w:p>
        </w:tc>
        <w:tc>
          <w:tcPr>
            <w:tcW w:w="1008" w:type="dxa"/>
            <w:tcBorders>
              <w:top w:val="nil"/>
              <w:left w:val="nil"/>
              <w:bottom w:val="double" w:sz="6" w:space="0" w:color="1F497D"/>
              <w:right w:val="single" w:sz="4" w:space="0" w:color="auto"/>
            </w:tcBorders>
            <w:shd w:val="clear" w:color="auto" w:fill="auto"/>
            <w:vAlign w:val="center"/>
            <w:hideMark/>
          </w:tcPr>
          <w:p w14:paraId="6345AD88" w14:textId="216953A8"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c>
          <w:tcPr>
            <w:tcW w:w="1179" w:type="dxa"/>
            <w:tcBorders>
              <w:top w:val="single" w:sz="4" w:space="0" w:color="auto"/>
              <w:left w:val="single" w:sz="4" w:space="0" w:color="auto"/>
              <w:bottom w:val="single" w:sz="4" w:space="0" w:color="auto"/>
              <w:right w:val="single" w:sz="4" w:space="0" w:color="auto"/>
            </w:tcBorders>
            <w:vAlign w:val="center"/>
          </w:tcPr>
          <w:p w14:paraId="7DF587D0" w14:textId="155D7AB7" w:rsidR="003E0385" w:rsidRPr="00033E65" w:rsidRDefault="00F53EC1" w:rsidP="00F53EC1">
            <w:pPr>
              <w:spacing w:before="0" w:after="0"/>
              <w:jc w:val="center"/>
              <w:rPr>
                <w:rFonts w:cs="Calibri"/>
                <w:color w:val="000000"/>
                <w:szCs w:val="22"/>
                <w:lang w:eastAsia="es-CR"/>
              </w:rPr>
            </w:pPr>
            <w:r w:rsidRPr="00033E65">
              <w:rPr>
                <w:rFonts w:cs="Calibri"/>
                <w:color w:val="000000"/>
                <w:szCs w:val="22"/>
                <w:lang w:eastAsia="es-CR"/>
              </w:rPr>
              <w:t>1</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F1333" w14:textId="375CCB71"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r>
      <w:tr w:rsidR="003E0385" w:rsidRPr="00033E65" w14:paraId="414318EF" w14:textId="77777777" w:rsidTr="00274042">
        <w:trPr>
          <w:trHeight w:val="310"/>
        </w:trPr>
        <w:tc>
          <w:tcPr>
            <w:tcW w:w="2457" w:type="dxa"/>
            <w:tcBorders>
              <w:top w:val="nil"/>
              <w:left w:val="double" w:sz="6" w:space="0" w:color="1F497D"/>
              <w:bottom w:val="double" w:sz="6" w:space="0" w:color="1F497D"/>
              <w:right w:val="double" w:sz="6" w:space="0" w:color="1F497D"/>
            </w:tcBorders>
            <w:shd w:val="clear" w:color="auto" w:fill="auto"/>
            <w:vAlign w:val="center"/>
            <w:hideMark/>
          </w:tcPr>
          <w:p w14:paraId="09552AE0" w14:textId="77777777" w:rsidR="003E0385" w:rsidRPr="00033E65" w:rsidRDefault="003E0385" w:rsidP="0087671C">
            <w:pPr>
              <w:spacing w:before="0" w:after="0"/>
              <w:jc w:val="left"/>
              <w:rPr>
                <w:rFonts w:cs="Calibri"/>
                <w:color w:val="000000"/>
                <w:szCs w:val="22"/>
                <w:lang w:eastAsia="es-CR"/>
              </w:rPr>
            </w:pPr>
            <w:r w:rsidRPr="00033E65">
              <w:rPr>
                <w:rFonts w:cs="Calibri"/>
                <w:color w:val="000000"/>
                <w:szCs w:val="22"/>
                <w:lang w:eastAsia="es-CR"/>
              </w:rPr>
              <w:t>Juzgado Agrario de Alajuela</w:t>
            </w:r>
          </w:p>
        </w:tc>
        <w:tc>
          <w:tcPr>
            <w:tcW w:w="1276" w:type="dxa"/>
            <w:tcBorders>
              <w:top w:val="nil"/>
              <w:left w:val="nil"/>
              <w:bottom w:val="double" w:sz="6" w:space="0" w:color="1F497D"/>
              <w:right w:val="double" w:sz="6" w:space="0" w:color="1F497D"/>
            </w:tcBorders>
            <w:shd w:val="clear" w:color="auto" w:fill="auto"/>
            <w:vAlign w:val="center"/>
            <w:hideMark/>
          </w:tcPr>
          <w:p w14:paraId="235A8CFF"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63DFE043" w14:textId="7F56F087" w:rsidR="003E0385" w:rsidRPr="0043490A" w:rsidRDefault="003E0385" w:rsidP="007C4002">
            <w:pPr>
              <w:spacing w:before="0" w:after="0"/>
              <w:jc w:val="center"/>
              <w:rPr>
                <w:rFonts w:cs="Calibri"/>
                <w:color w:val="000000"/>
                <w:szCs w:val="22"/>
                <w:lang w:eastAsia="es-CR"/>
              </w:rPr>
            </w:pPr>
            <w:r w:rsidRPr="00033E65">
              <w:rPr>
                <w:rFonts w:cs="Calibri"/>
                <w:color w:val="000000"/>
                <w:szCs w:val="22"/>
                <w:lang w:eastAsia="es-CR"/>
              </w:rPr>
              <w:t>11</w:t>
            </w:r>
          </w:p>
        </w:tc>
        <w:tc>
          <w:tcPr>
            <w:tcW w:w="1008" w:type="dxa"/>
            <w:tcBorders>
              <w:top w:val="nil"/>
              <w:left w:val="nil"/>
              <w:bottom w:val="double" w:sz="6" w:space="0" w:color="1F497D"/>
              <w:right w:val="single" w:sz="4" w:space="0" w:color="auto"/>
            </w:tcBorders>
            <w:shd w:val="clear" w:color="auto" w:fill="auto"/>
            <w:vAlign w:val="center"/>
            <w:hideMark/>
          </w:tcPr>
          <w:p w14:paraId="1EAB4B13"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c>
          <w:tcPr>
            <w:tcW w:w="1179" w:type="dxa"/>
            <w:tcBorders>
              <w:top w:val="single" w:sz="4" w:space="0" w:color="auto"/>
              <w:left w:val="single" w:sz="4" w:space="0" w:color="auto"/>
              <w:bottom w:val="single" w:sz="4" w:space="0" w:color="auto"/>
              <w:right w:val="single" w:sz="4" w:space="0" w:color="auto"/>
            </w:tcBorders>
            <w:vAlign w:val="center"/>
          </w:tcPr>
          <w:p w14:paraId="759A8E5B" w14:textId="180D171B" w:rsidR="003E0385" w:rsidRPr="00033E65" w:rsidRDefault="00F53EC1" w:rsidP="00F53EC1">
            <w:pPr>
              <w:spacing w:before="0" w:after="0"/>
              <w:jc w:val="center"/>
              <w:rPr>
                <w:rFonts w:cs="Calibri"/>
                <w:color w:val="000000"/>
                <w:szCs w:val="22"/>
                <w:lang w:eastAsia="es-CR"/>
              </w:rPr>
            </w:pPr>
            <w:r w:rsidRPr="00033E65">
              <w:rPr>
                <w:rFonts w:cs="Calibri"/>
                <w:color w:val="000000"/>
                <w:szCs w:val="22"/>
                <w:lang w:eastAsia="es-CR"/>
              </w:rPr>
              <w:t>1</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6BDE7C" w14:textId="4BC592B9"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r>
      <w:tr w:rsidR="003E0385" w:rsidRPr="00033E65" w14:paraId="40A80AC1" w14:textId="77777777" w:rsidTr="00274042">
        <w:trPr>
          <w:trHeight w:val="310"/>
        </w:trPr>
        <w:tc>
          <w:tcPr>
            <w:tcW w:w="2457" w:type="dxa"/>
            <w:tcBorders>
              <w:top w:val="nil"/>
              <w:left w:val="double" w:sz="6" w:space="0" w:color="1F497D"/>
              <w:bottom w:val="double" w:sz="6" w:space="0" w:color="1F497D"/>
              <w:right w:val="double" w:sz="6" w:space="0" w:color="1F497D"/>
            </w:tcBorders>
            <w:shd w:val="clear" w:color="auto" w:fill="auto"/>
            <w:vAlign w:val="center"/>
            <w:hideMark/>
          </w:tcPr>
          <w:p w14:paraId="46205327" w14:textId="77777777" w:rsidR="003E0385" w:rsidRPr="00033E65" w:rsidRDefault="003E0385" w:rsidP="0087671C">
            <w:pPr>
              <w:spacing w:before="0" w:after="0"/>
              <w:jc w:val="left"/>
              <w:rPr>
                <w:rFonts w:cs="Calibri"/>
                <w:color w:val="000000"/>
                <w:szCs w:val="22"/>
                <w:lang w:eastAsia="es-CR"/>
              </w:rPr>
            </w:pPr>
            <w:r w:rsidRPr="00033E65">
              <w:rPr>
                <w:rFonts w:cs="Calibri"/>
                <w:color w:val="000000"/>
                <w:szCs w:val="22"/>
                <w:lang w:eastAsia="es-CR"/>
              </w:rPr>
              <w:t>Juzgado Agrario de San Carlos</w:t>
            </w:r>
          </w:p>
        </w:tc>
        <w:tc>
          <w:tcPr>
            <w:tcW w:w="1276" w:type="dxa"/>
            <w:tcBorders>
              <w:top w:val="nil"/>
              <w:left w:val="nil"/>
              <w:bottom w:val="double" w:sz="6" w:space="0" w:color="1F497D"/>
              <w:right w:val="double" w:sz="6" w:space="0" w:color="1F497D"/>
            </w:tcBorders>
            <w:shd w:val="clear" w:color="auto" w:fill="auto"/>
            <w:vAlign w:val="center"/>
            <w:hideMark/>
          </w:tcPr>
          <w:p w14:paraId="6122E033"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11FFE6FC" w14:textId="3E2A7CB7" w:rsidR="003E0385" w:rsidRPr="0043490A" w:rsidRDefault="003E0385" w:rsidP="007C4002">
            <w:pPr>
              <w:spacing w:before="0" w:after="0"/>
              <w:jc w:val="center"/>
              <w:rPr>
                <w:rFonts w:cs="Calibri"/>
                <w:color w:val="000000"/>
                <w:szCs w:val="22"/>
                <w:lang w:eastAsia="es-CR"/>
              </w:rPr>
            </w:pPr>
            <w:r w:rsidRPr="00033E65">
              <w:rPr>
                <w:rFonts w:cs="Calibri"/>
                <w:color w:val="000000"/>
                <w:szCs w:val="22"/>
                <w:lang w:eastAsia="es-CR"/>
              </w:rPr>
              <w:t>17</w:t>
            </w:r>
          </w:p>
        </w:tc>
        <w:tc>
          <w:tcPr>
            <w:tcW w:w="1008" w:type="dxa"/>
            <w:tcBorders>
              <w:top w:val="nil"/>
              <w:left w:val="nil"/>
              <w:bottom w:val="double" w:sz="6" w:space="0" w:color="1F497D"/>
              <w:right w:val="single" w:sz="4" w:space="0" w:color="auto"/>
            </w:tcBorders>
            <w:shd w:val="clear" w:color="auto" w:fill="auto"/>
            <w:vAlign w:val="center"/>
            <w:hideMark/>
          </w:tcPr>
          <w:p w14:paraId="214D1EF3" w14:textId="6D856042"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No</w:t>
            </w:r>
          </w:p>
        </w:tc>
        <w:tc>
          <w:tcPr>
            <w:tcW w:w="1179" w:type="dxa"/>
            <w:tcBorders>
              <w:top w:val="single" w:sz="4" w:space="0" w:color="auto"/>
              <w:left w:val="single" w:sz="4" w:space="0" w:color="auto"/>
              <w:bottom w:val="single" w:sz="4" w:space="0" w:color="auto"/>
              <w:right w:val="single" w:sz="4" w:space="0" w:color="auto"/>
            </w:tcBorders>
            <w:vAlign w:val="center"/>
          </w:tcPr>
          <w:p w14:paraId="69A648F3" w14:textId="352E668E" w:rsidR="003E0385" w:rsidRPr="00033E65" w:rsidRDefault="00083F4D" w:rsidP="00F53EC1">
            <w:pPr>
              <w:spacing w:before="0" w:after="0"/>
              <w:jc w:val="center"/>
              <w:rPr>
                <w:rFonts w:cs="Calibri"/>
                <w:color w:val="000000"/>
                <w:szCs w:val="22"/>
                <w:lang w:eastAsia="es-CR"/>
              </w:rPr>
            </w:pPr>
            <w:r w:rsidRPr="00033E65">
              <w:rPr>
                <w:rFonts w:cs="Calibri"/>
                <w:color w:val="000000"/>
                <w:szCs w:val="22"/>
                <w:lang w:eastAsia="es-CR"/>
              </w:rPr>
              <w:t>0</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A91C1B" w14:textId="676004D5"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No</w:t>
            </w:r>
          </w:p>
        </w:tc>
      </w:tr>
      <w:tr w:rsidR="003E0385" w:rsidRPr="00033E65" w14:paraId="425C933F" w14:textId="77777777" w:rsidTr="00274042">
        <w:trPr>
          <w:trHeight w:val="310"/>
        </w:trPr>
        <w:tc>
          <w:tcPr>
            <w:tcW w:w="2457" w:type="dxa"/>
            <w:tcBorders>
              <w:top w:val="nil"/>
              <w:left w:val="double" w:sz="6" w:space="0" w:color="1F497D"/>
              <w:bottom w:val="double" w:sz="6" w:space="0" w:color="1F497D"/>
              <w:right w:val="double" w:sz="6" w:space="0" w:color="1F497D"/>
            </w:tcBorders>
            <w:shd w:val="clear" w:color="auto" w:fill="auto"/>
            <w:vAlign w:val="center"/>
            <w:hideMark/>
          </w:tcPr>
          <w:p w14:paraId="09B16AE1" w14:textId="77777777" w:rsidR="003E0385" w:rsidRPr="00033E65" w:rsidRDefault="003E0385" w:rsidP="0087671C">
            <w:pPr>
              <w:spacing w:before="0" w:after="0"/>
              <w:jc w:val="left"/>
              <w:rPr>
                <w:rFonts w:cs="Calibri"/>
                <w:color w:val="000000"/>
                <w:szCs w:val="22"/>
                <w:lang w:eastAsia="es-CR"/>
              </w:rPr>
            </w:pPr>
            <w:r w:rsidRPr="00033E65">
              <w:rPr>
                <w:rFonts w:cs="Calibri"/>
                <w:color w:val="000000"/>
                <w:szCs w:val="22"/>
                <w:lang w:eastAsia="es-CR"/>
              </w:rPr>
              <w:t>Juzgado Agrario de Santa Cruz</w:t>
            </w:r>
          </w:p>
        </w:tc>
        <w:tc>
          <w:tcPr>
            <w:tcW w:w="1276" w:type="dxa"/>
            <w:tcBorders>
              <w:top w:val="nil"/>
              <w:left w:val="nil"/>
              <w:bottom w:val="double" w:sz="6" w:space="0" w:color="1F497D"/>
              <w:right w:val="double" w:sz="6" w:space="0" w:color="1F497D"/>
            </w:tcBorders>
            <w:shd w:val="clear" w:color="auto" w:fill="auto"/>
            <w:vAlign w:val="center"/>
            <w:hideMark/>
          </w:tcPr>
          <w:p w14:paraId="765DE844"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0BA47131" w14:textId="6FA78C3E" w:rsidR="003E0385" w:rsidRPr="0043490A" w:rsidRDefault="003E0385" w:rsidP="007C4002">
            <w:pPr>
              <w:spacing w:before="0" w:after="0"/>
              <w:jc w:val="center"/>
              <w:rPr>
                <w:rFonts w:cs="Calibri"/>
                <w:color w:val="000000"/>
                <w:szCs w:val="22"/>
                <w:lang w:eastAsia="es-CR"/>
              </w:rPr>
            </w:pPr>
            <w:r w:rsidRPr="00033E65">
              <w:rPr>
                <w:rFonts w:cs="Calibri"/>
                <w:color w:val="000000"/>
                <w:szCs w:val="22"/>
                <w:lang w:eastAsia="es-CR"/>
              </w:rPr>
              <w:t>2</w:t>
            </w:r>
          </w:p>
        </w:tc>
        <w:tc>
          <w:tcPr>
            <w:tcW w:w="1008" w:type="dxa"/>
            <w:tcBorders>
              <w:top w:val="nil"/>
              <w:left w:val="nil"/>
              <w:bottom w:val="double" w:sz="6" w:space="0" w:color="1F497D"/>
              <w:right w:val="single" w:sz="4" w:space="0" w:color="auto"/>
            </w:tcBorders>
            <w:shd w:val="clear" w:color="auto" w:fill="auto"/>
            <w:vAlign w:val="center"/>
            <w:hideMark/>
          </w:tcPr>
          <w:p w14:paraId="3E971B46"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c>
          <w:tcPr>
            <w:tcW w:w="1179" w:type="dxa"/>
            <w:tcBorders>
              <w:top w:val="single" w:sz="4" w:space="0" w:color="auto"/>
              <w:left w:val="single" w:sz="4" w:space="0" w:color="auto"/>
              <w:bottom w:val="single" w:sz="4" w:space="0" w:color="auto"/>
              <w:right w:val="single" w:sz="4" w:space="0" w:color="auto"/>
            </w:tcBorders>
            <w:vAlign w:val="center"/>
          </w:tcPr>
          <w:p w14:paraId="34FF38E8" w14:textId="46B554BD" w:rsidR="003E0385" w:rsidRPr="00033E65" w:rsidRDefault="00083F4D" w:rsidP="00F53EC1">
            <w:pPr>
              <w:spacing w:before="0" w:after="0"/>
              <w:jc w:val="center"/>
              <w:rPr>
                <w:rFonts w:cs="Calibri"/>
                <w:color w:val="000000"/>
                <w:szCs w:val="22"/>
                <w:lang w:eastAsia="es-CR"/>
              </w:rPr>
            </w:pPr>
            <w:r w:rsidRPr="00033E65">
              <w:rPr>
                <w:rFonts w:cs="Calibri"/>
                <w:color w:val="000000"/>
                <w:szCs w:val="22"/>
                <w:lang w:eastAsia="es-CR"/>
              </w:rPr>
              <w:t>1</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E284B" w14:textId="40E1E446"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No</w:t>
            </w:r>
          </w:p>
        </w:tc>
      </w:tr>
      <w:tr w:rsidR="003E0385" w:rsidRPr="00033E65" w14:paraId="230C2945" w14:textId="77777777" w:rsidTr="00274042">
        <w:trPr>
          <w:trHeight w:val="310"/>
        </w:trPr>
        <w:tc>
          <w:tcPr>
            <w:tcW w:w="2457" w:type="dxa"/>
            <w:tcBorders>
              <w:top w:val="nil"/>
              <w:left w:val="double" w:sz="6" w:space="0" w:color="1F497D"/>
              <w:bottom w:val="single" w:sz="4" w:space="0" w:color="auto"/>
              <w:right w:val="double" w:sz="6" w:space="0" w:color="1F497D"/>
            </w:tcBorders>
            <w:shd w:val="clear" w:color="auto" w:fill="auto"/>
            <w:vAlign w:val="center"/>
            <w:hideMark/>
          </w:tcPr>
          <w:p w14:paraId="7489B518" w14:textId="77777777" w:rsidR="003E0385" w:rsidRPr="00033E65" w:rsidRDefault="003E0385" w:rsidP="0087671C">
            <w:pPr>
              <w:spacing w:before="0" w:after="0"/>
              <w:jc w:val="left"/>
              <w:rPr>
                <w:rFonts w:cs="Calibri"/>
                <w:color w:val="000000"/>
                <w:szCs w:val="22"/>
                <w:lang w:eastAsia="es-CR"/>
              </w:rPr>
            </w:pPr>
            <w:r w:rsidRPr="00033E65">
              <w:rPr>
                <w:rFonts w:cs="Calibri"/>
                <w:color w:val="000000"/>
                <w:szCs w:val="22"/>
                <w:lang w:eastAsia="es-CR"/>
              </w:rPr>
              <w:t>Juzgado Agrario de Corredores</w:t>
            </w:r>
          </w:p>
        </w:tc>
        <w:tc>
          <w:tcPr>
            <w:tcW w:w="1276" w:type="dxa"/>
            <w:tcBorders>
              <w:top w:val="nil"/>
              <w:left w:val="nil"/>
              <w:bottom w:val="single" w:sz="4" w:space="0" w:color="auto"/>
              <w:right w:val="double" w:sz="6" w:space="0" w:color="1F497D"/>
            </w:tcBorders>
            <w:shd w:val="clear" w:color="auto" w:fill="auto"/>
            <w:vAlign w:val="center"/>
            <w:hideMark/>
          </w:tcPr>
          <w:p w14:paraId="61F5586C"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16</w:t>
            </w:r>
          </w:p>
        </w:tc>
        <w:tc>
          <w:tcPr>
            <w:tcW w:w="1717" w:type="dxa"/>
            <w:tcBorders>
              <w:top w:val="nil"/>
              <w:left w:val="nil"/>
              <w:bottom w:val="single" w:sz="4" w:space="0" w:color="auto"/>
              <w:right w:val="double" w:sz="6" w:space="0" w:color="1F497D"/>
            </w:tcBorders>
            <w:shd w:val="clear" w:color="auto" w:fill="auto"/>
            <w:vAlign w:val="center"/>
            <w:hideMark/>
          </w:tcPr>
          <w:p w14:paraId="1C4E0712" w14:textId="77777777" w:rsidR="003E0385" w:rsidRPr="0043490A" w:rsidRDefault="003E0385" w:rsidP="007C4002">
            <w:pPr>
              <w:spacing w:before="0" w:after="0"/>
              <w:jc w:val="center"/>
              <w:rPr>
                <w:rFonts w:cs="Calibri"/>
                <w:color w:val="000000"/>
                <w:szCs w:val="22"/>
                <w:lang w:eastAsia="es-CR"/>
              </w:rPr>
            </w:pPr>
            <w:r w:rsidRPr="00033E65">
              <w:rPr>
                <w:rFonts w:cs="Calibri"/>
                <w:color w:val="000000"/>
                <w:szCs w:val="22"/>
                <w:lang w:eastAsia="es-CR"/>
              </w:rPr>
              <w:t>15</w:t>
            </w:r>
          </w:p>
        </w:tc>
        <w:tc>
          <w:tcPr>
            <w:tcW w:w="1008" w:type="dxa"/>
            <w:tcBorders>
              <w:top w:val="nil"/>
              <w:left w:val="nil"/>
              <w:bottom w:val="single" w:sz="4" w:space="0" w:color="auto"/>
              <w:right w:val="single" w:sz="4" w:space="0" w:color="auto"/>
            </w:tcBorders>
            <w:shd w:val="clear" w:color="auto" w:fill="auto"/>
            <w:vAlign w:val="center"/>
            <w:hideMark/>
          </w:tcPr>
          <w:p w14:paraId="7871FD3A"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c>
          <w:tcPr>
            <w:tcW w:w="1179" w:type="dxa"/>
            <w:tcBorders>
              <w:top w:val="single" w:sz="4" w:space="0" w:color="auto"/>
              <w:left w:val="single" w:sz="4" w:space="0" w:color="auto"/>
              <w:bottom w:val="single" w:sz="4" w:space="0" w:color="auto"/>
              <w:right w:val="single" w:sz="4" w:space="0" w:color="auto"/>
            </w:tcBorders>
            <w:vAlign w:val="center"/>
          </w:tcPr>
          <w:p w14:paraId="48888230" w14:textId="15106066" w:rsidR="003E0385" w:rsidRPr="00033E65" w:rsidRDefault="00083F4D" w:rsidP="00F53EC1">
            <w:pPr>
              <w:spacing w:before="0" w:after="0"/>
              <w:jc w:val="center"/>
              <w:rPr>
                <w:rFonts w:cs="Calibri"/>
                <w:color w:val="000000"/>
                <w:szCs w:val="22"/>
                <w:lang w:eastAsia="es-CR"/>
              </w:rPr>
            </w:pPr>
            <w:r w:rsidRPr="00033E65">
              <w:rPr>
                <w:rFonts w:cs="Calibri"/>
                <w:color w:val="000000"/>
                <w:szCs w:val="22"/>
                <w:lang w:eastAsia="es-CR"/>
              </w:rPr>
              <w:t>1</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0C830B" w14:textId="771700D9"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r>
      <w:tr w:rsidR="003E0385" w:rsidRPr="00033E65" w14:paraId="723D7CCA" w14:textId="77777777" w:rsidTr="00274042">
        <w:trPr>
          <w:trHeight w:val="310"/>
        </w:trPr>
        <w:tc>
          <w:tcPr>
            <w:tcW w:w="2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8019A" w14:textId="5FC208DD" w:rsidR="003E0385" w:rsidRPr="00033E65" w:rsidRDefault="003E0385" w:rsidP="0087671C">
            <w:pPr>
              <w:spacing w:before="0" w:after="0"/>
              <w:jc w:val="left"/>
              <w:rPr>
                <w:rFonts w:cs="Calibri"/>
                <w:color w:val="000000"/>
                <w:szCs w:val="22"/>
                <w:lang w:eastAsia="es-CR"/>
              </w:rPr>
            </w:pPr>
            <w:r w:rsidRPr="00033E65">
              <w:rPr>
                <w:rFonts w:cs="Calibri"/>
                <w:color w:val="000000"/>
                <w:szCs w:val="22"/>
                <w:lang w:eastAsia="es-CR"/>
              </w:rPr>
              <w:t>Juzgado Agrario de Pococí</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239FF"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7EFA8" w14:textId="67C3F0AA" w:rsidR="003E0385" w:rsidRPr="0043490A" w:rsidRDefault="003E0385" w:rsidP="007C4002">
            <w:pPr>
              <w:spacing w:before="0" w:after="0"/>
              <w:jc w:val="center"/>
              <w:rPr>
                <w:rFonts w:cs="Calibri"/>
                <w:color w:val="000000"/>
                <w:szCs w:val="22"/>
                <w:lang w:eastAsia="es-CR"/>
              </w:rPr>
            </w:pPr>
            <w:r w:rsidRPr="00033E65">
              <w:rPr>
                <w:rFonts w:cs="Calibri"/>
                <w:color w:val="000000"/>
                <w:szCs w:val="22"/>
                <w:lang w:eastAsia="es-CR"/>
              </w:rPr>
              <w:t>13</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20255"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c>
          <w:tcPr>
            <w:tcW w:w="1179" w:type="dxa"/>
            <w:tcBorders>
              <w:top w:val="single" w:sz="4" w:space="0" w:color="auto"/>
              <w:left w:val="single" w:sz="4" w:space="0" w:color="auto"/>
              <w:bottom w:val="single" w:sz="4" w:space="0" w:color="auto"/>
              <w:right w:val="single" w:sz="4" w:space="0" w:color="auto"/>
            </w:tcBorders>
            <w:vAlign w:val="center"/>
          </w:tcPr>
          <w:p w14:paraId="4A5BE23A" w14:textId="2B5F9E13" w:rsidR="003E0385" w:rsidRPr="00033E65" w:rsidRDefault="00083F4D" w:rsidP="00F53EC1">
            <w:pPr>
              <w:spacing w:before="0" w:after="0"/>
              <w:jc w:val="center"/>
              <w:rPr>
                <w:rFonts w:cs="Calibri"/>
                <w:color w:val="000000"/>
                <w:szCs w:val="22"/>
                <w:lang w:eastAsia="es-CR"/>
              </w:rPr>
            </w:pPr>
            <w:r w:rsidRPr="00033E65">
              <w:rPr>
                <w:rFonts w:cs="Calibri"/>
                <w:color w:val="000000"/>
                <w:szCs w:val="22"/>
                <w:lang w:eastAsia="es-CR"/>
              </w:rPr>
              <w:t>1</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04BED" w14:textId="6C245EF6"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No</w:t>
            </w:r>
          </w:p>
        </w:tc>
      </w:tr>
      <w:tr w:rsidR="003E0385" w:rsidRPr="00033E65" w14:paraId="730D17F5" w14:textId="77777777" w:rsidTr="00274042">
        <w:trPr>
          <w:trHeight w:val="310"/>
        </w:trPr>
        <w:tc>
          <w:tcPr>
            <w:tcW w:w="2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94C57" w14:textId="77777777" w:rsidR="003E0385" w:rsidRPr="00033E65" w:rsidRDefault="003E0385" w:rsidP="0087671C">
            <w:pPr>
              <w:spacing w:before="0" w:after="0"/>
              <w:jc w:val="left"/>
              <w:rPr>
                <w:rFonts w:cs="Calibri"/>
                <w:color w:val="000000"/>
                <w:szCs w:val="22"/>
                <w:lang w:eastAsia="es-CR"/>
              </w:rPr>
            </w:pPr>
            <w:r w:rsidRPr="00033E65">
              <w:rPr>
                <w:rFonts w:cs="Calibri"/>
                <w:color w:val="000000"/>
                <w:szCs w:val="22"/>
                <w:lang w:eastAsia="es-CR"/>
              </w:rPr>
              <w:t>Juzgado Agrario de Liberia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2824C"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D452C" w14:textId="7F458546"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11</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837F3B" w14:textId="69EC1C4B"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c>
          <w:tcPr>
            <w:tcW w:w="1179" w:type="dxa"/>
            <w:tcBorders>
              <w:top w:val="single" w:sz="4" w:space="0" w:color="auto"/>
              <w:left w:val="single" w:sz="4" w:space="0" w:color="auto"/>
              <w:bottom w:val="single" w:sz="4" w:space="0" w:color="auto"/>
              <w:right w:val="single" w:sz="4" w:space="0" w:color="auto"/>
            </w:tcBorders>
            <w:vAlign w:val="center"/>
          </w:tcPr>
          <w:p w14:paraId="4725382C" w14:textId="7E75A01D" w:rsidR="003E0385" w:rsidRPr="00033E65" w:rsidRDefault="00083F4D" w:rsidP="00F53EC1">
            <w:pPr>
              <w:spacing w:before="0" w:after="0"/>
              <w:jc w:val="center"/>
              <w:rPr>
                <w:rFonts w:cs="Calibri"/>
                <w:color w:val="000000"/>
                <w:szCs w:val="22"/>
                <w:lang w:eastAsia="es-CR"/>
              </w:rPr>
            </w:pPr>
            <w:r w:rsidRPr="00033E65">
              <w:rPr>
                <w:rFonts w:cs="Calibri"/>
                <w:color w:val="000000"/>
                <w:szCs w:val="22"/>
                <w:lang w:eastAsia="es-CR"/>
              </w:rPr>
              <w:t>1</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B4BEEB" w14:textId="16FEC701"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No</w:t>
            </w:r>
          </w:p>
        </w:tc>
      </w:tr>
      <w:tr w:rsidR="003E0385" w:rsidRPr="00033E65" w14:paraId="7446265C" w14:textId="77777777" w:rsidTr="00274042">
        <w:trPr>
          <w:trHeight w:val="310"/>
        </w:trPr>
        <w:tc>
          <w:tcPr>
            <w:tcW w:w="2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D02FF" w14:textId="77777777" w:rsidR="003E0385" w:rsidRPr="00033E65" w:rsidRDefault="003E0385" w:rsidP="0087671C">
            <w:pPr>
              <w:spacing w:before="0" w:after="0"/>
              <w:jc w:val="left"/>
              <w:rPr>
                <w:rFonts w:cs="Calibri"/>
                <w:color w:val="000000"/>
                <w:szCs w:val="22"/>
                <w:lang w:eastAsia="es-CR"/>
              </w:rPr>
            </w:pPr>
            <w:r w:rsidRPr="00033E65">
              <w:rPr>
                <w:rFonts w:cs="Calibri"/>
                <w:color w:val="000000"/>
                <w:szCs w:val="22"/>
                <w:lang w:eastAsia="es-CR"/>
              </w:rPr>
              <w:t>Juzgado Agrario de Puntarenas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8C72F"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E01AF" w14:textId="7AE76A0E"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18</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3657A" w14:textId="5AFB512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No</w:t>
            </w:r>
          </w:p>
        </w:tc>
        <w:tc>
          <w:tcPr>
            <w:tcW w:w="1179" w:type="dxa"/>
            <w:tcBorders>
              <w:top w:val="single" w:sz="4" w:space="0" w:color="auto"/>
              <w:left w:val="single" w:sz="4" w:space="0" w:color="auto"/>
              <w:bottom w:val="single" w:sz="4" w:space="0" w:color="auto"/>
              <w:right w:val="single" w:sz="4" w:space="0" w:color="auto"/>
            </w:tcBorders>
            <w:vAlign w:val="center"/>
          </w:tcPr>
          <w:p w14:paraId="03F5D060" w14:textId="22C4AC89" w:rsidR="003E0385" w:rsidRPr="00033E65" w:rsidRDefault="00083F4D" w:rsidP="00F53EC1">
            <w:pPr>
              <w:spacing w:before="0" w:after="0"/>
              <w:jc w:val="center"/>
              <w:rPr>
                <w:rFonts w:cs="Calibri"/>
                <w:color w:val="000000"/>
                <w:szCs w:val="22"/>
                <w:lang w:eastAsia="es-CR"/>
              </w:rPr>
            </w:pPr>
            <w:r w:rsidRPr="00033E65">
              <w:rPr>
                <w:rFonts w:cs="Calibri"/>
                <w:color w:val="000000"/>
                <w:szCs w:val="22"/>
                <w:lang w:eastAsia="es-CR"/>
              </w:rPr>
              <w:t>0</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8CE10" w14:textId="02CCC031"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r>
      <w:tr w:rsidR="003E0385" w:rsidRPr="00033E65" w14:paraId="09BA0F5F" w14:textId="77777777" w:rsidTr="00274042">
        <w:trPr>
          <w:trHeight w:val="310"/>
        </w:trPr>
        <w:tc>
          <w:tcPr>
            <w:tcW w:w="2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A7C80" w14:textId="77777777" w:rsidR="003E0385" w:rsidRPr="00033E65" w:rsidRDefault="003E0385" w:rsidP="0087671C">
            <w:pPr>
              <w:spacing w:before="0" w:after="0"/>
              <w:jc w:val="left"/>
              <w:rPr>
                <w:rFonts w:cs="Calibri"/>
                <w:color w:val="000000"/>
                <w:szCs w:val="22"/>
                <w:lang w:eastAsia="es-CR"/>
              </w:rPr>
            </w:pPr>
            <w:r w:rsidRPr="00033E65">
              <w:rPr>
                <w:rFonts w:cs="Calibri"/>
                <w:color w:val="000000"/>
                <w:szCs w:val="22"/>
                <w:lang w:eastAsia="es-CR"/>
              </w:rPr>
              <w:t>Juzgado Agrario del II C.J. San José</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715B0"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7DCF3" w14:textId="021ABECB"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8</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43237"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c>
          <w:tcPr>
            <w:tcW w:w="1179" w:type="dxa"/>
            <w:tcBorders>
              <w:top w:val="single" w:sz="4" w:space="0" w:color="auto"/>
              <w:left w:val="single" w:sz="4" w:space="0" w:color="auto"/>
              <w:bottom w:val="single" w:sz="4" w:space="0" w:color="auto"/>
              <w:right w:val="single" w:sz="4" w:space="0" w:color="auto"/>
            </w:tcBorders>
            <w:vAlign w:val="center"/>
          </w:tcPr>
          <w:p w14:paraId="688A38F5" w14:textId="1379E77D" w:rsidR="003E0385" w:rsidRPr="00033E65" w:rsidRDefault="00083F4D" w:rsidP="00F53EC1">
            <w:pPr>
              <w:spacing w:before="0" w:after="0"/>
              <w:jc w:val="center"/>
              <w:rPr>
                <w:rFonts w:cs="Calibri"/>
                <w:color w:val="000000"/>
                <w:szCs w:val="22"/>
                <w:lang w:eastAsia="es-CR"/>
              </w:rPr>
            </w:pPr>
            <w:r w:rsidRPr="00033E65">
              <w:rPr>
                <w:rFonts w:cs="Calibri"/>
                <w:color w:val="000000"/>
                <w:szCs w:val="22"/>
                <w:lang w:eastAsia="es-CR"/>
              </w:rPr>
              <w:t>1</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73CF3" w14:textId="3406161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Sí</w:t>
            </w:r>
          </w:p>
        </w:tc>
      </w:tr>
      <w:tr w:rsidR="003E0385" w:rsidRPr="00033E65" w14:paraId="44E05980" w14:textId="77777777" w:rsidTr="00274042">
        <w:trPr>
          <w:trHeight w:val="650"/>
        </w:trPr>
        <w:tc>
          <w:tcPr>
            <w:tcW w:w="2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C61DD" w14:textId="77777777" w:rsidR="003E0385" w:rsidRPr="00033E65" w:rsidRDefault="003E0385" w:rsidP="0087671C">
            <w:pPr>
              <w:spacing w:before="0" w:after="0"/>
              <w:jc w:val="left"/>
              <w:rPr>
                <w:rFonts w:cs="Calibri"/>
                <w:color w:val="000000"/>
                <w:szCs w:val="22"/>
                <w:lang w:eastAsia="es-CR"/>
              </w:rPr>
            </w:pPr>
            <w:r w:rsidRPr="00033E65">
              <w:rPr>
                <w:rFonts w:cs="Calibri"/>
                <w:color w:val="000000"/>
                <w:szCs w:val="22"/>
                <w:lang w:eastAsia="es-CR"/>
              </w:rPr>
              <w:t>Juzgado Agrario de Puntarenas, Sede Jicaral</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733786"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8</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5DA28" w14:textId="1F7975FE"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8</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F1F81" w14:textId="77777777"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No</w:t>
            </w:r>
          </w:p>
        </w:tc>
        <w:tc>
          <w:tcPr>
            <w:tcW w:w="1179" w:type="dxa"/>
            <w:tcBorders>
              <w:top w:val="single" w:sz="4" w:space="0" w:color="auto"/>
              <w:left w:val="single" w:sz="4" w:space="0" w:color="auto"/>
              <w:bottom w:val="single" w:sz="4" w:space="0" w:color="auto"/>
              <w:right w:val="single" w:sz="4" w:space="0" w:color="auto"/>
            </w:tcBorders>
            <w:vAlign w:val="center"/>
          </w:tcPr>
          <w:p w14:paraId="37D380A6" w14:textId="14BF55E0" w:rsidR="003E0385" w:rsidRPr="00033E65" w:rsidRDefault="00083F4D" w:rsidP="00F53EC1">
            <w:pPr>
              <w:spacing w:before="0" w:after="0"/>
              <w:jc w:val="center"/>
              <w:rPr>
                <w:rFonts w:cs="Calibri"/>
                <w:color w:val="000000"/>
                <w:szCs w:val="22"/>
                <w:lang w:eastAsia="es-CR"/>
              </w:rPr>
            </w:pPr>
            <w:r w:rsidRPr="00033E65">
              <w:rPr>
                <w:rFonts w:cs="Calibri"/>
                <w:color w:val="000000"/>
                <w:szCs w:val="22"/>
                <w:lang w:eastAsia="es-CR"/>
              </w:rPr>
              <w:t>0</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84BCA" w14:textId="737DAFF0" w:rsidR="003E0385" w:rsidRPr="00033E65" w:rsidRDefault="003E0385" w:rsidP="007C4002">
            <w:pPr>
              <w:spacing w:before="0" w:after="0"/>
              <w:jc w:val="center"/>
              <w:rPr>
                <w:rFonts w:cs="Calibri"/>
                <w:color w:val="000000"/>
                <w:szCs w:val="22"/>
                <w:lang w:eastAsia="es-CR"/>
              </w:rPr>
            </w:pPr>
            <w:r w:rsidRPr="00033E65">
              <w:rPr>
                <w:rFonts w:cs="Calibri"/>
                <w:color w:val="000000"/>
                <w:szCs w:val="22"/>
                <w:lang w:eastAsia="es-CR"/>
              </w:rPr>
              <w:t>No</w:t>
            </w:r>
          </w:p>
        </w:tc>
      </w:tr>
    </w:tbl>
    <w:p w14:paraId="3682DB56" w14:textId="7CEF606D" w:rsidR="007C4002" w:rsidRPr="00033E65" w:rsidRDefault="00491444" w:rsidP="008424AA">
      <w:pPr>
        <w:ind w:right="49"/>
        <w:rPr>
          <w:i/>
          <w:iCs/>
        </w:rPr>
      </w:pPr>
      <w:r w:rsidRPr="00033E65">
        <w:rPr>
          <w:i/>
          <w:iCs/>
        </w:rPr>
        <w:t>Fuente:</w:t>
      </w:r>
      <w:r w:rsidR="00A75833" w:rsidRPr="00033E65">
        <w:rPr>
          <w:i/>
          <w:iCs/>
        </w:rPr>
        <w:t xml:space="preserve"> Subproceso de Modernización Institucional, No Penal, de acuerdo con información suministrada por las Administraciones Regionales.</w:t>
      </w:r>
    </w:p>
    <w:p w14:paraId="29DB54F9" w14:textId="299D60B5" w:rsidR="008424AA" w:rsidRPr="00033E65" w:rsidRDefault="0029441A" w:rsidP="008424AA">
      <w:pPr>
        <w:ind w:right="49"/>
      </w:pPr>
      <w:r w:rsidRPr="00033E65">
        <w:t xml:space="preserve">Por lo anterior, se considera en el presente informe la propuesta de reforzar con vehículos con sus respectivos choferes, a las Administraciones Regionales de </w:t>
      </w:r>
      <w:bookmarkStart w:id="229" w:name="_Hlk130292348"/>
      <w:r w:rsidR="00750431" w:rsidRPr="00033E65">
        <w:t xml:space="preserve">Limón, Turrialba, </w:t>
      </w:r>
      <w:r w:rsidR="007C4002" w:rsidRPr="00033E65">
        <w:t>Santa Cruz,</w:t>
      </w:r>
      <w:r w:rsidR="00DC70E8" w:rsidRPr="00033E65">
        <w:t xml:space="preserve"> </w:t>
      </w:r>
      <w:r w:rsidR="00825336" w:rsidRPr="00033E65">
        <w:t>Pococí</w:t>
      </w:r>
      <w:r w:rsidR="00DC70E8" w:rsidRPr="00033E65">
        <w:t xml:space="preserve">, Liberia, </w:t>
      </w:r>
      <w:r w:rsidR="0024398A" w:rsidRPr="00033E65">
        <w:t>y</w:t>
      </w:r>
      <w:r w:rsidRPr="00033E65">
        <w:t xml:space="preserve"> un chofer para la Administración Regional del Juzgado Agrario del Segundo Circuito Judicial de la Zona Sur, sede Corredores.</w:t>
      </w:r>
    </w:p>
    <w:bookmarkEnd w:id="229"/>
    <w:p w14:paraId="3452752D" w14:textId="77777777" w:rsidR="003C55FC" w:rsidRPr="00033E65" w:rsidRDefault="003C55FC" w:rsidP="008424AA">
      <w:pPr>
        <w:ind w:right="49"/>
      </w:pPr>
    </w:p>
    <w:p w14:paraId="1ABB8E48" w14:textId="4145D708" w:rsidR="003C55FC" w:rsidRPr="00033E65" w:rsidRDefault="003C55FC" w:rsidP="008424AA">
      <w:pPr>
        <w:ind w:right="49"/>
      </w:pPr>
      <w:r w:rsidRPr="00033E65">
        <w:t xml:space="preserve">Se hace la observación de que a pesar de </w:t>
      </w:r>
      <w:r w:rsidR="00F957B0" w:rsidRPr="00033E65">
        <w:t xml:space="preserve">que </w:t>
      </w:r>
      <w:r w:rsidRPr="00033E65">
        <w:t xml:space="preserve">el Juzgado Especializado de Pérez Zeledón no tiene actualmente problemas en la utilización de vehículos, </w:t>
      </w:r>
      <w:r w:rsidR="00E50299" w:rsidRPr="00033E65">
        <w:t xml:space="preserve">la Administración Regional de Pérez Zeledón también debe cubrir la zona de </w:t>
      </w:r>
      <w:r w:rsidR="000C2DDA" w:rsidRPr="00033E65">
        <w:t>Buenos Aires</w:t>
      </w:r>
      <w:r w:rsidR="00E50299" w:rsidRPr="00033E65">
        <w:t>, actualmente</w:t>
      </w:r>
      <w:r w:rsidR="000C2DDA" w:rsidRPr="00033E65">
        <w:t xml:space="preserve"> se le asigna vehículo lunes, martes y jueves, el cual es conducido por la Jueza o Juez </w:t>
      </w:r>
      <w:r w:rsidR="0081163D" w:rsidRPr="00033E65">
        <w:t xml:space="preserve">o una plaza de chofer. </w:t>
      </w:r>
      <w:r w:rsidR="00E50299" w:rsidRPr="00033E65">
        <w:t xml:space="preserve">Por lo </w:t>
      </w:r>
      <w:r w:rsidR="00230EC8" w:rsidRPr="00033E65">
        <w:t>tanto,</w:t>
      </w:r>
      <w:r w:rsidR="00E50299" w:rsidRPr="00033E65">
        <w:t xml:space="preserve"> la Dirección Ejecutiva en el oficio 616-DE-2022 hizo la solicitud para reforzar dicha Administración.</w:t>
      </w:r>
    </w:p>
    <w:p w14:paraId="53D23259" w14:textId="77777777" w:rsidR="00F957B0" w:rsidRPr="00033E65" w:rsidRDefault="00F957B0" w:rsidP="008424AA">
      <w:pPr>
        <w:ind w:right="49"/>
      </w:pPr>
    </w:p>
    <w:p w14:paraId="5E57980A" w14:textId="77777777" w:rsidR="008424AA" w:rsidRPr="0043490A" w:rsidRDefault="008424AA" w:rsidP="008424AA">
      <w:pPr>
        <w:ind w:right="49"/>
      </w:pPr>
      <w:r w:rsidRPr="00033E65">
        <w:t>Importante acotar</w:t>
      </w:r>
      <w:r w:rsidR="003077F6" w:rsidRPr="00033E65">
        <w:t xml:space="preserve"> que</w:t>
      </w:r>
      <w:r w:rsidRPr="00033E65">
        <w:t>, para que los Despachos puedan contar con el vehículo las cuatro (4) días por semana por juzgadora, deben realizar un cronograma anual y planificado; y presentarlo a las Administraciones Regionales para que las unidades sean agendas la cantidad de día requeridos.  De acuerdo con las posibilidades de la administración y previniendo la necesidad se debe dar esta organización.</w:t>
      </w:r>
    </w:p>
    <w:p w14:paraId="6170B1B0" w14:textId="74BEED43" w:rsidR="008424AA" w:rsidRPr="00033E65" w:rsidRDefault="008424AA" w:rsidP="008424AA">
      <w:pPr>
        <w:ind w:right="49"/>
      </w:pPr>
      <w:r w:rsidRPr="00033E65">
        <w:t>Sin la dotación de estos vehículos no se tendría la capacidad operativa para brindar el servicio requerido por los Juzgados Agrarios, según la compilación de información respecto al servicio de transporte brindado a las funcionarias y los funcionarios que tramitan la materia Agraria en los circuitos judiciales.</w:t>
      </w:r>
    </w:p>
    <w:p w14:paraId="47E56753" w14:textId="46B9B97D" w:rsidR="00784F48" w:rsidRPr="00033E65" w:rsidRDefault="00784F48" w:rsidP="008424AA">
      <w:pPr>
        <w:ind w:right="49"/>
      </w:pPr>
    </w:p>
    <w:p w14:paraId="56DBC7A9" w14:textId="77777777" w:rsidR="0023063F" w:rsidRPr="00033E65" w:rsidRDefault="0023063F" w:rsidP="008424AA">
      <w:pPr>
        <w:ind w:right="49"/>
      </w:pPr>
    </w:p>
    <w:p w14:paraId="48197CB6" w14:textId="64E9AA86" w:rsidR="00C3062E" w:rsidRPr="00033E65" w:rsidRDefault="00EC5306" w:rsidP="00EC5306">
      <w:pPr>
        <w:pStyle w:val="Ttulo2"/>
        <w:numPr>
          <w:ilvl w:val="0"/>
          <w:numId w:val="0"/>
        </w:numPr>
      </w:pPr>
      <w:bookmarkStart w:id="230" w:name="_Toc132639570"/>
      <w:r>
        <w:t xml:space="preserve">16. </w:t>
      </w:r>
      <w:r w:rsidR="00C3062E" w:rsidRPr="00033E65">
        <w:t>Rediseño de Despachos previo a la entrada en vigencia del Código Procesal Agrario</w:t>
      </w:r>
      <w:bookmarkEnd w:id="230"/>
    </w:p>
    <w:p w14:paraId="08E5D23B" w14:textId="21668CB1" w:rsidR="00C3062E" w:rsidRPr="00033E65" w:rsidRDefault="009F26B0" w:rsidP="00C3062E">
      <w:pPr>
        <w:rPr>
          <w:lang w:val="es-ES" w:eastAsia="en-US"/>
        </w:rPr>
      </w:pPr>
      <w:r w:rsidRPr="00033E65">
        <w:rPr>
          <w:lang w:val="es-ES" w:eastAsia="en-US"/>
        </w:rPr>
        <w:t>La Dirección de Planificación, como un actor más del Proyecto de Implementación del Código Procesal Agrario, aprobado por el Consejo Superior en sesión extraordinaria 110-18, celebrada el 19 de diciembre del 2018, realiz</w:t>
      </w:r>
      <w:r w:rsidR="00CA3671" w:rsidRPr="00033E65">
        <w:rPr>
          <w:lang w:val="es-ES" w:eastAsia="en-US"/>
        </w:rPr>
        <w:t>ó</w:t>
      </w:r>
      <w:r w:rsidRPr="00033E65">
        <w:rPr>
          <w:lang w:val="es-ES" w:eastAsia="en-US"/>
        </w:rPr>
        <w:t xml:space="preserve"> múltiples tareas relacionadas con réplicas de despachos modelo producto de los Rediseño de Procesos según Manual Metodológico del Rediseño de procesos (Circular 71-15) y que hoy son objeto de seguimiento por parte de los profesionales, en aras de la preparación y estabilización en circulantes de la Jurisdicción a Agraria para la preparación de la entrada en vigencia de esta Ley. Entre las actividades realizadas se encuentran:</w:t>
      </w:r>
    </w:p>
    <w:p w14:paraId="76301F97" w14:textId="77777777" w:rsidR="00D80648" w:rsidRPr="00033E65" w:rsidRDefault="00D80648" w:rsidP="00C3062E">
      <w:pPr>
        <w:rPr>
          <w:lang w:val="es-ES" w:eastAsia="en-US"/>
        </w:rPr>
      </w:pPr>
    </w:p>
    <w:p w14:paraId="65890EB3" w14:textId="6EF81683" w:rsidR="003A6FEB" w:rsidRPr="00033E65" w:rsidRDefault="003A6FEB" w:rsidP="003A6FEB">
      <w:pPr>
        <w:pStyle w:val="Prrafodelista"/>
        <w:ind w:left="426" w:hanging="22"/>
        <w:rPr>
          <w:rFonts w:eastAsia="Arial Unicode MS" w:cstheme="majorBidi"/>
          <w:b/>
          <w:spacing w:val="10"/>
          <w:sz w:val="24"/>
          <w:szCs w:val="52"/>
          <w:u w:color="000000"/>
          <w:lang w:val="es-ES" w:eastAsia="ja-JP"/>
        </w:rPr>
      </w:pPr>
      <w:r w:rsidRPr="00033E65">
        <w:rPr>
          <w:rFonts w:eastAsia="Arial Unicode MS" w:cstheme="majorBidi"/>
          <w:b/>
          <w:spacing w:val="10"/>
          <w:sz w:val="24"/>
          <w:szCs w:val="52"/>
          <w:u w:color="000000"/>
          <w:lang w:val="es-ES" w:eastAsia="ja-JP"/>
        </w:rPr>
        <w:t>a.</w:t>
      </w:r>
      <w:r w:rsidRPr="00033E65">
        <w:rPr>
          <w:rFonts w:eastAsia="Arial Unicode MS" w:cstheme="majorBidi"/>
          <w:b/>
          <w:spacing w:val="10"/>
          <w:sz w:val="24"/>
          <w:szCs w:val="52"/>
          <w:u w:color="000000"/>
          <w:lang w:val="es-ES" w:eastAsia="ja-JP"/>
        </w:rPr>
        <w:tab/>
        <w:t xml:space="preserve">Abordaje de </w:t>
      </w:r>
      <w:r w:rsidR="00B9057D" w:rsidRPr="00033E65">
        <w:rPr>
          <w:rFonts w:eastAsia="Arial Unicode MS" w:cstheme="majorBidi"/>
          <w:b/>
          <w:spacing w:val="10"/>
          <w:sz w:val="24"/>
          <w:szCs w:val="52"/>
          <w:u w:color="000000"/>
          <w:lang w:val="es-ES" w:eastAsia="ja-JP"/>
        </w:rPr>
        <w:t>D</w:t>
      </w:r>
      <w:r w:rsidRPr="00033E65">
        <w:rPr>
          <w:rFonts w:eastAsia="Arial Unicode MS" w:cstheme="majorBidi"/>
          <w:b/>
          <w:spacing w:val="10"/>
          <w:sz w:val="24"/>
          <w:szCs w:val="52"/>
          <w:u w:color="000000"/>
          <w:lang w:val="es-ES" w:eastAsia="ja-JP"/>
        </w:rPr>
        <w:t>espachos Agrarios</w:t>
      </w:r>
    </w:p>
    <w:p w14:paraId="5605D84B" w14:textId="75FF31A2" w:rsidR="003A6FEB" w:rsidRPr="00033E65" w:rsidRDefault="003A6FEB" w:rsidP="003A6FEB">
      <w:pPr>
        <w:rPr>
          <w:lang w:val="es-ES" w:eastAsia="en-US"/>
        </w:rPr>
      </w:pPr>
      <w:r w:rsidRPr="00033E65">
        <w:rPr>
          <w:lang w:val="es-ES" w:eastAsia="en-US"/>
        </w:rPr>
        <w:t xml:space="preserve">Se realiza con la finalidad de replicar los Despachos Modelos, producto de los Rediseño de Procesos, en los cuales se analizan las funciones por puesto de trabajo, distribución de cargas de trabajo, la organización funcional y estructural del despacho, tiempos del dictado de sentencia, proveído de las personas técnicas judiciales; implementación del Modelo de Sostenibilidad que contiene la propuesta de Indicadores de Gestión, entre otras propuestas de </w:t>
      </w:r>
      <w:r w:rsidR="00230EC8" w:rsidRPr="00033E65">
        <w:rPr>
          <w:lang w:val="es-ES" w:eastAsia="en-US"/>
        </w:rPr>
        <w:t>solución.</w:t>
      </w:r>
      <w:r w:rsidRPr="00033E65">
        <w:rPr>
          <w:lang w:val="es-ES" w:eastAsia="en-US"/>
        </w:rPr>
        <w:t xml:space="preserve"> A la fecha se abordaron 12 juzgados </w:t>
      </w:r>
      <w:r w:rsidRPr="00033E65">
        <w:rPr>
          <w:rFonts w:eastAsia="Arial Unicode MS"/>
          <w:color w:val="000000"/>
        </w:rPr>
        <w:t>y el Tribunal Agrario</w:t>
      </w:r>
      <w:r w:rsidRPr="00033E65">
        <w:rPr>
          <w:lang w:val="es-ES" w:eastAsia="en-US"/>
        </w:rPr>
        <w:t>.</w:t>
      </w:r>
    </w:p>
    <w:p w14:paraId="0D84BFE9" w14:textId="77777777" w:rsidR="003A6FEB" w:rsidRPr="00033E65" w:rsidRDefault="003A6FEB" w:rsidP="003A6FEB">
      <w:pPr>
        <w:pStyle w:val="Prrafodelista"/>
        <w:ind w:left="426" w:hanging="22"/>
        <w:rPr>
          <w:rFonts w:eastAsia="Arial Unicode MS" w:cstheme="majorBidi"/>
          <w:b/>
          <w:spacing w:val="10"/>
          <w:sz w:val="24"/>
          <w:szCs w:val="52"/>
          <w:u w:color="000000"/>
          <w:lang w:val="es-ES" w:eastAsia="ja-JP"/>
        </w:rPr>
      </w:pPr>
      <w:r w:rsidRPr="00033E65">
        <w:rPr>
          <w:rFonts w:eastAsia="Arial Unicode MS" w:cstheme="majorBidi"/>
          <w:b/>
          <w:spacing w:val="10"/>
          <w:sz w:val="24"/>
          <w:szCs w:val="52"/>
          <w:u w:color="000000"/>
          <w:lang w:val="es-ES" w:eastAsia="ja-JP"/>
        </w:rPr>
        <w:t>b.</w:t>
      </w:r>
      <w:r w:rsidRPr="00033E65">
        <w:rPr>
          <w:rFonts w:eastAsia="Arial Unicode MS" w:cstheme="majorBidi"/>
          <w:b/>
          <w:spacing w:val="10"/>
          <w:sz w:val="24"/>
          <w:szCs w:val="52"/>
          <w:u w:color="000000"/>
          <w:lang w:val="es-ES" w:eastAsia="ja-JP"/>
        </w:rPr>
        <w:tab/>
        <w:t>Revisión y diseño de la Fórmula Estadística</w:t>
      </w:r>
    </w:p>
    <w:p w14:paraId="2EE05379" w14:textId="7FC21286" w:rsidR="003A6FEB" w:rsidRPr="00033E65" w:rsidRDefault="003A6FEB" w:rsidP="003A6FEB">
      <w:pPr>
        <w:rPr>
          <w:lang w:val="es-ES" w:eastAsia="en-US"/>
        </w:rPr>
      </w:pPr>
      <w:r w:rsidRPr="00033E65">
        <w:rPr>
          <w:lang w:val="es-ES" w:eastAsia="en-US"/>
        </w:rPr>
        <w:t>Se realiza con la finalidad de que la herramienta contenga todas las variables necesarias para la toma de decisiones y en apego a la realidad estadística del despacho. Este ejercicio se realiza para la actual legislación y posteriormente se deben proveer los ajustes necesario una vez entrada en vigen</w:t>
      </w:r>
      <w:r w:rsidR="00FF3DF5" w:rsidRPr="00033E65">
        <w:rPr>
          <w:lang w:val="es-ES" w:eastAsia="en-US"/>
        </w:rPr>
        <w:t>cia el Código Procesal Agrario.</w:t>
      </w:r>
    </w:p>
    <w:p w14:paraId="534DABB2" w14:textId="77777777" w:rsidR="00FF3DF5" w:rsidRPr="00033E65" w:rsidRDefault="00FF3DF5" w:rsidP="003A6FEB">
      <w:pPr>
        <w:rPr>
          <w:lang w:val="es-ES" w:eastAsia="en-US"/>
        </w:rPr>
      </w:pPr>
    </w:p>
    <w:p w14:paraId="6EEF23C5" w14:textId="77777777" w:rsidR="003A6FEB" w:rsidRPr="00033E65" w:rsidRDefault="003A6FEB" w:rsidP="003A6FEB">
      <w:pPr>
        <w:pStyle w:val="Prrafodelista"/>
        <w:ind w:left="426" w:hanging="22"/>
        <w:rPr>
          <w:rFonts w:eastAsia="Arial Unicode MS" w:cstheme="majorBidi"/>
          <w:b/>
          <w:spacing w:val="10"/>
          <w:sz w:val="24"/>
          <w:szCs w:val="52"/>
          <w:u w:color="000000"/>
          <w:lang w:val="es-ES" w:eastAsia="ja-JP"/>
        </w:rPr>
      </w:pPr>
      <w:r w:rsidRPr="00033E65">
        <w:rPr>
          <w:rFonts w:eastAsia="Arial Unicode MS" w:cstheme="majorBidi"/>
          <w:b/>
          <w:spacing w:val="10"/>
          <w:sz w:val="24"/>
          <w:szCs w:val="52"/>
          <w:u w:color="000000"/>
          <w:lang w:val="es-ES" w:eastAsia="ja-JP"/>
        </w:rPr>
        <w:t>c.</w:t>
      </w:r>
      <w:r w:rsidRPr="00033E65">
        <w:rPr>
          <w:rFonts w:eastAsia="Arial Unicode MS" w:cstheme="majorBidi"/>
          <w:b/>
          <w:spacing w:val="10"/>
          <w:sz w:val="24"/>
          <w:szCs w:val="52"/>
          <w:u w:color="000000"/>
          <w:lang w:val="es-ES" w:eastAsia="ja-JP"/>
        </w:rPr>
        <w:tab/>
        <w:t>Sesiones de trabajo con el Equipo Gestor</w:t>
      </w:r>
    </w:p>
    <w:p w14:paraId="5BBC3891" w14:textId="57A808A4" w:rsidR="003A6FEB" w:rsidRPr="00033E65" w:rsidRDefault="003A6FEB" w:rsidP="003A6FEB">
      <w:pPr>
        <w:rPr>
          <w:lang w:val="es-ES" w:eastAsia="en-US"/>
        </w:rPr>
      </w:pPr>
      <w:r w:rsidRPr="00033E65">
        <w:rPr>
          <w:lang w:val="es-ES" w:eastAsia="en-US"/>
        </w:rPr>
        <w:t>El Equipo Gestor conformado en su momento por la Jueza Vanessa Fisher González, el Juez Enrique Ulate Chacón, la Jueza Damaris Vargas Vásquez y el licenciado Frank Alvarez Hernández, se realizaron reuniones con la finalidad de realimentarlos en la metodología de trabajo para los Rediseños de Procesos, el Modelo de Sostenibilidad y el diseño de la propuesta de Indicadores de Gestión, en aras de identificar oportunidades de mejora que contengan tanto los criterios técnicos como los criterios jurídicos en apego a la realidad de la jurisdicción Agraria.</w:t>
      </w:r>
      <w:r w:rsidRPr="00033E65">
        <w:t xml:space="preserve"> </w:t>
      </w:r>
      <w:r w:rsidRPr="00033E65">
        <w:rPr>
          <w:lang w:val="es-ES" w:eastAsia="en-US"/>
        </w:rPr>
        <w:t>Es importante indicar que la agenda de estas sesiones de trabajo es:</w:t>
      </w:r>
    </w:p>
    <w:p w14:paraId="675B61F4" w14:textId="77777777" w:rsidR="003A6FEB" w:rsidRPr="00033E65" w:rsidRDefault="003A6FEB">
      <w:pPr>
        <w:pStyle w:val="Prrafodelista"/>
        <w:numPr>
          <w:ilvl w:val="0"/>
          <w:numId w:val="17"/>
        </w:numPr>
        <w:spacing w:after="0"/>
        <w:ind w:left="709" w:hanging="283"/>
        <w:rPr>
          <w:rFonts w:eastAsia="Arial Unicode MS"/>
          <w:i/>
          <w:color w:val="000000"/>
          <w:lang w:eastAsia="en-US"/>
        </w:rPr>
      </w:pPr>
      <w:r w:rsidRPr="00033E65">
        <w:rPr>
          <w:rFonts w:eastAsia="Arial Unicode MS"/>
          <w:i/>
          <w:color w:val="000000"/>
        </w:rPr>
        <w:t xml:space="preserve">Reunión 1: </w:t>
      </w:r>
    </w:p>
    <w:p w14:paraId="37C9B4BE" w14:textId="77777777" w:rsidR="003A6FEB" w:rsidRPr="00033E65" w:rsidRDefault="003A6FEB">
      <w:pPr>
        <w:pStyle w:val="Prrafodelista"/>
        <w:numPr>
          <w:ilvl w:val="0"/>
          <w:numId w:val="17"/>
        </w:numPr>
        <w:spacing w:after="0"/>
        <w:ind w:left="709" w:hanging="283"/>
        <w:rPr>
          <w:rFonts w:eastAsia="Arial Unicode MS"/>
          <w:color w:val="000000"/>
        </w:rPr>
      </w:pPr>
      <w:r w:rsidRPr="00033E65">
        <w:rPr>
          <w:rFonts w:eastAsia="Arial Unicode MS"/>
          <w:color w:val="000000"/>
        </w:rPr>
        <w:t xml:space="preserve">Tema: Rediseño de Procesos y Modelo de Sostenibilidad. </w:t>
      </w:r>
    </w:p>
    <w:p w14:paraId="5027B477" w14:textId="77777777" w:rsidR="003A6FEB" w:rsidRPr="00033E65" w:rsidRDefault="003A6FEB">
      <w:pPr>
        <w:pStyle w:val="Prrafodelista"/>
        <w:numPr>
          <w:ilvl w:val="0"/>
          <w:numId w:val="17"/>
        </w:numPr>
        <w:spacing w:after="0"/>
        <w:ind w:left="709" w:hanging="283"/>
        <w:rPr>
          <w:rFonts w:eastAsia="Arial Unicode MS"/>
          <w:i/>
          <w:color w:val="000000"/>
        </w:rPr>
      </w:pPr>
      <w:r w:rsidRPr="00033E65">
        <w:rPr>
          <w:rFonts w:eastAsia="Arial Unicode MS"/>
          <w:i/>
          <w:color w:val="000000"/>
        </w:rPr>
        <w:t xml:space="preserve">Reunión 2: </w:t>
      </w:r>
    </w:p>
    <w:p w14:paraId="1E431219" w14:textId="77777777" w:rsidR="003A6FEB" w:rsidRPr="00033E65" w:rsidRDefault="003A6FEB">
      <w:pPr>
        <w:pStyle w:val="Prrafodelista"/>
        <w:numPr>
          <w:ilvl w:val="0"/>
          <w:numId w:val="17"/>
        </w:numPr>
        <w:spacing w:after="0"/>
        <w:ind w:left="709" w:hanging="283"/>
        <w:rPr>
          <w:rFonts w:eastAsia="Arial Unicode MS"/>
          <w:color w:val="000000"/>
        </w:rPr>
      </w:pPr>
      <w:r w:rsidRPr="00033E65">
        <w:rPr>
          <w:rFonts w:eastAsia="Arial Unicode MS"/>
          <w:color w:val="000000"/>
        </w:rPr>
        <w:t>Tema: Diseño y Construcción de Indicadores de Gestión (Parte 1)</w:t>
      </w:r>
    </w:p>
    <w:p w14:paraId="0E1A0CE5" w14:textId="77777777" w:rsidR="003A6FEB" w:rsidRPr="00033E65" w:rsidRDefault="003A6FEB">
      <w:pPr>
        <w:pStyle w:val="Prrafodelista"/>
        <w:numPr>
          <w:ilvl w:val="0"/>
          <w:numId w:val="17"/>
        </w:numPr>
        <w:spacing w:after="0"/>
        <w:ind w:left="709" w:hanging="283"/>
        <w:rPr>
          <w:rFonts w:eastAsia="Arial Unicode MS"/>
          <w:i/>
          <w:color w:val="000000"/>
        </w:rPr>
      </w:pPr>
      <w:r w:rsidRPr="00033E65">
        <w:rPr>
          <w:rFonts w:eastAsia="Arial Unicode MS"/>
          <w:i/>
          <w:color w:val="000000"/>
        </w:rPr>
        <w:t xml:space="preserve">Reunión 3: </w:t>
      </w:r>
    </w:p>
    <w:p w14:paraId="186D6F6E" w14:textId="77777777" w:rsidR="003A6FEB" w:rsidRPr="00033E65" w:rsidRDefault="003A6FEB">
      <w:pPr>
        <w:pStyle w:val="Prrafodelista"/>
        <w:numPr>
          <w:ilvl w:val="0"/>
          <w:numId w:val="17"/>
        </w:numPr>
        <w:spacing w:after="0"/>
        <w:ind w:left="709" w:hanging="283"/>
        <w:rPr>
          <w:rFonts w:eastAsia="Arial Unicode MS"/>
          <w:color w:val="000000"/>
        </w:rPr>
      </w:pPr>
      <w:r w:rsidRPr="00033E65">
        <w:rPr>
          <w:rFonts w:eastAsia="Arial Unicode MS"/>
          <w:color w:val="000000"/>
        </w:rPr>
        <w:t>Tema: Diseño y Construcción de Indicadores de Gestión (Parte 2)</w:t>
      </w:r>
    </w:p>
    <w:p w14:paraId="39589851" w14:textId="77777777" w:rsidR="003A6FEB" w:rsidRPr="00033E65" w:rsidRDefault="003A6FEB">
      <w:pPr>
        <w:pStyle w:val="Prrafodelista"/>
        <w:numPr>
          <w:ilvl w:val="0"/>
          <w:numId w:val="17"/>
        </w:numPr>
        <w:spacing w:after="0"/>
        <w:ind w:left="709" w:hanging="283"/>
        <w:rPr>
          <w:rFonts w:eastAsia="Arial Unicode MS"/>
          <w:i/>
          <w:color w:val="000000"/>
        </w:rPr>
      </w:pPr>
      <w:r w:rsidRPr="00033E65">
        <w:rPr>
          <w:rFonts w:eastAsia="Arial Unicode MS"/>
          <w:i/>
          <w:color w:val="000000"/>
        </w:rPr>
        <w:t xml:space="preserve">Reunión 4: </w:t>
      </w:r>
    </w:p>
    <w:p w14:paraId="16D82E99" w14:textId="77777777" w:rsidR="003A6FEB" w:rsidRPr="00033E65" w:rsidRDefault="003A6FEB">
      <w:pPr>
        <w:pStyle w:val="Prrafodelista"/>
        <w:numPr>
          <w:ilvl w:val="0"/>
          <w:numId w:val="17"/>
        </w:numPr>
        <w:spacing w:after="0"/>
        <w:ind w:left="709" w:hanging="283"/>
        <w:rPr>
          <w:rFonts w:eastAsia="Arial Unicode MS"/>
          <w:color w:val="000000"/>
        </w:rPr>
      </w:pPr>
      <w:r w:rsidRPr="00033E65">
        <w:rPr>
          <w:rFonts w:eastAsia="Arial Unicode MS"/>
          <w:color w:val="000000"/>
        </w:rPr>
        <w:t>Se propone: Atención de consultas</w:t>
      </w:r>
    </w:p>
    <w:p w14:paraId="7E806EE2" w14:textId="77777777" w:rsidR="003A6FEB" w:rsidRPr="00033E65" w:rsidRDefault="003A6FEB">
      <w:pPr>
        <w:pStyle w:val="Prrafodelista"/>
        <w:numPr>
          <w:ilvl w:val="0"/>
          <w:numId w:val="17"/>
        </w:numPr>
        <w:spacing w:after="0"/>
        <w:ind w:left="709" w:hanging="283"/>
        <w:rPr>
          <w:rFonts w:eastAsia="Arial Unicode MS"/>
          <w:i/>
          <w:color w:val="000000"/>
        </w:rPr>
      </w:pPr>
      <w:r w:rsidRPr="00033E65">
        <w:rPr>
          <w:rFonts w:eastAsia="Arial Unicode MS"/>
          <w:i/>
          <w:color w:val="000000"/>
        </w:rPr>
        <w:t>Reunión 5:</w:t>
      </w:r>
    </w:p>
    <w:p w14:paraId="202AC2FF" w14:textId="77777777" w:rsidR="003A6FEB" w:rsidRPr="00033E65" w:rsidRDefault="003A6FEB">
      <w:pPr>
        <w:pStyle w:val="Prrafodelista"/>
        <w:numPr>
          <w:ilvl w:val="0"/>
          <w:numId w:val="17"/>
        </w:numPr>
        <w:spacing w:after="0"/>
        <w:ind w:left="709" w:hanging="283"/>
        <w:rPr>
          <w:rFonts w:eastAsia="Arial Unicode MS"/>
          <w:color w:val="000000"/>
        </w:rPr>
      </w:pPr>
      <w:r w:rsidRPr="00033E65">
        <w:rPr>
          <w:rFonts w:eastAsia="Arial Unicode MS"/>
          <w:color w:val="000000"/>
        </w:rPr>
        <w:t>Taller para la definición de la Fórmula Estadística actual (Subproceso de Estadística)</w:t>
      </w:r>
    </w:p>
    <w:p w14:paraId="20DB4760" w14:textId="567F90D0" w:rsidR="003A6FEB" w:rsidRPr="00033E65" w:rsidRDefault="003A6FEB" w:rsidP="003A6FEB">
      <w:pPr>
        <w:rPr>
          <w:lang w:val="es-ES" w:eastAsia="en-US"/>
        </w:rPr>
      </w:pPr>
      <w:r w:rsidRPr="00033E65">
        <w:rPr>
          <w:lang w:val="es-ES" w:eastAsia="en-US"/>
        </w:rPr>
        <w:t>Lo anterior, en cumplimiento a lo dispuesto por Corte Plena en la sesión 25-2019, del 24 de junio</w:t>
      </w:r>
      <w:r w:rsidR="00137ACD" w:rsidRPr="00033E65">
        <w:rPr>
          <w:lang w:val="es-ES" w:eastAsia="en-US"/>
        </w:rPr>
        <w:t xml:space="preserve"> de 2019</w:t>
      </w:r>
      <w:r w:rsidRPr="00033E65">
        <w:rPr>
          <w:lang w:val="es-ES" w:eastAsia="en-US"/>
        </w:rPr>
        <w:t xml:space="preserve">, artículo XV.  </w:t>
      </w:r>
    </w:p>
    <w:p w14:paraId="1166BE2F" w14:textId="792CF2C9" w:rsidR="003A6FEB" w:rsidRPr="00033E65" w:rsidRDefault="003A6FEB" w:rsidP="003A6FEB">
      <w:pPr>
        <w:rPr>
          <w:lang w:val="es-ES" w:eastAsia="en-US"/>
        </w:rPr>
      </w:pPr>
      <w:r w:rsidRPr="00033E65">
        <w:rPr>
          <w:lang w:val="es-ES" w:eastAsia="en-US"/>
        </w:rPr>
        <w:t>Adicionalmente, es importante indicar que parte del seguimiento que brindan los profesionales de la Dirección de Planificación durante los abordajes de réplica de los Despachos modelos producto de los Rediseños de Procesos, se tiene la tarea de seguimiento; en donde se realimenta a los Despachos involucrados sobre el diagnóstico realizado, el diseño de propuestas elaboradas, la implementación de las mismas, así como todas aquellas propuestas que nacen a través de la implementación del Modelo de Sostenibilidad (Mejora Continua),  donde se toman en consideración las observaciones de fondo, forma, consulta, aclaración, adiciones, entre otro tipo de información; de forma que se logre la comunicación asertiva del proyecto y en cumplimiento con el alcance de los acuerdos indicados anteriormente.</w:t>
      </w:r>
    </w:p>
    <w:p w14:paraId="4C6B0D1E" w14:textId="4238FCB5" w:rsidR="003A6FEB" w:rsidRPr="00033E65" w:rsidRDefault="003A6FEB" w:rsidP="003A6FEB">
      <w:pPr>
        <w:rPr>
          <w:lang w:val="es-ES" w:eastAsia="en-US"/>
        </w:rPr>
      </w:pPr>
      <w:r w:rsidRPr="00033E65">
        <w:rPr>
          <w:lang w:val="es-ES" w:eastAsia="en-US"/>
        </w:rPr>
        <w:t>Por otro lado, se realizó un plan piloto en la materia Agraria para el diseño de “hoja resumen de Indicadores de Gestión”, en el reporte mensual de los Juzgados Agrarios en SIGMA, que concentrará la mayoría de la información necesaria para la alimentación de los Indicadores de Gestión, con la finalidad de facilitar la generación de la información por parte de los Despachos y reducir las posibilidades del error humano.</w:t>
      </w:r>
    </w:p>
    <w:p w14:paraId="1F437410" w14:textId="37BDC23F" w:rsidR="003A6FEB" w:rsidRPr="00033E65" w:rsidRDefault="003A6FEB" w:rsidP="003A6FEB">
      <w:pPr>
        <w:rPr>
          <w:lang w:val="es-ES" w:eastAsia="en-US"/>
        </w:rPr>
      </w:pPr>
      <w:r w:rsidRPr="00033E65">
        <w:rPr>
          <w:lang w:val="es-ES" w:eastAsia="en-US"/>
        </w:rPr>
        <w:t>Con el seguimiento de la implementación de los Indicadores de Gestión y el Modelo de Sostenibilidad; por medio del equipo de profesionales de la Subproceso de Modernización Institucional de la Dirección de Planificación, se brinda seguimiento mes a mes a los Despachos, de forma que se logre la realimentación hacia los juzgados, para fortalecer las habilidades y conocimientos en el personal que lo conforman, en la aplicación de las herramientas de control parte de este Modelo de Sostenibilidad, en beneficio de la autogestión de cada Despacho.</w:t>
      </w:r>
    </w:p>
    <w:p w14:paraId="05D1CA0D" w14:textId="64302504" w:rsidR="003A6FEB" w:rsidRPr="00033E65" w:rsidRDefault="003A6FEB" w:rsidP="003A6FEB">
      <w:pPr>
        <w:rPr>
          <w:lang w:val="es-ES" w:eastAsia="en-US"/>
        </w:rPr>
      </w:pPr>
      <w:r w:rsidRPr="00033E65">
        <w:rPr>
          <w:lang w:val="es-ES" w:eastAsia="en-US"/>
        </w:rPr>
        <w:t xml:space="preserve">En esta etapa de seguimiento de la implementación del Modelo de Sostenibilidad y de la propuesta de Indicadores de Gestión, se detecta la necesidad imperante de realizar trabajo de campo nuevamente en los despachos, con la finalidad de promover un acercamiento con los Equipos de Mejora, de forma que se logren atender las oportunidades de mejora, así como solventar dudas que surgieron a lo largo del proceso de implementación, en caso de que sea requerido. Las actividades realizadas durante las visitas a los Juzgados especializados </w:t>
      </w:r>
      <w:r w:rsidR="00B80453" w:rsidRPr="00033E65">
        <w:rPr>
          <w:lang w:val="es-ES" w:eastAsia="en-US"/>
        </w:rPr>
        <w:t>fueron</w:t>
      </w:r>
      <w:r w:rsidRPr="00033E65">
        <w:rPr>
          <w:lang w:val="es-ES" w:eastAsia="en-US"/>
        </w:rPr>
        <w:t>:</w:t>
      </w:r>
    </w:p>
    <w:p w14:paraId="0574B059" w14:textId="77777777" w:rsidR="003A6FEB" w:rsidRPr="00033E65" w:rsidRDefault="003A6FEB">
      <w:pPr>
        <w:pStyle w:val="Prrafodelista"/>
        <w:numPr>
          <w:ilvl w:val="0"/>
          <w:numId w:val="18"/>
        </w:numPr>
        <w:ind w:left="714" w:hanging="357"/>
        <w:contextualSpacing w:val="0"/>
        <w:rPr>
          <w:rFonts w:eastAsia="Arial Unicode MS"/>
          <w:color w:val="000000"/>
          <w:lang w:eastAsia="en-US"/>
        </w:rPr>
      </w:pPr>
      <w:r w:rsidRPr="00033E65">
        <w:rPr>
          <w:rFonts w:eastAsia="Arial Unicode MS"/>
          <w:color w:val="000000"/>
        </w:rPr>
        <w:t>Retroalimentación al Equipo de trabajo de del Modelo de Sostenibilidad de forma detallada, logrando ampliar así el conocimiento y subsanar dudas. Para esta actividad se realizará una presentación.</w:t>
      </w:r>
    </w:p>
    <w:p w14:paraId="689DF3F6" w14:textId="77777777" w:rsidR="003A6FEB" w:rsidRPr="00033E65" w:rsidRDefault="003A6FEB">
      <w:pPr>
        <w:pStyle w:val="Prrafodelista"/>
        <w:numPr>
          <w:ilvl w:val="0"/>
          <w:numId w:val="18"/>
        </w:numPr>
        <w:ind w:left="714" w:hanging="357"/>
        <w:contextualSpacing w:val="0"/>
        <w:rPr>
          <w:rFonts w:eastAsia="Arial Unicode MS"/>
          <w:color w:val="000000"/>
        </w:rPr>
      </w:pPr>
      <w:r w:rsidRPr="00033E65">
        <w:rPr>
          <w:rFonts w:eastAsia="Arial Unicode MS"/>
          <w:color w:val="000000"/>
        </w:rPr>
        <w:t xml:space="preserve">Retroalimentar al despacho con las oportunidades de mejora detectas de las revisiones que realizan el equipo de la Dirección de Planificación a los indicadores mensuales, minutas de equipo de mejora y planes remediales mes a mes, así como solventar dudas que presente el equipo del Despacho. </w:t>
      </w:r>
    </w:p>
    <w:p w14:paraId="0EA515F6" w14:textId="77777777" w:rsidR="003A6FEB" w:rsidRPr="00033E65" w:rsidRDefault="003A6FEB">
      <w:pPr>
        <w:pStyle w:val="Prrafodelista"/>
        <w:numPr>
          <w:ilvl w:val="0"/>
          <w:numId w:val="18"/>
        </w:numPr>
        <w:ind w:left="714" w:hanging="357"/>
        <w:contextualSpacing w:val="0"/>
        <w:rPr>
          <w:rFonts w:eastAsia="Arial Unicode MS"/>
          <w:color w:val="000000"/>
        </w:rPr>
      </w:pPr>
      <w:r w:rsidRPr="00033E65">
        <w:rPr>
          <w:rFonts w:eastAsia="Arial Unicode MS"/>
          <w:color w:val="000000"/>
        </w:rPr>
        <w:t xml:space="preserve">Realizar un seguimiento de las propuestas de solución que se trabajaron con el Despacho, con lo cual, en los casos que corresponda, se podrán identificar el nivel de implementación, así como las dificultadas vividas durante su implementación.  </w:t>
      </w:r>
    </w:p>
    <w:p w14:paraId="6E483FED" w14:textId="77777777" w:rsidR="003A6FEB" w:rsidRPr="00033E65" w:rsidRDefault="003A6FEB">
      <w:pPr>
        <w:pStyle w:val="Prrafodelista"/>
        <w:numPr>
          <w:ilvl w:val="0"/>
          <w:numId w:val="18"/>
        </w:numPr>
        <w:ind w:left="714" w:hanging="357"/>
        <w:contextualSpacing w:val="0"/>
        <w:rPr>
          <w:rFonts w:eastAsia="Arial Unicode MS"/>
          <w:color w:val="000000"/>
        </w:rPr>
      </w:pPr>
      <w:r w:rsidRPr="00033E65">
        <w:rPr>
          <w:rFonts w:eastAsia="Arial Unicode MS"/>
          <w:color w:val="000000"/>
        </w:rPr>
        <w:t xml:space="preserve">Revisión de la matriz de Indicadores de Gestión, donde se aprovechará la ocasión para retroalimentar sobre las modificaciones realizadas, así como solventar consultas.  </w:t>
      </w:r>
    </w:p>
    <w:p w14:paraId="64C964D3" w14:textId="77777777" w:rsidR="003A6FEB" w:rsidRPr="00033E65" w:rsidRDefault="003A6FEB">
      <w:pPr>
        <w:pStyle w:val="Prrafodelista"/>
        <w:numPr>
          <w:ilvl w:val="0"/>
          <w:numId w:val="18"/>
        </w:numPr>
        <w:ind w:left="714" w:hanging="357"/>
        <w:contextualSpacing w:val="0"/>
        <w:rPr>
          <w:rFonts w:eastAsia="Arial Unicode MS"/>
          <w:color w:val="000000"/>
        </w:rPr>
      </w:pPr>
      <w:r w:rsidRPr="00033E65">
        <w:rPr>
          <w:rFonts w:eastAsia="Arial Unicode MS"/>
          <w:color w:val="000000"/>
        </w:rPr>
        <w:t xml:space="preserve">Retroalimentar al Despacho sobre la mejora que está trabajando esta Dirección en SIGMA, con la finalidad de logar visualizar de forma fácil y unificada, la mayoría de la información necesaria para los Indicadores de Gestión, agilizando el proceso. </w:t>
      </w:r>
    </w:p>
    <w:p w14:paraId="1D2DEB11" w14:textId="77777777" w:rsidR="003A6FEB" w:rsidRPr="00033E65" w:rsidRDefault="003A6FEB">
      <w:pPr>
        <w:pStyle w:val="Prrafodelista"/>
        <w:numPr>
          <w:ilvl w:val="0"/>
          <w:numId w:val="18"/>
        </w:numPr>
        <w:ind w:left="714" w:hanging="357"/>
        <w:contextualSpacing w:val="0"/>
        <w:rPr>
          <w:rFonts w:eastAsia="Arial Unicode MS"/>
          <w:color w:val="000000"/>
        </w:rPr>
      </w:pPr>
      <w:r w:rsidRPr="00033E65">
        <w:rPr>
          <w:rFonts w:eastAsia="Arial Unicode MS"/>
          <w:color w:val="000000"/>
        </w:rPr>
        <w:t xml:space="preserve">Realizar un ejercicio controlado sobre el tiempo invertido en atención del proveído, con la finalidad de recolectar información a nivel nacional y que sea base para el análisis, ya que se han recibido solicitudes de revisar los indicadores implementados para el personal técnico de los despachos.  </w:t>
      </w:r>
    </w:p>
    <w:p w14:paraId="1C806C87" w14:textId="67B8CDB5" w:rsidR="003A6FEB" w:rsidRPr="00033E65" w:rsidRDefault="003A6FEB" w:rsidP="003A6FEB">
      <w:pPr>
        <w:rPr>
          <w:lang w:val="es-ES" w:eastAsia="en-US"/>
        </w:rPr>
      </w:pPr>
      <w:r w:rsidRPr="00033E65">
        <w:rPr>
          <w:lang w:val="es-ES" w:eastAsia="en-US"/>
        </w:rPr>
        <w:t>La Dirección de Planificación mediante oficio 1909-PLA-MI-2019, con fecha del 12 de noviembre de 2019, dirigido a realizó a la Máster Kattia Morales Navarro, Directora de Tecnología de Información, realizó la solicitud de la implementación de los formatos jurídicos del Escritorio Virtual que utilizan los Despachos de la Jurisdicción Civil a los Juzgados Agrarios. Lo anterior, como una necesidad imperante, sustentada en qué; la Jurisdicción Agraria utiliza el actual Código Procesal Civil como norma supletoria. Solicitud efectuada al Equipo de Normalización del Área de Gestión de la Dirección de Tecnología realice la incorporación de los formatos jurídicos indicados en los contextos de los despachos que atienden materia Agraria.</w:t>
      </w:r>
    </w:p>
    <w:p w14:paraId="6FEA58FB" w14:textId="1FED23F9" w:rsidR="00325D39" w:rsidRPr="00033E65" w:rsidRDefault="00336AB9" w:rsidP="00325D39">
      <w:pPr>
        <w:rPr>
          <w:lang w:val="es-ES" w:eastAsia="en-US"/>
        </w:rPr>
      </w:pPr>
      <w:r w:rsidRPr="00033E65">
        <w:rPr>
          <w:lang w:val="es-ES" w:eastAsia="en-US"/>
        </w:rPr>
        <w:t xml:space="preserve">Mediante oficio </w:t>
      </w:r>
      <w:r w:rsidR="00325D39" w:rsidRPr="00033E65">
        <w:rPr>
          <w:lang w:val="es-ES" w:eastAsia="en-US"/>
        </w:rPr>
        <w:t>1803-PLA-MI-2019 elaborado por la Dirección de la Planificación relacionado con el seguimiento que se requiere realizar a los despachos de materia agraria, con la finalidad de avanzar con las propuestas de mejora que se incorporaran de forma definitiva en los informes finales de Rediseño de procesos de esta jurisdicción, conocido por el Consejo Superior en la sesión 95-19 celebrada el 31 de octubre de 2019, artículo XXVII, donde se acordó:</w:t>
      </w:r>
    </w:p>
    <w:p w14:paraId="06401145" w14:textId="737A7EC4" w:rsidR="00325D39" w:rsidRPr="00033E65" w:rsidRDefault="00325D39" w:rsidP="00325D39">
      <w:pPr>
        <w:ind w:left="709" w:right="616"/>
        <w:rPr>
          <w:i/>
          <w:iCs/>
          <w:lang w:val="es-ES" w:eastAsia="en-US"/>
        </w:rPr>
      </w:pPr>
      <w:r w:rsidRPr="00033E65">
        <w:rPr>
          <w:i/>
          <w:iCs/>
          <w:lang w:val="es-ES" w:eastAsia="en-US"/>
        </w:rPr>
        <w:t>“…Se acordó: 1.)  Tener por rendido el oficio N° 1803-PLA-MI-2019 del 30 de octubre de 2019, suscrito por la máster Nacira Valverde Bermúdez, Directora interina de la Dirección de Planificación, en el cual remite el informe suscrito por la ingeniera Elena Gabriela Picado González, Jefa interina de la Subproceso de Modernización Institucional, relacionado con el seguimiento que se requiere realizar a los despachos de materia agraria, con la finalidad de avanzar con las propuestas de mejora que se incorporaran de forma definitiva en los informes finales de rediseño de procesos de esta jurisdicción. 2.) Acoger el cronograma de trabajo propuesto por la Dirección de Planificación, producto abordaje de los despachos Agrarios, con la finalidad de replicar los Despachos Modelos, producto al Rediseño de Procesos según Manual Metodológico del Rediseño.</w:t>
      </w:r>
    </w:p>
    <w:p w14:paraId="37B87A03" w14:textId="646072F0" w:rsidR="003A6FEB" w:rsidRPr="00033E65" w:rsidRDefault="00325D39" w:rsidP="00325D39">
      <w:pPr>
        <w:ind w:left="709" w:right="616"/>
        <w:rPr>
          <w:i/>
          <w:iCs/>
          <w:lang w:val="es-ES" w:eastAsia="en-US"/>
        </w:rPr>
      </w:pPr>
      <w:r w:rsidRPr="00033E65">
        <w:rPr>
          <w:i/>
          <w:iCs/>
          <w:lang w:val="es-ES" w:eastAsia="en-US"/>
        </w:rPr>
        <w:t>La Comisión de la Jurisdicción Agraria y la Dirección de Planificación tomaran nota para lo que cada uno corresponda. Se declara acuerdo firme…”</w:t>
      </w:r>
      <w:r w:rsidR="007B5EBA" w:rsidRPr="00033E65">
        <w:rPr>
          <w:i/>
          <w:iCs/>
          <w:lang w:val="es-ES" w:eastAsia="en-US"/>
        </w:rPr>
        <w:t>.</w:t>
      </w:r>
    </w:p>
    <w:p w14:paraId="4EBB95CE" w14:textId="77777777" w:rsidR="007B5EBA" w:rsidRPr="00033E65" w:rsidRDefault="007B5EBA" w:rsidP="00325D39">
      <w:pPr>
        <w:rPr>
          <w:lang w:val="es-ES" w:eastAsia="en-US"/>
        </w:rPr>
      </w:pPr>
    </w:p>
    <w:p w14:paraId="3D15C436" w14:textId="63264896" w:rsidR="00515728" w:rsidRPr="00033E65" w:rsidRDefault="00325D39" w:rsidP="00325D39">
      <w:pPr>
        <w:rPr>
          <w:lang w:val="es-ES" w:eastAsia="en-US"/>
        </w:rPr>
      </w:pPr>
      <w:r w:rsidRPr="00033E65">
        <w:rPr>
          <w:lang w:val="es-ES" w:eastAsia="en-US"/>
        </w:rPr>
        <w:t xml:space="preserve">En línea de lo anterior, mediante oficio </w:t>
      </w:r>
      <w:r w:rsidR="00BF3281" w:rsidRPr="00033E65">
        <w:rPr>
          <w:lang w:val="es-ES" w:eastAsia="en-US"/>
        </w:rPr>
        <w:t xml:space="preserve">preliminar </w:t>
      </w:r>
      <w:r w:rsidRPr="00033E65">
        <w:rPr>
          <w:lang w:val="es-ES" w:eastAsia="en-US"/>
        </w:rPr>
        <w:t>2051-PLA-MI-2020</w:t>
      </w:r>
      <w:r w:rsidR="000D605D" w:rsidRPr="00033E65">
        <w:rPr>
          <w:lang w:val="es-ES" w:eastAsia="en-US"/>
        </w:rPr>
        <w:t>, enviado a consulta el 17 de diciembre del 2020</w:t>
      </w:r>
      <w:r w:rsidR="00BF3281" w:rsidRPr="00033E65">
        <w:rPr>
          <w:lang w:val="es-ES" w:eastAsia="en-US"/>
        </w:rPr>
        <w:t xml:space="preserve">, </w:t>
      </w:r>
      <w:r w:rsidR="00515728" w:rsidRPr="00033E65">
        <w:rPr>
          <w:lang w:val="es-ES" w:eastAsia="en-US"/>
        </w:rPr>
        <w:t xml:space="preserve">relacionado con el seguimiento que se requiere realizar a los despachos de materia Agraria, con la finalidad de avanzar con las propuestas de mejora que se incorporaran de forma definitiva en los informes finales de Rediseño de procesos de la jurisdicción en Materia Agraria; se detalló cada una de las actividades efectuadas en los distintos despachos judiciales encargados de la materia Agraria, así como las diferentes labores desarrolladas en cada uno referente a la metodología de trabajo para los Rediseños de Procesos, el Modelo de Sostenibilidad y el diseño de la propuesta de Indicadores de Gestión, así como las propuestas para el correcto funcionamiento de la reforma procesal Agraria. Lo anterior con motivo del cumplimiento al acuerdo tomado por el Consejo Superior. </w:t>
      </w:r>
    </w:p>
    <w:p w14:paraId="5D57B9A8" w14:textId="77777777" w:rsidR="00515728" w:rsidRPr="00033E65" w:rsidRDefault="00515728" w:rsidP="00325D39">
      <w:pPr>
        <w:rPr>
          <w:lang w:val="es-ES" w:eastAsia="en-US"/>
        </w:rPr>
      </w:pPr>
      <w:r w:rsidRPr="00033E65">
        <w:rPr>
          <w:lang w:val="es-ES" w:eastAsia="en-US"/>
        </w:rPr>
        <w:t xml:space="preserve">De las tareas realizadas se encuentran: </w:t>
      </w:r>
    </w:p>
    <w:p w14:paraId="300CF581" w14:textId="77777777" w:rsidR="00515728" w:rsidRPr="00033E65" w:rsidRDefault="00515728" w:rsidP="00515728">
      <w:pPr>
        <w:rPr>
          <w:lang w:val="es-ES" w:eastAsia="en-US"/>
        </w:rPr>
      </w:pPr>
      <w:r w:rsidRPr="00033E65">
        <w:rPr>
          <w:lang w:val="es-ES" w:eastAsia="en-US"/>
        </w:rPr>
        <w:t>a.</w:t>
      </w:r>
      <w:r w:rsidRPr="00033E65">
        <w:rPr>
          <w:lang w:val="es-ES" w:eastAsia="en-US"/>
        </w:rPr>
        <w:tab/>
        <w:t xml:space="preserve">Análisis de la Estructura de Recurso Humano </w:t>
      </w:r>
    </w:p>
    <w:p w14:paraId="7C332390" w14:textId="77777777" w:rsidR="00515728" w:rsidRPr="00033E65" w:rsidRDefault="00515728" w:rsidP="00515728">
      <w:pPr>
        <w:rPr>
          <w:lang w:val="es-ES" w:eastAsia="en-US"/>
        </w:rPr>
      </w:pPr>
      <w:r w:rsidRPr="00033E65">
        <w:rPr>
          <w:lang w:val="es-ES" w:eastAsia="en-US"/>
        </w:rPr>
        <w:t>b.</w:t>
      </w:r>
      <w:r w:rsidRPr="00033E65">
        <w:rPr>
          <w:lang w:val="es-ES" w:eastAsia="en-US"/>
        </w:rPr>
        <w:tab/>
        <w:t>Conformación de Equipos de Mejora de Procesos</w:t>
      </w:r>
    </w:p>
    <w:p w14:paraId="50E83303" w14:textId="77777777" w:rsidR="00515728" w:rsidRPr="00033E65" w:rsidRDefault="00515728" w:rsidP="00515728">
      <w:pPr>
        <w:rPr>
          <w:lang w:val="es-ES" w:eastAsia="en-US"/>
        </w:rPr>
      </w:pPr>
      <w:r w:rsidRPr="00033E65">
        <w:rPr>
          <w:lang w:val="es-ES" w:eastAsia="en-US"/>
        </w:rPr>
        <w:t>c.</w:t>
      </w:r>
      <w:r w:rsidRPr="00033E65">
        <w:rPr>
          <w:lang w:val="es-ES" w:eastAsia="en-US"/>
        </w:rPr>
        <w:tab/>
        <w:t>Análisis Estadísticos</w:t>
      </w:r>
    </w:p>
    <w:p w14:paraId="76F9E2E9" w14:textId="77777777" w:rsidR="00515728" w:rsidRPr="00033E65" w:rsidRDefault="00515728" w:rsidP="00515728">
      <w:pPr>
        <w:rPr>
          <w:lang w:val="es-ES" w:eastAsia="en-US"/>
        </w:rPr>
      </w:pPr>
      <w:r w:rsidRPr="00033E65">
        <w:rPr>
          <w:lang w:val="es-ES" w:eastAsia="en-US"/>
        </w:rPr>
        <w:t>d.</w:t>
      </w:r>
      <w:r w:rsidRPr="00033E65">
        <w:rPr>
          <w:lang w:val="es-ES" w:eastAsia="en-US"/>
        </w:rPr>
        <w:tab/>
        <w:t>Análisis de la cantidad de entrada de asuntos nuevos</w:t>
      </w:r>
    </w:p>
    <w:p w14:paraId="6B830944" w14:textId="77777777" w:rsidR="00515728" w:rsidRPr="00033E65" w:rsidRDefault="00515728" w:rsidP="00515728">
      <w:pPr>
        <w:rPr>
          <w:lang w:val="es-ES" w:eastAsia="en-US"/>
        </w:rPr>
      </w:pPr>
      <w:r w:rsidRPr="00033E65">
        <w:rPr>
          <w:lang w:val="es-ES" w:eastAsia="en-US"/>
        </w:rPr>
        <w:t>e.</w:t>
      </w:r>
      <w:r w:rsidRPr="00033E65">
        <w:rPr>
          <w:lang w:val="es-ES" w:eastAsia="en-US"/>
        </w:rPr>
        <w:tab/>
        <w:t>Análisis de circulantes</w:t>
      </w:r>
    </w:p>
    <w:p w14:paraId="1D076307" w14:textId="77777777" w:rsidR="00515728" w:rsidRPr="00033E65" w:rsidRDefault="00515728" w:rsidP="00515728">
      <w:pPr>
        <w:rPr>
          <w:lang w:val="es-ES" w:eastAsia="en-US"/>
        </w:rPr>
      </w:pPr>
      <w:r w:rsidRPr="00033E65">
        <w:rPr>
          <w:lang w:val="es-ES" w:eastAsia="en-US"/>
        </w:rPr>
        <w:t>f.</w:t>
      </w:r>
      <w:r w:rsidRPr="00033E65">
        <w:rPr>
          <w:lang w:val="es-ES" w:eastAsia="en-US"/>
        </w:rPr>
        <w:tab/>
        <w:t>Análisis de la distribución de cargas de trabajo</w:t>
      </w:r>
    </w:p>
    <w:p w14:paraId="3F6EB79E" w14:textId="77777777" w:rsidR="00515728" w:rsidRPr="00033E65" w:rsidRDefault="00515728" w:rsidP="00515728">
      <w:pPr>
        <w:rPr>
          <w:lang w:val="es-ES" w:eastAsia="en-US"/>
        </w:rPr>
      </w:pPr>
      <w:r w:rsidRPr="00033E65">
        <w:rPr>
          <w:lang w:val="es-ES" w:eastAsia="en-US"/>
        </w:rPr>
        <w:t>g.</w:t>
      </w:r>
      <w:r w:rsidRPr="00033E65">
        <w:rPr>
          <w:lang w:val="es-ES" w:eastAsia="en-US"/>
        </w:rPr>
        <w:tab/>
        <w:t>Análisis de escritos en cuanto a entrada y pendientes de resolver.</w:t>
      </w:r>
    </w:p>
    <w:p w14:paraId="15870B75" w14:textId="77777777" w:rsidR="00515728" w:rsidRPr="00033E65" w:rsidRDefault="00515728" w:rsidP="00515728">
      <w:pPr>
        <w:rPr>
          <w:lang w:val="es-ES" w:eastAsia="en-US"/>
        </w:rPr>
      </w:pPr>
      <w:r w:rsidRPr="00033E65">
        <w:rPr>
          <w:lang w:val="es-ES" w:eastAsia="en-US"/>
        </w:rPr>
        <w:t>h.</w:t>
      </w:r>
      <w:r w:rsidRPr="00033E65">
        <w:rPr>
          <w:lang w:val="es-ES" w:eastAsia="en-US"/>
        </w:rPr>
        <w:tab/>
        <w:t>Análisis de la cantidad de sentencias dictadas y cantidad de pendiente de fallo</w:t>
      </w:r>
    </w:p>
    <w:p w14:paraId="78CF3FEC" w14:textId="77777777" w:rsidR="00515728" w:rsidRPr="00033E65" w:rsidRDefault="00515728" w:rsidP="00515728">
      <w:pPr>
        <w:rPr>
          <w:lang w:val="es-ES" w:eastAsia="en-US"/>
        </w:rPr>
      </w:pPr>
      <w:r w:rsidRPr="00033E65">
        <w:rPr>
          <w:lang w:val="es-ES" w:eastAsia="en-US"/>
        </w:rPr>
        <w:t>i.</w:t>
      </w:r>
      <w:r w:rsidRPr="00033E65">
        <w:rPr>
          <w:lang w:val="es-ES" w:eastAsia="en-US"/>
        </w:rPr>
        <w:tab/>
        <w:t>Análisis y definición de Estructura de la agenda.</w:t>
      </w:r>
    </w:p>
    <w:p w14:paraId="41D43852" w14:textId="77777777" w:rsidR="00515728" w:rsidRPr="00033E65" w:rsidRDefault="00515728" w:rsidP="00515728">
      <w:pPr>
        <w:rPr>
          <w:lang w:val="es-ES" w:eastAsia="en-US"/>
        </w:rPr>
      </w:pPr>
      <w:r w:rsidRPr="00033E65">
        <w:rPr>
          <w:lang w:val="es-ES" w:eastAsia="en-US"/>
        </w:rPr>
        <w:t>j.</w:t>
      </w:r>
      <w:r w:rsidRPr="00033E65">
        <w:rPr>
          <w:lang w:val="es-ES" w:eastAsia="en-US"/>
        </w:rPr>
        <w:tab/>
        <w:t>Cantidad de audiencias pendientes de realización</w:t>
      </w:r>
    </w:p>
    <w:p w14:paraId="058177BC" w14:textId="77777777" w:rsidR="00515728" w:rsidRPr="00033E65" w:rsidRDefault="00515728" w:rsidP="00515728">
      <w:pPr>
        <w:rPr>
          <w:lang w:val="es-ES" w:eastAsia="en-US"/>
        </w:rPr>
      </w:pPr>
      <w:r w:rsidRPr="00033E65">
        <w:rPr>
          <w:lang w:val="es-ES" w:eastAsia="en-US"/>
        </w:rPr>
        <w:t>k.</w:t>
      </w:r>
      <w:r w:rsidRPr="00033E65">
        <w:rPr>
          <w:lang w:val="es-ES" w:eastAsia="en-US"/>
        </w:rPr>
        <w:tab/>
        <w:t>Análisis de despachos homólogos</w:t>
      </w:r>
    </w:p>
    <w:p w14:paraId="52DB27E2" w14:textId="77777777" w:rsidR="00515728" w:rsidRPr="00033E65" w:rsidRDefault="00515728" w:rsidP="00515728">
      <w:pPr>
        <w:rPr>
          <w:lang w:val="es-ES" w:eastAsia="en-US"/>
        </w:rPr>
      </w:pPr>
      <w:r w:rsidRPr="00033E65">
        <w:rPr>
          <w:lang w:val="es-ES" w:eastAsia="en-US"/>
        </w:rPr>
        <w:t>l.</w:t>
      </w:r>
      <w:r w:rsidRPr="00033E65">
        <w:rPr>
          <w:lang w:val="es-ES" w:eastAsia="en-US"/>
        </w:rPr>
        <w:tab/>
        <w:t>Estandarización de cuotas de trabajo</w:t>
      </w:r>
    </w:p>
    <w:p w14:paraId="3C95F8F8" w14:textId="77777777" w:rsidR="00515728" w:rsidRPr="00033E65" w:rsidRDefault="00515728" w:rsidP="00515728">
      <w:pPr>
        <w:rPr>
          <w:lang w:val="es-ES" w:eastAsia="en-US"/>
        </w:rPr>
      </w:pPr>
      <w:r w:rsidRPr="00033E65">
        <w:rPr>
          <w:lang w:val="es-ES" w:eastAsia="en-US"/>
        </w:rPr>
        <w:t>m.</w:t>
      </w:r>
      <w:r w:rsidRPr="00033E65">
        <w:rPr>
          <w:lang w:val="es-ES" w:eastAsia="en-US"/>
        </w:rPr>
        <w:tab/>
        <w:t>Estandarización de Indicadores de Gestión</w:t>
      </w:r>
    </w:p>
    <w:p w14:paraId="2E44A16A" w14:textId="607D2333" w:rsidR="00325D39" w:rsidRPr="00033E65" w:rsidRDefault="00515728" w:rsidP="00515728">
      <w:pPr>
        <w:rPr>
          <w:lang w:val="es-ES" w:eastAsia="en-US"/>
        </w:rPr>
      </w:pPr>
      <w:r w:rsidRPr="00033E65">
        <w:rPr>
          <w:lang w:val="es-ES" w:eastAsia="en-US"/>
        </w:rPr>
        <w:t>n.</w:t>
      </w:r>
      <w:r w:rsidRPr="00033E65">
        <w:rPr>
          <w:lang w:val="es-ES" w:eastAsia="en-US"/>
        </w:rPr>
        <w:tab/>
        <w:t>Planes de Trabajo para atención de circulantes</w:t>
      </w:r>
      <w:r w:rsidRPr="00033E65">
        <w:rPr>
          <w:lang w:val="es-ES" w:eastAsia="en-US"/>
        </w:rPr>
        <w:tab/>
      </w:r>
    </w:p>
    <w:p w14:paraId="73C38F6F" w14:textId="77777777" w:rsidR="007B5EBA" w:rsidRPr="00033E65" w:rsidRDefault="003A6FEB" w:rsidP="00515728">
      <w:pPr>
        <w:rPr>
          <w:lang w:val="es-ES" w:eastAsia="en-US"/>
        </w:rPr>
      </w:pPr>
      <w:r w:rsidRPr="00033E65">
        <w:rPr>
          <w:lang w:val="es-ES" w:eastAsia="en-US"/>
        </w:rPr>
        <w:t xml:space="preserve"> </w:t>
      </w:r>
    </w:p>
    <w:p w14:paraId="58C4C191" w14:textId="3301DE6D" w:rsidR="009155A4" w:rsidRDefault="00515728" w:rsidP="00515728">
      <w:pPr>
        <w:rPr>
          <w:color w:val="000000"/>
        </w:rPr>
      </w:pPr>
      <w:r w:rsidRPr="00033E65">
        <w:rPr>
          <w:color w:val="000000"/>
        </w:rPr>
        <w:t>Los informes relacionados a los abordajes realizados se presentan a continuación:</w:t>
      </w:r>
    </w:p>
    <w:p w14:paraId="69BED9DB" w14:textId="77777777" w:rsidR="009155A4" w:rsidRDefault="009155A4">
      <w:pPr>
        <w:spacing w:before="0" w:after="160" w:line="259" w:lineRule="auto"/>
        <w:jc w:val="left"/>
        <w:rPr>
          <w:color w:val="000000"/>
        </w:rPr>
      </w:pPr>
      <w:r>
        <w:rPr>
          <w:color w:val="000000"/>
        </w:rPr>
        <w:br w:type="page"/>
      </w:r>
    </w:p>
    <w:p w14:paraId="59B0B601" w14:textId="45CBBC4D" w:rsidR="00515728" w:rsidRPr="00033E65" w:rsidRDefault="00515728" w:rsidP="009155A4">
      <w:pPr>
        <w:pStyle w:val="Ttulo"/>
        <w:spacing w:before="0" w:after="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Cuadro </w:t>
      </w:r>
      <w:r w:rsidR="003A696A" w:rsidRPr="00033E65">
        <w:rPr>
          <w:rFonts w:eastAsia="Times New Roman" w:cs="Arial"/>
          <w:iCs/>
          <w:spacing w:val="0"/>
          <w:szCs w:val="28"/>
          <w:lang w:val="es-CR" w:eastAsia="es-ES"/>
        </w:rPr>
        <w:t>2</w:t>
      </w:r>
      <w:r w:rsidR="001D28AD" w:rsidRPr="00033E65">
        <w:rPr>
          <w:rFonts w:eastAsia="Times New Roman" w:cs="Arial"/>
          <w:iCs/>
          <w:spacing w:val="0"/>
          <w:szCs w:val="28"/>
          <w:lang w:val="es-CR" w:eastAsia="es-ES"/>
        </w:rPr>
        <w:t>8</w:t>
      </w:r>
    </w:p>
    <w:p w14:paraId="6B4318E1" w14:textId="2711700E" w:rsidR="00515728" w:rsidRPr="00033E65" w:rsidRDefault="00515728" w:rsidP="009155A4">
      <w:pPr>
        <w:pStyle w:val="Ttulo"/>
        <w:spacing w:before="0"/>
        <w:ind w:left="720"/>
        <w:jc w:val="center"/>
        <w:rPr>
          <w:rFonts w:eastAsia="Times New Roman" w:cs="Arial"/>
          <w:iCs/>
          <w:spacing w:val="0"/>
          <w:szCs w:val="28"/>
          <w:lang w:val="es-CR" w:eastAsia="es-ES"/>
        </w:rPr>
      </w:pPr>
      <w:r w:rsidRPr="00033E65">
        <w:rPr>
          <w:rFonts w:eastAsia="Times New Roman" w:cs="Arial"/>
          <w:iCs/>
          <w:spacing w:val="0"/>
          <w:szCs w:val="28"/>
          <w:lang w:val="es-CR" w:eastAsia="es-ES"/>
        </w:rPr>
        <w:t>Resumen de las fechas de abordajes</w:t>
      </w:r>
    </w:p>
    <w:tbl>
      <w:tblPr>
        <w:tblW w:w="0" w:type="auto"/>
        <w:tblCellMar>
          <w:left w:w="70" w:type="dxa"/>
          <w:right w:w="70" w:type="dxa"/>
        </w:tblCellMar>
        <w:tblLook w:val="04A0" w:firstRow="1" w:lastRow="0" w:firstColumn="1" w:lastColumn="0" w:noHBand="0" w:noVBand="1"/>
      </w:tblPr>
      <w:tblGrid>
        <w:gridCol w:w="5495"/>
        <w:gridCol w:w="1377"/>
        <w:gridCol w:w="1920"/>
      </w:tblGrid>
      <w:tr w:rsidR="00515728" w:rsidRPr="00033E65" w14:paraId="714A83F0" w14:textId="77777777" w:rsidTr="00AD7A58">
        <w:trPr>
          <w:trHeight w:val="1164"/>
          <w:tblHeader/>
        </w:trPr>
        <w:tc>
          <w:tcPr>
            <w:tcW w:w="0" w:type="auto"/>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93667FE" w14:textId="77777777" w:rsidR="00515728" w:rsidRPr="00033E65" w:rsidRDefault="00515728" w:rsidP="00515728">
            <w:pPr>
              <w:spacing w:before="0" w:after="0"/>
              <w:jc w:val="center"/>
              <w:rPr>
                <w:b/>
                <w:bCs/>
                <w:color w:val="EEECE1"/>
                <w:szCs w:val="22"/>
                <w:lang w:eastAsia="es-CR"/>
              </w:rPr>
            </w:pPr>
            <w:r w:rsidRPr="00033E65">
              <w:rPr>
                <w:b/>
                <w:bCs/>
                <w:color w:val="EEECE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074032A6" w14:textId="77777777" w:rsidR="00515728" w:rsidRPr="00033E65" w:rsidRDefault="00515728" w:rsidP="00515728">
            <w:pPr>
              <w:spacing w:before="0" w:after="0"/>
              <w:jc w:val="center"/>
              <w:rPr>
                <w:b/>
                <w:bCs/>
                <w:color w:val="EEECE1"/>
                <w:szCs w:val="22"/>
                <w:lang w:eastAsia="es-CR"/>
              </w:rPr>
            </w:pPr>
            <w:r w:rsidRPr="00033E65">
              <w:rPr>
                <w:b/>
                <w:bCs/>
                <w:color w:val="EEECE1"/>
                <w:szCs w:val="22"/>
                <w:lang w:eastAsia="es-CR"/>
              </w:rPr>
              <w:t>Fechas de abordaje inicial</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44E3C6B2" w14:textId="77777777" w:rsidR="00515728" w:rsidRPr="00033E65" w:rsidRDefault="00515728" w:rsidP="00515728">
            <w:pPr>
              <w:spacing w:before="0" w:after="0"/>
              <w:jc w:val="center"/>
              <w:rPr>
                <w:b/>
                <w:bCs/>
                <w:color w:val="EEECE1"/>
                <w:szCs w:val="22"/>
                <w:lang w:eastAsia="es-CR"/>
              </w:rPr>
            </w:pPr>
            <w:r w:rsidRPr="00033E65">
              <w:rPr>
                <w:b/>
                <w:bCs/>
                <w:color w:val="EEECE1"/>
                <w:szCs w:val="22"/>
                <w:lang w:eastAsia="es-CR"/>
              </w:rPr>
              <w:t>Fecha de Presentación de Resultados</w:t>
            </w:r>
          </w:p>
        </w:tc>
      </w:tr>
      <w:tr w:rsidR="00515728" w:rsidRPr="00033E65" w14:paraId="510AA12D"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2B46FE5" w14:textId="77777777" w:rsidR="00515728" w:rsidRPr="00033E65" w:rsidRDefault="00515728" w:rsidP="00515728">
            <w:pPr>
              <w:spacing w:before="0" w:after="0"/>
              <w:rPr>
                <w:color w:val="000000"/>
                <w:szCs w:val="22"/>
                <w:lang w:eastAsia="es-CR"/>
              </w:rPr>
            </w:pPr>
            <w:r w:rsidRPr="00033E65">
              <w:rPr>
                <w:color w:val="000000"/>
                <w:szCs w:val="22"/>
                <w:lang w:eastAsia="es-CR"/>
              </w:rPr>
              <w:t>1.</w:t>
            </w:r>
            <w:r w:rsidRPr="00033E65">
              <w:rPr>
                <w:rFonts w:ascii="Times New Roman" w:hAnsi="Times New Roman"/>
                <w:color w:val="000000"/>
                <w:sz w:val="14"/>
                <w:szCs w:val="14"/>
                <w:lang w:eastAsia="es-CR"/>
              </w:rPr>
              <w:t xml:space="preserve">      </w:t>
            </w:r>
            <w:r w:rsidRPr="00033E65">
              <w:rPr>
                <w:color w:val="000000"/>
                <w:szCs w:val="22"/>
                <w:lang w:eastAsia="es-CR"/>
              </w:rPr>
              <w:t>Juzgado Agrario de Liberia</w:t>
            </w:r>
          </w:p>
        </w:tc>
        <w:tc>
          <w:tcPr>
            <w:tcW w:w="0" w:type="auto"/>
            <w:tcBorders>
              <w:top w:val="nil"/>
              <w:left w:val="nil"/>
              <w:bottom w:val="double" w:sz="6" w:space="0" w:color="1F497D"/>
              <w:right w:val="double" w:sz="6" w:space="0" w:color="1F497D"/>
            </w:tcBorders>
            <w:shd w:val="clear" w:color="auto" w:fill="auto"/>
            <w:vAlign w:val="center"/>
            <w:hideMark/>
          </w:tcPr>
          <w:p w14:paraId="6F3578A2"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02 de febrero del 2019</w:t>
            </w:r>
          </w:p>
        </w:tc>
        <w:tc>
          <w:tcPr>
            <w:tcW w:w="0" w:type="auto"/>
            <w:tcBorders>
              <w:top w:val="nil"/>
              <w:left w:val="nil"/>
              <w:bottom w:val="double" w:sz="6" w:space="0" w:color="1F497D"/>
              <w:right w:val="double" w:sz="6" w:space="0" w:color="1F497D"/>
            </w:tcBorders>
            <w:shd w:val="clear" w:color="auto" w:fill="auto"/>
            <w:vAlign w:val="center"/>
            <w:hideMark/>
          </w:tcPr>
          <w:p w14:paraId="7161D3E3"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14 de marzo del 2020</w:t>
            </w:r>
          </w:p>
        </w:tc>
      </w:tr>
      <w:tr w:rsidR="00515728" w:rsidRPr="00033E65" w14:paraId="4B52CAEC"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FD622FA" w14:textId="77777777" w:rsidR="00515728" w:rsidRPr="00033E65" w:rsidRDefault="00515728" w:rsidP="00515728">
            <w:pPr>
              <w:spacing w:before="0" w:after="0"/>
              <w:rPr>
                <w:color w:val="000000"/>
                <w:szCs w:val="22"/>
                <w:lang w:eastAsia="es-CR"/>
              </w:rPr>
            </w:pPr>
            <w:r w:rsidRPr="00033E65">
              <w:rPr>
                <w:color w:val="000000"/>
                <w:szCs w:val="22"/>
                <w:lang w:eastAsia="es-CR"/>
              </w:rPr>
              <w:t>2.</w:t>
            </w:r>
            <w:r w:rsidRPr="00033E65">
              <w:rPr>
                <w:rFonts w:ascii="Times New Roman" w:hAnsi="Times New Roman"/>
                <w:color w:val="000000"/>
                <w:sz w:val="14"/>
                <w:szCs w:val="14"/>
                <w:lang w:eastAsia="es-CR"/>
              </w:rPr>
              <w:t xml:space="preserve">      </w:t>
            </w:r>
            <w:r w:rsidRPr="00033E65">
              <w:rPr>
                <w:color w:val="000000"/>
                <w:szCs w:val="22"/>
                <w:lang w:eastAsia="es-CR"/>
              </w:rPr>
              <w:t>Juzgado Agrario de Santa Cruz</w:t>
            </w:r>
          </w:p>
        </w:tc>
        <w:tc>
          <w:tcPr>
            <w:tcW w:w="0" w:type="auto"/>
            <w:tcBorders>
              <w:top w:val="nil"/>
              <w:left w:val="nil"/>
              <w:bottom w:val="double" w:sz="6" w:space="0" w:color="1F497D"/>
              <w:right w:val="double" w:sz="6" w:space="0" w:color="1F497D"/>
            </w:tcBorders>
            <w:shd w:val="clear" w:color="auto" w:fill="auto"/>
            <w:vAlign w:val="center"/>
            <w:hideMark/>
          </w:tcPr>
          <w:p w14:paraId="75088C4F"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18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63FBBB71"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09 de mayo de 2019</w:t>
            </w:r>
          </w:p>
        </w:tc>
      </w:tr>
      <w:tr w:rsidR="00515728" w:rsidRPr="00033E65" w14:paraId="48EEDB90"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23F96A7" w14:textId="77777777" w:rsidR="00515728" w:rsidRPr="00033E65" w:rsidRDefault="00515728" w:rsidP="00515728">
            <w:pPr>
              <w:spacing w:before="0" w:after="0"/>
              <w:rPr>
                <w:color w:val="000000"/>
                <w:szCs w:val="22"/>
                <w:lang w:eastAsia="es-CR"/>
              </w:rPr>
            </w:pPr>
            <w:r w:rsidRPr="00033E65">
              <w:rPr>
                <w:color w:val="000000"/>
                <w:szCs w:val="22"/>
                <w:lang w:eastAsia="es-CR"/>
              </w:rPr>
              <w:t>3.</w:t>
            </w:r>
            <w:r w:rsidRPr="00033E65">
              <w:rPr>
                <w:rFonts w:ascii="Times New Roman" w:hAnsi="Times New Roman"/>
                <w:color w:val="000000"/>
                <w:sz w:val="14"/>
                <w:szCs w:val="14"/>
                <w:lang w:eastAsia="es-CR"/>
              </w:rPr>
              <w:t xml:space="preserve">      </w:t>
            </w:r>
            <w:r w:rsidRPr="00033E65">
              <w:rPr>
                <w:color w:val="000000"/>
                <w:szCs w:val="22"/>
                <w:lang w:eastAsia="es-CR"/>
              </w:rPr>
              <w:t>Juzgado Agrario de Puntarenas</w:t>
            </w:r>
          </w:p>
        </w:tc>
        <w:tc>
          <w:tcPr>
            <w:tcW w:w="0" w:type="auto"/>
            <w:tcBorders>
              <w:top w:val="nil"/>
              <w:left w:val="nil"/>
              <w:bottom w:val="double" w:sz="6" w:space="0" w:color="1F497D"/>
              <w:right w:val="double" w:sz="6" w:space="0" w:color="1F497D"/>
            </w:tcBorders>
            <w:shd w:val="clear" w:color="auto" w:fill="auto"/>
            <w:vAlign w:val="center"/>
            <w:hideMark/>
          </w:tcPr>
          <w:p w14:paraId="1C83531F"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06 de mayo de 2019</w:t>
            </w:r>
          </w:p>
        </w:tc>
        <w:tc>
          <w:tcPr>
            <w:tcW w:w="0" w:type="auto"/>
            <w:tcBorders>
              <w:top w:val="nil"/>
              <w:left w:val="nil"/>
              <w:bottom w:val="double" w:sz="6" w:space="0" w:color="1F497D"/>
              <w:right w:val="double" w:sz="6" w:space="0" w:color="1F497D"/>
            </w:tcBorders>
            <w:shd w:val="clear" w:color="auto" w:fill="auto"/>
            <w:vAlign w:val="center"/>
            <w:hideMark/>
          </w:tcPr>
          <w:p w14:paraId="7518868E"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20 de junio de 2019</w:t>
            </w:r>
          </w:p>
        </w:tc>
      </w:tr>
      <w:tr w:rsidR="00515728" w:rsidRPr="00033E65" w14:paraId="51F51BAA"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E6A0566" w14:textId="77777777" w:rsidR="00515728" w:rsidRPr="00033E65" w:rsidRDefault="00515728" w:rsidP="00515728">
            <w:pPr>
              <w:spacing w:before="0" w:after="0"/>
              <w:rPr>
                <w:color w:val="000000"/>
                <w:szCs w:val="22"/>
                <w:lang w:eastAsia="es-CR"/>
              </w:rPr>
            </w:pPr>
            <w:r w:rsidRPr="00033E65">
              <w:rPr>
                <w:color w:val="000000"/>
                <w:szCs w:val="22"/>
                <w:lang w:eastAsia="es-CR"/>
              </w:rPr>
              <w:t>4.</w:t>
            </w:r>
            <w:r w:rsidRPr="00033E65">
              <w:rPr>
                <w:rFonts w:ascii="Times New Roman" w:hAnsi="Times New Roman"/>
                <w:color w:val="000000"/>
                <w:sz w:val="14"/>
                <w:szCs w:val="14"/>
                <w:lang w:eastAsia="es-CR"/>
              </w:rPr>
              <w:t xml:space="preserve">      </w:t>
            </w:r>
            <w:r w:rsidRPr="00033E65">
              <w:rPr>
                <w:color w:val="000000"/>
                <w:szCs w:val="22"/>
                <w:lang w:eastAsia="es-CR"/>
              </w:rPr>
              <w:t>Juzgado Agrario de San Ramón</w:t>
            </w:r>
          </w:p>
        </w:tc>
        <w:tc>
          <w:tcPr>
            <w:tcW w:w="0" w:type="auto"/>
            <w:tcBorders>
              <w:top w:val="nil"/>
              <w:left w:val="nil"/>
              <w:bottom w:val="double" w:sz="6" w:space="0" w:color="1F497D"/>
              <w:right w:val="double" w:sz="6" w:space="0" w:color="1F497D"/>
            </w:tcBorders>
            <w:shd w:val="clear" w:color="auto" w:fill="auto"/>
            <w:vAlign w:val="center"/>
            <w:hideMark/>
          </w:tcPr>
          <w:p w14:paraId="145DC49E"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4 de febrero de 2019</w:t>
            </w:r>
          </w:p>
        </w:tc>
        <w:tc>
          <w:tcPr>
            <w:tcW w:w="0" w:type="auto"/>
            <w:tcBorders>
              <w:top w:val="nil"/>
              <w:left w:val="nil"/>
              <w:bottom w:val="double" w:sz="6" w:space="0" w:color="1F497D"/>
              <w:right w:val="double" w:sz="6" w:space="0" w:color="1F497D"/>
            </w:tcBorders>
            <w:shd w:val="clear" w:color="auto" w:fill="auto"/>
            <w:vAlign w:val="center"/>
            <w:hideMark/>
          </w:tcPr>
          <w:p w14:paraId="6C4C9B77"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25 de marzo de 2019</w:t>
            </w:r>
          </w:p>
        </w:tc>
      </w:tr>
      <w:tr w:rsidR="00515728" w:rsidRPr="00033E65" w14:paraId="5795E88D"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3333747" w14:textId="77777777" w:rsidR="00515728" w:rsidRPr="00033E65" w:rsidRDefault="00515728" w:rsidP="00515728">
            <w:pPr>
              <w:spacing w:before="0" w:after="0"/>
              <w:rPr>
                <w:color w:val="000000"/>
                <w:szCs w:val="22"/>
                <w:lang w:eastAsia="es-CR"/>
              </w:rPr>
            </w:pPr>
            <w:r w:rsidRPr="00033E65">
              <w:rPr>
                <w:color w:val="000000"/>
                <w:szCs w:val="22"/>
                <w:lang w:eastAsia="es-CR"/>
              </w:rPr>
              <w:t>5.</w:t>
            </w:r>
            <w:r w:rsidRPr="00033E65">
              <w:rPr>
                <w:rFonts w:ascii="Times New Roman" w:hAnsi="Times New Roman"/>
                <w:color w:val="000000"/>
                <w:sz w:val="14"/>
                <w:szCs w:val="14"/>
                <w:lang w:eastAsia="es-CR"/>
              </w:rPr>
              <w:t xml:space="preserve">      </w:t>
            </w:r>
            <w:r w:rsidRPr="00033E65">
              <w:rPr>
                <w:color w:val="000000"/>
                <w:szCs w:val="22"/>
                <w:lang w:eastAsia="es-CR"/>
              </w:rPr>
              <w:t>Juzgado Agrario de San Carlos</w:t>
            </w:r>
          </w:p>
        </w:tc>
        <w:tc>
          <w:tcPr>
            <w:tcW w:w="0" w:type="auto"/>
            <w:tcBorders>
              <w:top w:val="nil"/>
              <w:left w:val="nil"/>
              <w:bottom w:val="double" w:sz="6" w:space="0" w:color="1F497D"/>
              <w:right w:val="double" w:sz="6" w:space="0" w:color="1F497D"/>
            </w:tcBorders>
            <w:shd w:val="clear" w:color="auto" w:fill="auto"/>
            <w:vAlign w:val="center"/>
            <w:hideMark/>
          </w:tcPr>
          <w:p w14:paraId="1EDC7590"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24 de junio de 2019</w:t>
            </w:r>
          </w:p>
        </w:tc>
        <w:tc>
          <w:tcPr>
            <w:tcW w:w="0" w:type="auto"/>
            <w:tcBorders>
              <w:top w:val="nil"/>
              <w:left w:val="nil"/>
              <w:bottom w:val="double" w:sz="6" w:space="0" w:color="1F497D"/>
              <w:right w:val="double" w:sz="6" w:space="0" w:color="1F497D"/>
            </w:tcBorders>
            <w:shd w:val="clear" w:color="auto" w:fill="auto"/>
            <w:vAlign w:val="center"/>
            <w:hideMark/>
          </w:tcPr>
          <w:p w14:paraId="0A96D5D4"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01 de agosto de 2019</w:t>
            </w:r>
          </w:p>
        </w:tc>
      </w:tr>
      <w:tr w:rsidR="00515728" w:rsidRPr="00033E65" w14:paraId="5F35A9BB"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D074E74" w14:textId="77777777" w:rsidR="00515728" w:rsidRPr="00033E65" w:rsidRDefault="00515728" w:rsidP="00515728">
            <w:pPr>
              <w:spacing w:before="0" w:after="0"/>
              <w:rPr>
                <w:color w:val="000000"/>
                <w:szCs w:val="22"/>
                <w:lang w:eastAsia="es-CR"/>
              </w:rPr>
            </w:pPr>
            <w:r w:rsidRPr="00033E65">
              <w:rPr>
                <w:color w:val="000000"/>
                <w:szCs w:val="22"/>
                <w:lang w:eastAsia="es-CR"/>
              </w:rPr>
              <w:t>6.</w:t>
            </w:r>
            <w:r w:rsidRPr="00033E65">
              <w:rPr>
                <w:rFonts w:ascii="Times New Roman" w:hAnsi="Times New Roman"/>
                <w:color w:val="000000"/>
                <w:sz w:val="14"/>
                <w:szCs w:val="14"/>
                <w:lang w:eastAsia="es-CR"/>
              </w:rPr>
              <w:t xml:space="preserve">      </w:t>
            </w:r>
            <w:r w:rsidRPr="00033E65">
              <w:rPr>
                <w:color w:val="000000"/>
                <w:szCs w:val="22"/>
                <w:lang w:eastAsia="es-CR"/>
              </w:rPr>
              <w:t>Juzgado Agrario de Limón</w:t>
            </w:r>
          </w:p>
        </w:tc>
        <w:tc>
          <w:tcPr>
            <w:tcW w:w="0" w:type="auto"/>
            <w:tcBorders>
              <w:top w:val="nil"/>
              <w:left w:val="nil"/>
              <w:bottom w:val="double" w:sz="6" w:space="0" w:color="1F497D"/>
              <w:right w:val="double" w:sz="6" w:space="0" w:color="1F497D"/>
            </w:tcBorders>
            <w:shd w:val="clear" w:color="auto" w:fill="auto"/>
            <w:vAlign w:val="center"/>
            <w:hideMark/>
          </w:tcPr>
          <w:p w14:paraId="0C597AD5"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14 de mayo de 2019</w:t>
            </w:r>
          </w:p>
        </w:tc>
        <w:tc>
          <w:tcPr>
            <w:tcW w:w="0" w:type="auto"/>
            <w:tcBorders>
              <w:top w:val="nil"/>
              <w:left w:val="nil"/>
              <w:bottom w:val="double" w:sz="6" w:space="0" w:color="1F497D"/>
              <w:right w:val="double" w:sz="6" w:space="0" w:color="1F497D"/>
            </w:tcBorders>
            <w:shd w:val="clear" w:color="auto" w:fill="auto"/>
            <w:vAlign w:val="center"/>
            <w:hideMark/>
          </w:tcPr>
          <w:p w14:paraId="5FC9E3D1"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08 de agosto de 2019</w:t>
            </w:r>
          </w:p>
        </w:tc>
      </w:tr>
      <w:tr w:rsidR="00515728" w:rsidRPr="00033E65" w14:paraId="72894A07"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8BD5ED9" w14:textId="77777777" w:rsidR="00515728" w:rsidRPr="00033E65" w:rsidRDefault="00515728" w:rsidP="00515728">
            <w:pPr>
              <w:spacing w:before="0" w:after="0"/>
              <w:rPr>
                <w:color w:val="000000"/>
                <w:szCs w:val="22"/>
                <w:lang w:eastAsia="es-CR"/>
              </w:rPr>
            </w:pPr>
            <w:r w:rsidRPr="00033E65">
              <w:rPr>
                <w:color w:val="000000"/>
                <w:szCs w:val="22"/>
                <w:lang w:eastAsia="es-CR"/>
              </w:rPr>
              <w:t>7.</w:t>
            </w:r>
            <w:r w:rsidRPr="00033E65">
              <w:rPr>
                <w:rFonts w:ascii="Times New Roman" w:hAnsi="Times New Roman"/>
                <w:color w:val="000000"/>
                <w:sz w:val="14"/>
                <w:szCs w:val="14"/>
                <w:lang w:eastAsia="es-CR"/>
              </w:rPr>
              <w:t xml:space="preserve">      </w:t>
            </w:r>
            <w:r w:rsidRPr="00033E65">
              <w:rPr>
                <w:color w:val="000000"/>
                <w:szCs w:val="22"/>
                <w:lang w:eastAsia="es-CR"/>
              </w:rPr>
              <w:t>Juzgado Agrario de Pococí.</w:t>
            </w:r>
          </w:p>
        </w:tc>
        <w:tc>
          <w:tcPr>
            <w:tcW w:w="0" w:type="auto"/>
            <w:tcBorders>
              <w:top w:val="nil"/>
              <w:left w:val="nil"/>
              <w:bottom w:val="double" w:sz="6" w:space="0" w:color="1F497D"/>
              <w:right w:val="double" w:sz="6" w:space="0" w:color="1F497D"/>
            </w:tcBorders>
            <w:shd w:val="clear" w:color="auto" w:fill="auto"/>
            <w:vAlign w:val="center"/>
            <w:hideMark/>
          </w:tcPr>
          <w:p w14:paraId="03EC849A"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06 de mayo de 2019</w:t>
            </w:r>
          </w:p>
        </w:tc>
        <w:tc>
          <w:tcPr>
            <w:tcW w:w="0" w:type="auto"/>
            <w:tcBorders>
              <w:top w:val="nil"/>
              <w:left w:val="nil"/>
              <w:bottom w:val="double" w:sz="6" w:space="0" w:color="1F497D"/>
              <w:right w:val="double" w:sz="6" w:space="0" w:color="1F497D"/>
            </w:tcBorders>
            <w:shd w:val="clear" w:color="auto" w:fill="auto"/>
            <w:vAlign w:val="center"/>
            <w:hideMark/>
          </w:tcPr>
          <w:p w14:paraId="23A7AC4A"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13 de junio de 2019</w:t>
            </w:r>
          </w:p>
        </w:tc>
      </w:tr>
      <w:tr w:rsidR="00515728" w:rsidRPr="00033E65" w14:paraId="2A4566C8"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7E9E2C2" w14:textId="77777777" w:rsidR="00515728" w:rsidRPr="00033E65" w:rsidRDefault="00515728" w:rsidP="00515728">
            <w:pPr>
              <w:spacing w:before="0" w:after="0"/>
              <w:rPr>
                <w:color w:val="000000"/>
                <w:szCs w:val="22"/>
                <w:lang w:eastAsia="es-CR"/>
              </w:rPr>
            </w:pPr>
            <w:r w:rsidRPr="00033E65">
              <w:rPr>
                <w:color w:val="000000"/>
                <w:szCs w:val="22"/>
                <w:lang w:eastAsia="es-CR"/>
              </w:rPr>
              <w:t>8.</w:t>
            </w:r>
            <w:r w:rsidRPr="00033E65">
              <w:rPr>
                <w:rFonts w:ascii="Times New Roman" w:hAnsi="Times New Roman"/>
                <w:color w:val="000000"/>
                <w:sz w:val="14"/>
                <w:szCs w:val="14"/>
                <w:lang w:eastAsia="es-CR"/>
              </w:rPr>
              <w:t xml:space="preserve">      </w:t>
            </w:r>
            <w:r w:rsidRPr="00033E65">
              <w:rPr>
                <w:color w:val="000000"/>
                <w:szCs w:val="22"/>
                <w:lang w:eastAsia="es-CR"/>
              </w:rPr>
              <w:t>Juzgado Agrario de Cartago</w:t>
            </w:r>
          </w:p>
        </w:tc>
        <w:tc>
          <w:tcPr>
            <w:tcW w:w="0" w:type="auto"/>
            <w:tcBorders>
              <w:top w:val="nil"/>
              <w:left w:val="nil"/>
              <w:bottom w:val="double" w:sz="6" w:space="0" w:color="1F497D"/>
              <w:right w:val="double" w:sz="6" w:space="0" w:color="1F497D"/>
            </w:tcBorders>
            <w:shd w:val="clear" w:color="auto" w:fill="auto"/>
            <w:vAlign w:val="center"/>
            <w:hideMark/>
          </w:tcPr>
          <w:p w14:paraId="02ACFBD4"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1 de julio de 2019</w:t>
            </w:r>
          </w:p>
        </w:tc>
        <w:tc>
          <w:tcPr>
            <w:tcW w:w="0" w:type="auto"/>
            <w:tcBorders>
              <w:top w:val="nil"/>
              <w:left w:val="nil"/>
              <w:bottom w:val="double" w:sz="6" w:space="0" w:color="1F497D"/>
              <w:right w:val="double" w:sz="6" w:space="0" w:color="1F497D"/>
            </w:tcBorders>
            <w:shd w:val="clear" w:color="auto" w:fill="auto"/>
            <w:vAlign w:val="center"/>
            <w:hideMark/>
          </w:tcPr>
          <w:p w14:paraId="4145B534"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28 de abril 2020</w:t>
            </w:r>
          </w:p>
        </w:tc>
      </w:tr>
      <w:tr w:rsidR="00515728" w:rsidRPr="00033E65" w14:paraId="7D1A8EC7"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384DDCC" w14:textId="77777777" w:rsidR="00515728" w:rsidRPr="00033E65" w:rsidRDefault="00515728" w:rsidP="00515728">
            <w:pPr>
              <w:spacing w:before="0" w:after="0"/>
              <w:rPr>
                <w:color w:val="000000"/>
                <w:szCs w:val="22"/>
                <w:lang w:eastAsia="es-CR"/>
              </w:rPr>
            </w:pPr>
            <w:r w:rsidRPr="00033E65">
              <w:rPr>
                <w:color w:val="000000"/>
                <w:szCs w:val="22"/>
                <w:lang w:eastAsia="es-CR"/>
              </w:rPr>
              <w:t>9.</w:t>
            </w:r>
            <w:r w:rsidRPr="00033E65">
              <w:rPr>
                <w:rFonts w:ascii="Times New Roman" w:hAnsi="Times New Roman"/>
                <w:color w:val="000000"/>
                <w:sz w:val="14"/>
                <w:szCs w:val="14"/>
                <w:lang w:eastAsia="es-CR"/>
              </w:rPr>
              <w:t xml:space="preserve">      </w:t>
            </w:r>
            <w:r w:rsidRPr="00033E65">
              <w:rPr>
                <w:color w:val="000000"/>
                <w:szCs w:val="22"/>
                <w:lang w:eastAsia="es-CR"/>
              </w:rPr>
              <w:t>Juzgado Agrario de Alajuela</w:t>
            </w:r>
          </w:p>
        </w:tc>
        <w:tc>
          <w:tcPr>
            <w:tcW w:w="0" w:type="auto"/>
            <w:tcBorders>
              <w:top w:val="nil"/>
              <w:left w:val="nil"/>
              <w:bottom w:val="double" w:sz="6" w:space="0" w:color="1F497D"/>
              <w:right w:val="double" w:sz="6" w:space="0" w:color="1F497D"/>
            </w:tcBorders>
            <w:shd w:val="clear" w:color="auto" w:fill="auto"/>
            <w:vAlign w:val="center"/>
            <w:hideMark/>
          </w:tcPr>
          <w:p w14:paraId="5B3DBE77"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4 de febrero de 2019</w:t>
            </w:r>
          </w:p>
        </w:tc>
        <w:tc>
          <w:tcPr>
            <w:tcW w:w="0" w:type="auto"/>
            <w:tcBorders>
              <w:top w:val="nil"/>
              <w:left w:val="nil"/>
              <w:bottom w:val="double" w:sz="6" w:space="0" w:color="1F497D"/>
              <w:right w:val="double" w:sz="6" w:space="0" w:color="1F497D"/>
            </w:tcBorders>
            <w:shd w:val="clear" w:color="auto" w:fill="auto"/>
            <w:vAlign w:val="center"/>
            <w:hideMark/>
          </w:tcPr>
          <w:p w14:paraId="6AC0AF86"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22 de marzo de 2019</w:t>
            </w:r>
          </w:p>
        </w:tc>
      </w:tr>
      <w:tr w:rsidR="00515728" w:rsidRPr="00033E65" w14:paraId="5BB2C15A"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EE46618" w14:textId="77777777" w:rsidR="00515728" w:rsidRPr="00033E65" w:rsidRDefault="00515728" w:rsidP="00515728">
            <w:pPr>
              <w:spacing w:before="0" w:after="0"/>
              <w:rPr>
                <w:color w:val="000000"/>
                <w:szCs w:val="22"/>
                <w:lang w:eastAsia="es-CR"/>
              </w:rPr>
            </w:pPr>
            <w:r w:rsidRPr="00033E65">
              <w:rPr>
                <w:color w:val="000000"/>
                <w:szCs w:val="22"/>
                <w:lang w:eastAsia="es-CR"/>
              </w:rPr>
              <w:t>10.</w:t>
            </w:r>
            <w:r w:rsidRPr="00033E65">
              <w:rPr>
                <w:rFonts w:ascii="Times New Roman" w:hAnsi="Times New Roman"/>
                <w:color w:val="000000"/>
                <w:sz w:val="14"/>
                <w:szCs w:val="14"/>
                <w:lang w:eastAsia="es-CR"/>
              </w:rPr>
              <w:t xml:space="preserve">   </w:t>
            </w:r>
            <w:r w:rsidRPr="00033E65">
              <w:rPr>
                <w:color w:val="000000"/>
                <w:szCs w:val="22"/>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1B2DA606"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20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4146FF09"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12 de junio de 2019</w:t>
            </w:r>
          </w:p>
        </w:tc>
      </w:tr>
      <w:tr w:rsidR="00515728" w:rsidRPr="00033E65" w14:paraId="36F15659"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3B085AA" w14:textId="77777777" w:rsidR="00515728" w:rsidRPr="00033E65" w:rsidRDefault="00515728" w:rsidP="00515728">
            <w:pPr>
              <w:spacing w:before="0" w:after="0"/>
              <w:rPr>
                <w:color w:val="000000"/>
                <w:szCs w:val="22"/>
                <w:lang w:eastAsia="es-CR"/>
              </w:rPr>
            </w:pPr>
            <w:r w:rsidRPr="00033E65">
              <w:rPr>
                <w:color w:val="000000"/>
                <w:szCs w:val="22"/>
                <w:lang w:eastAsia="es-CR"/>
              </w:rPr>
              <w:t>11.</w:t>
            </w:r>
            <w:r w:rsidRPr="00033E65">
              <w:rPr>
                <w:rFonts w:ascii="Times New Roman" w:hAnsi="Times New Roman"/>
                <w:color w:val="000000"/>
                <w:sz w:val="14"/>
                <w:szCs w:val="14"/>
                <w:lang w:eastAsia="es-CR"/>
              </w:rPr>
              <w:t xml:space="preserve">   </w:t>
            </w:r>
            <w:r w:rsidRPr="00033E65">
              <w:rPr>
                <w:color w:val="000000"/>
                <w:szCs w:val="22"/>
                <w:lang w:eastAsia="es-CR"/>
              </w:rPr>
              <w:t>Juzgado Agrario de Pérez Zeledón</w:t>
            </w:r>
          </w:p>
        </w:tc>
        <w:tc>
          <w:tcPr>
            <w:tcW w:w="0" w:type="auto"/>
            <w:tcBorders>
              <w:top w:val="nil"/>
              <w:left w:val="nil"/>
              <w:bottom w:val="double" w:sz="6" w:space="0" w:color="1F497D"/>
              <w:right w:val="double" w:sz="6" w:space="0" w:color="1F497D"/>
            </w:tcBorders>
            <w:shd w:val="clear" w:color="auto" w:fill="auto"/>
            <w:vAlign w:val="center"/>
            <w:hideMark/>
          </w:tcPr>
          <w:p w14:paraId="5604C125"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19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0F7281FC"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20 de junio de 2019</w:t>
            </w:r>
          </w:p>
        </w:tc>
      </w:tr>
      <w:tr w:rsidR="00515728" w:rsidRPr="00033E65" w14:paraId="75626608"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38A57D7" w14:textId="77777777" w:rsidR="00515728" w:rsidRPr="00033E65" w:rsidRDefault="00515728" w:rsidP="00515728">
            <w:pPr>
              <w:spacing w:before="0" w:after="0"/>
              <w:rPr>
                <w:color w:val="000000"/>
                <w:szCs w:val="22"/>
                <w:lang w:eastAsia="es-CR"/>
              </w:rPr>
            </w:pPr>
            <w:r w:rsidRPr="00033E65">
              <w:rPr>
                <w:color w:val="000000"/>
                <w:szCs w:val="22"/>
                <w:lang w:eastAsia="es-CR"/>
              </w:rPr>
              <w:t>12.</w:t>
            </w:r>
            <w:r w:rsidRPr="00033E65">
              <w:rPr>
                <w:rFonts w:ascii="Times New Roman" w:hAnsi="Times New Roman"/>
                <w:color w:val="000000"/>
                <w:sz w:val="14"/>
                <w:szCs w:val="14"/>
                <w:lang w:eastAsia="es-CR"/>
              </w:rPr>
              <w:t xml:space="preserve">   </w:t>
            </w:r>
            <w:r w:rsidRPr="00033E65">
              <w:rPr>
                <w:color w:val="000000"/>
                <w:szCs w:val="22"/>
                <w:lang w:eastAsia="es-CR"/>
              </w:rPr>
              <w:t>Juzgado Agrario de Corredores</w:t>
            </w:r>
          </w:p>
        </w:tc>
        <w:tc>
          <w:tcPr>
            <w:tcW w:w="0" w:type="auto"/>
            <w:tcBorders>
              <w:top w:val="nil"/>
              <w:left w:val="nil"/>
              <w:bottom w:val="double" w:sz="6" w:space="0" w:color="1F497D"/>
              <w:right w:val="double" w:sz="6" w:space="0" w:color="1F497D"/>
            </w:tcBorders>
            <w:shd w:val="clear" w:color="auto" w:fill="auto"/>
            <w:vAlign w:val="center"/>
            <w:hideMark/>
          </w:tcPr>
          <w:p w14:paraId="4D58C632"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24 de junio de 2019</w:t>
            </w:r>
          </w:p>
        </w:tc>
        <w:tc>
          <w:tcPr>
            <w:tcW w:w="0" w:type="auto"/>
            <w:tcBorders>
              <w:top w:val="nil"/>
              <w:left w:val="nil"/>
              <w:bottom w:val="double" w:sz="6" w:space="0" w:color="1F497D"/>
              <w:right w:val="double" w:sz="6" w:space="0" w:color="1F497D"/>
            </w:tcBorders>
            <w:shd w:val="clear" w:color="auto" w:fill="auto"/>
            <w:vAlign w:val="center"/>
            <w:hideMark/>
          </w:tcPr>
          <w:p w14:paraId="61B84600" w14:textId="77777777" w:rsidR="00515728" w:rsidRPr="00033E65" w:rsidRDefault="00515728" w:rsidP="00515728">
            <w:pPr>
              <w:spacing w:before="0" w:after="0"/>
              <w:jc w:val="left"/>
              <w:rPr>
                <w:color w:val="000000"/>
                <w:szCs w:val="22"/>
                <w:lang w:eastAsia="es-CR"/>
              </w:rPr>
            </w:pPr>
            <w:r w:rsidRPr="00033E65">
              <w:rPr>
                <w:color w:val="000000"/>
                <w:szCs w:val="22"/>
                <w:lang w:eastAsia="es-CR"/>
              </w:rPr>
              <w:t>01 de agosto de 2019</w:t>
            </w:r>
          </w:p>
        </w:tc>
      </w:tr>
    </w:tbl>
    <w:p w14:paraId="7FB84885" w14:textId="137E2F33" w:rsidR="00515728" w:rsidRPr="00033E65" w:rsidRDefault="00515728" w:rsidP="00515728">
      <w:pPr>
        <w:rPr>
          <w:b/>
          <w:i/>
          <w:sz w:val="18"/>
        </w:rPr>
      </w:pPr>
      <w:r w:rsidRPr="00033E65">
        <w:rPr>
          <w:b/>
          <w:i/>
          <w:sz w:val="18"/>
        </w:rPr>
        <w:t>Fuente: Subproceso de Modernización Institucional</w:t>
      </w:r>
      <w:r w:rsidR="00491444" w:rsidRPr="00033E65">
        <w:rPr>
          <w:b/>
          <w:i/>
          <w:sz w:val="18"/>
        </w:rPr>
        <w:t>, área No Penal.</w:t>
      </w:r>
      <w:r w:rsidR="00817487">
        <w:rPr>
          <w:b/>
          <w:i/>
          <w:sz w:val="18"/>
        </w:rPr>
        <w:t xml:space="preserve"> Durante el año 2020 y 2021 las oficinas fueron afectadas por la Pandemia COVID-19.</w:t>
      </w:r>
    </w:p>
    <w:p w14:paraId="49190B84" w14:textId="3E7375E6" w:rsidR="00515728" w:rsidRPr="00033E65" w:rsidRDefault="00515728" w:rsidP="00515728">
      <w:r w:rsidRPr="00033E65">
        <w:t xml:space="preserve">Por su parte, </w:t>
      </w:r>
      <w:r w:rsidR="00AD7A58" w:rsidRPr="00033E65">
        <w:t xml:space="preserve">mediante oficio 2048-PLA-MI-2020, del pasado 16 de diciembre, relacionado con el seguimiento realizado al Tribunal Agrario, Segundo Circuito Judicial de San José, el cual se puesto en conocimiento del Mag. Luis Guillermo Rivas Loáiciga, Coordinador de la Comisión de la Jurisdicción Agraria y del Doctor Enrique Ulate Chacón, Juez Coordinador del Tribunal Agrario, Segundo Circuito Judicial de San José.  Mediante copia de este oficio, también se le solicitó criterio a la Dirección de Tecnología de Información y al Centro de Apoyo, Coordinación y Mejoramiento de la Función Jurisdiccional. </w:t>
      </w:r>
    </w:p>
    <w:p w14:paraId="2CA6D808" w14:textId="012BF22F" w:rsidR="00012919" w:rsidRPr="00033E65" w:rsidRDefault="00012919" w:rsidP="00012919">
      <w:r w:rsidRPr="00033E65">
        <w:t xml:space="preserve">En sesión N°036-2021 celebrada el 04 de mayo de 2021, artículo XIII, se conoció el </w:t>
      </w:r>
      <w:r w:rsidR="0016257B" w:rsidRPr="00033E65">
        <w:t>informe 412-PLA-PLA-2021</w:t>
      </w:r>
      <w:r w:rsidR="00147647" w:rsidRPr="00033E65">
        <w:t>,</w:t>
      </w:r>
      <w:r w:rsidRPr="00033E65">
        <w:t xml:space="preserve"> relacionado con el seguimiento a los despachos de materia Agraria, con la finalidad de avanzar con las propuestas de mejora que se incorporaran de forma definitiva en los informes finales de Rediseño de procesos de esta jurisdicción y se acuerda: </w:t>
      </w:r>
    </w:p>
    <w:p w14:paraId="05A0E52B" w14:textId="77777777" w:rsidR="00012919" w:rsidRPr="00033E65" w:rsidRDefault="00012919" w:rsidP="00012919"/>
    <w:p w14:paraId="3A151262" w14:textId="3E9CDD09" w:rsidR="00012919" w:rsidRPr="00033E65" w:rsidRDefault="00012919" w:rsidP="00012919">
      <w:pPr>
        <w:rPr>
          <w:i/>
        </w:rPr>
      </w:pPr>
      <w:r w:rsidRPr="00033E65">
        <w:rPr>
          <w:i/>
        </w:rPr>
        <w:t>“Se acordó: 1) Tener por rendido el Informe N° 412-PLA-MI-2021 de la Dirección de Planificación, relacionado con “el seguimiento a los despachos de materia Agraria, con la finalidad de avanzar con las propuestas de mejora que se incorporaran de forma definitiva en los informes finales de Rediseño de procesos de esta jurisdicción con ocasión de la entrada en vigencia del Código Procesal Agrario.” 2) Aprobar las recomendaciones dadas en este informe, por consiguiente se debe: a) Aprobar cada uno de los informes de abordajes realizados a los despachos Agrarios a nivel nacional, los cuales contemplan planes de trabajo y recomendaciones específicas, con la finalidad de que los despachos inicien con la implementación de las mejoras descritas en los distintos informes y el cumplimiento de las cuotas o parámetros establecidos en las matrices de Indicadores de Gestión. b) Aprobar la estructura y modelo de trabajo propuestos en cada uno de los estudios, los cuales contemplan estructura, equipos de trabajo, funciones específicas, cuotas de trabajo, entre otros. c) Aprobar la totalidad de lo expuesto en el presente oficio, que muestra el detalle de las tareas efectuadas por la Dirección de Planificación, así como la modificación en las matrices de Indicadores de Gestión. d) La Comisión de la Jurisdicción Agraria debe: d.1) Definir y comunicar a la sección de Normalización de la Dirección de Tecnología de la Información, cuáles resoluciones o machotes deben llevar número a fin de que se implemente en los despachos de materia Agraria a nivel nacional la mejora de voto automático. d.2) Considerar validar, aprobar u otorgar el visto bueno para que la sección de Normalización de la Dirección de Tecnología de la Información, active en los distintos despachos Agrarios todos los machotes de trámite en los sistemas electrónicos, correspondientes a la materia Civil. e) La Dirección de Tecnología de la Información Regionales de los distintos Circuitos Judiciales deberán: e.1) Efectuar un monitoreo trimestral con el fin de verificar el uso de las mejoras informáticas por parte de los despachos judiciales y recapacitar a todo el personal de los despachos en el uso de estas cuando las necesidades así lo determinen. e.2) Aplicar y dar seguimiento de los asuntos de su competencia que se incorporan en los distintos apartados de los informes sobre los planes de trabajo, así como las mejoras solicitadas para cada uno de los Juzgados Agrarios. f) Tomar nota de lo indicado por la máster Ana Eugenia Romero Jenkins, Directora Ejecutiva, en el oficio número 1328- DE-2021 del 23 de abril de 2021, respecto a que ya se tomaron las acciones solicitadas para cubrir la necesidad de transporte al Juzgado Agrario de San Ramón. g) El Consejo de Administración de los distintos Circuitos Judiciales a nivel nacional deberá conocer los distintos resultados de los seguimientos y tomar las medidas de apoyo requeridas para darle sostenibilidad al proceso, según sus competencias. h) La Administración Regional de los distintos Circuitos Judiciales a nivel nacional concretamente: h.1) La Administración Regional del Tercer Circuito Judicial de Alajuela proporcionará la ayuda necesaria a los Juzgados con una persona supernumeraria que colabore con la revisión y depuración de los depósitos con saldos pendientes de girar en el SDJ, esto de acuerdo con la necesidad planteada en cada uno de los estudios realizados. h.2) La Administración Regional del Primer Circuito Judicial de Alajuela aumentará la disponibilidad de préstamo de vehículos oficiales a los distintos Juzgados Agrarios, con la finalidad de que el personal del despacho asista a todas las giras que realiza fuera de la oficina siempre en vehículo oficial, lo anterior en estricto apego y respeto al Plan de Acción de la Comisión de la Jurisdicción Agraria asociado a las recomendaciones de Auditoría Judicial emitida en el Oficio Nº 1284-213-AUO-2014, el cual indica que cada Jueza o Juez de materia Agraria debe señalar por semana no menos de dos audiencias fuera del despacho, tres dentro de él, y reservar un espacio para medidas cautelares. i) La Contraloría de Servicios de los distintos Circuitos Judiciales a nivel nacional realizará un acercamiento con la Comisión de Usuarios y las personas usuarias relacionadas con los distintos Juzgados Agrarios a nivel nacional, con el objetivo de determinar si requieren apoyo en cuanto a presentar y explicar las herramientas web que tiene la institución, las cuales facilitan la experiencia de obtener un servicio en la Institución. j) Los distintos Juzgados Agrarios a nivel nacional deberán: j.1) Cumplir con las cuotas de trabajo establecidas para todo el personal de acuerdo con las matrices de indicadores de gestión, (tanto para las personas juzgadoras, como para las personas técnicas judiciales). j.2) Dar cumplimiento y seguimiento a los distintos planes de descongestionamiento creados para cada uno de los Juzgados a nivel nacional, a fin de mejorar la gestión de los despachos. J.3) Los Equipos de Mejora deberán dar seguimiento a la implementación del Modelo de Sostenibilidad del Proyecto de Rediseño, para analizar y verificar el correcto desempeño del Juzgado, utilizando los Indicadores de Gestión establecidos. j.4) Dar cumplimiento a las circulares 87-15, 159-15, 27 y 28-16, 160-16, 89-18 y 133-18,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 k) El Centro de Apoyo, Coordinación y Mejoramiento de la Función Jurisdiccional y la Gestora en materia Agraria, deben brindar apoyo y seguimiento al desempeño de los despachos judiciales mediante la revisión periódica de los Indicadores de Gestión, seguimiento de los planes remediales y revisión de minutas de Equipo de Mejora, del mismo modo deben recomendar la actualización de los rangos definidos en los indicadores de gestión, indicando la justificación respectiva transcurrido al menos doce meses consecutivos. Dicho apoyo y seguimiento incorpora velar por el cumplimiento de las cuotas de trabajo descritas en este informe y las modificaciones posteriores que sean aprobadas por el Consejo Superior y Corte Plena. l) La Unidad de la Defensa Pública Agraria de los distintos Circuitos Judiciales a nivel nacional revisarán la idoneidad de la práctica de la Defensa Pública Agraria, sobre mantener los expedientes activos en espera de la promesa de cumplimiento de las partes para presentar los requisitos y que el Despacho los registra como inactivos; con el fin de que señale el procedimiento correcto en estos casos, esto de acuerdo a lo detectado en el Juzgado Agrario de Pérez Zeledón. 4) Tomar nota del oficio número 86-PICPA-2021 del 26 de abril de 2021, suscrito por la licenciada Rebeca Salazar Alcócer, Gestora Agraria y Coordinadora del Proyecto de Implementación Código Procesal Agrario, respecto al acuerdo tomado por la Comisión de la Jurisdicción Agraria en la sesión N° 04-2021 del 23 de abril del 2021, artículo XIII. 5 ) Comuníquese el presente acuerdo al Presidente de la Comisión de la Jurisdicción Agraria, al Centro de Apoyo, Coordinación y Mejoramiento de la Función Jurisdiccional, al Juzgado Agrario de Liberia, Juzgado Agrario de Santa Cruz, Juzgado Agrario de Puntarenas, Juzgado Agrario de San Ramón, Juzgado Agrario de San Carlos, Juzgado Agrario de Limón, Juzgado Agrario de Pococí, Juzgado Agrario de Cartago, Juzgado Agrario de Alajuela, Juzgado Agrario del II Circuito Judicial de San José, Juzgado Agrario de Pérez Zeledón, Juzgado Agrario de Corredores, Dirección de Tecnología de Información, Unidades Regionales de Tecnología de Información, Dirección Ejecutiva, Unidad de la Defensa Pública Agraria, Administraciones Regionales del país, Consejos de Administración a nivel nacional y Contralorías de Servicios.”</w:t>
      </w:r>
    </w:p>
    <w:p w14:paraId="62966CA9" w14:textId="77777777" w:rsidR="00145FEE" w:rsidRPr="00033E65" w:rsidRDefault="00145FEE" w:rsidP="00012919">
      <w:pPr>
        <w:rPr>
          <w:i/>
        </w:rPr>
      </w:pPr>
    </w:p>
    <w:p w14:paraId="0955F18F" w14:textId="77777777" w:rsidR="00145FEE" w:rsidRPr="00033E65" w:rsidRDefault="00145FEE" w:rsidP="00012919">
      <w:pPr>
        <w:rPr>
          <w:i/>
        </w:rPr>
      </w:pPr>
    </w:p>
    <w:p w14:paraId="62583A07" w14:textId="5DD0AACE" w:rsidR="009F26B0" w:rsidRPr="00033E65" w:rsidRDefault="00EC5306" w:rsidP="00EC5306">
      <w:pPr>
        <w:pStyle w:val="Ttulo1"/>
        <w:numPr>
          <w:ilvl w:val="0"/>
          <w:numId w:val="0"/>
        </w:numPr>
      </w:pPr>
      <w:bookmarkStart w:id="231" w:name="_Toc132639571"/>
      <w:r>
        <w:t xml:space="preserve">17. </w:t>
      </w:r>
      <w:r w:rsidR="00887622" w:rsidRPr="00033E65">
        <w:t>Atención de Asuntos Varios</w:t>
      </w:r>
      <w:bookmarkEnd w:id="231"/>
      <w:r w:rsidR="00205AF7" w:rsidRPr="00033E65">
        <w:t xml:space="preserve"> </w:t>
      </w:r>
    </w:p>
    <w:p w14:paraId="54477E97" w14:textId="248A1C15" w:rsidR="00FD79FF" w:rsidRPr="00033E65" w:rsidRDefault="00FD79FF" w:rsidP="006D5AC8">
      <w:pPr>
        <w:rPr>
          <w:lang w:eastAsia="en-US"/>
        </w:rPr>
      </w:pPr>
    </w:p>
    <w:p w14:paraId="61641D9B" w14:textId="7E368F26" w:rsidR="00FD79FF" w:rsidRPr="00033E65" w:rsidRDefault="008275E5" w:rsidP="006D5AC8">
      <w:pPr>
        <w:rPr>
          <w:lang w:eastAsia="en-US"/>
        </w:rPr>
      </w:pPr>
      <w:r w:rsidRPr="00033E65">
        <w:rPr>
          <w:lang w:eastAsia="en-US"/>
        </w:rPr>
        <w:t>1.</w:t>
      </w:r>
      <w:r w:rsidR="00403F08" w:rsidRPr="00033E65">
        <w:rPr>
          <w:lang w:eastAsia="en-US"/>
        </w:rPr>
        <w:t xml:space="preserve">. </w:t>
      </w:r>
      <w:r w:rsidR="00FD79FF" w:rsidRPr="00033E65">
        <w:rPr>
          <w:lang w:eastAsia="en-US"/>
        </w:rPr>
        <w:t>En atención del oficio N°0021-TA-2022</w:t>
      </w:r>
      <w:r w:rsidR="000C3B9F" w:rsidRPr="00033E65">
        <w:rPr>
          <w:lang w:eastAsia="en-US"/>
        </w:rPr>
        <w:t xml:space="preserve"> (ver anexo 2</w:t>
      </w:r>
      <w:r w:rsidR="009367DB" w:rsidRPr="00033E65">
        <w:rPr>
          <w:lang w:eastAsia="en-US"/>
        </w:rPr>
        <w:t>6</w:t>
      </w:r>
      <w:r w:rsidR="000C3B9F" w:rsidRPr="00033E65">
        <w:rPr>
          <w:lang w:eastAsia="en-US"/>
        </w:rPr>
        <w:t>)</w:t>
      </w:r>
      <w:r w:rsidR="00FD79FF" w:rsidRPr="00033E65">
        <w:rPr>
          <w:lang w:eastAsia="en-US"/>
        </w:rPr>
        <w:t>, del 09 de marzo de presente año, el Dr. Enrique Ulate Chacón, Coordinador del Tribunal Agrario, en el cual solicita lo siguiente, se indica textualmente:</w:t>
      </w:r>
    </w:p>
    <w:p w14:paraId="4F116D01" w14:textId="6864E6A6" w:rsidR="00FD79FF" w:rsidRPr="00033E65" w:rsidRDefault="00FD79FF" w:rsidP="006D5AC8">
      <w:pPr>
        <w:rPr>
          <w:i/>
        </w:rPr>
      </w:pPr>
      <w:r w:rsidRPr="00033E65">
        <w:rPr>
          <w:i/>
        </w:rPr>
        <w:t xml:space="preserve">“Como es de su conocimiento el Tribunal Agrario, cuya sede está en el II Circuito Judicial de San José, es único en el país y le corresponde resolver procesos provenientes de todos los juzgados agrarios. Actualmente, se conforma únicamente con dos secciones, siendo que el ingreso de expedientes supera la capacidad instalada. Desde hace varios años se viene recurriendo a apoyos extraordinarios, a través de la creación de una sección adicional en varias oportunidades y/o plazas extraordinarias. Por otra parte, con motivo de la entrada en vigencia del Código Procesal Agrario (prevista para febrero del 2023), existirá un incremento significativo del circulante, lo que impactará fuertemente en la primera y segunda instancia. Además, en virtud de un estudio realizado por Gestión Humana, se recalificaron las plazas de los jueces y juezas del Tribunal Agrario, pasando de categoría 4 a categoría 5. Por esas razones, el Consejo de Jueces y juezas del Tribunal Agrario, tomó un acuerdo solicitando el respectivo apoyo de las organizaciones gremiales, para su respectiva consideración en la discusión del presupuesto: Es sumamente importante, que el Tribunal agrario, no solo mantenga la plaza extraordinaria por todo el año 2023 (que asignó el Centro de Apoyo y Mejoramiento de la Función Jurisdiccional), sino que es fundamental impulsar en el presupuesto, para el próximo año: a.) Ejecutar en el presupuesto (para el 2023), la recomendación avalada por la Comisión de la Jurisdicción Agraria y el departamento de planificación, de crear una sección extraordinaria. Esta sección había sido recomendada para el año 2022, sin </w:t>
      </w:r>
      <w:r w:rsidR="00230EC8" w:rsidRPr="00033E65">
        <w:rPr>
          <w:i/>
        </w:rPr>
        <w:t>embargo,</w:t>
      </w:r>
      <w:r w:rsidRPr="00033E65">
        <w:rPr>
          <w:i/>
        </w:rPr>
        <w:t xml:space="preserve"> no se creó por razón presupuestaria. (Consejo Superior en sesión No. 100-2021 del 23 de noviembre, artículo XLIX mediante en el punto 3) en el cual dispusieron: "...rechazar la cuarta recomendación, relacionada con el crecimiento del Tribunal Agrario, en cuanto a su capacidad instalada, previendo la creación de una Sección extraordinaria en forma permanente con su respectivo personal Técnico, o en su defecto, la creación de una o dos plazas más para el año 2022; lo anterior debido a las limitaciones presupuestarias que enfrenta en este momento la Institución..."). b.) Ejecutar en el presupuesto (para el 2023), la recalificación de las categorías de Juez 4 a Juez 5, ya aprobado por el Consejo Superior del Poder Judicial comunicó a la Directora de Gestión Humana el acuerdo de sesión No. 93-2021 del 28 de octubre del 2021, sobre los perfiles competenciales en primera y segunda instancia: "Se acordó: Acoger en todos sus extremos el acuerdo tomado por el Consejo de Personal en sesión ordinaria N° 16-2021 celebrada el 19 de octubre de 2021, artículo VII, comunicado por la máster Roxana Arrieta Meléndez, Directora interina de Gestión Humana, mediante oficio N° PJ-DGH-CP-116-2021 del 20 de octubre de 2021, relacionado con los perfiles competenciales producto de la Reforma Procesal Agraria, en consecuencia avalar: 1.) La reasignación de los puestos números 365688, 102139, 102142, 365687, 102141, 96488 y 102140; todos con una clasificación y valoración de Juez 4, al nivel de Juez 5; ya que del análisis realizado se determina que corresponde realizar el ajuste de orden técnico, las cuales regirán a partir del 28 de febrero del </w:t>
      </w:r>
      <w:r w:rsidR="00230EC8" w:rsidRPr="00033E65">
        <w:rPr>
          <w:i/>
        </w:rPr>
        <w:t>2023.</w:t>
      </w:r>
      <w:r w:rsidRPr="00033E65">
        <w:rPr>
          <w:i/>
        </w:rPr>
        <w:t xml:space="preserve"> 2.) La creación y aprobación las descripciones de clases propuestas en materia Agraria: Juez 3 Agrario y Juez 5 Apelación de Sentencia Agrario. En caso de asignarse plazas nuevas al Tribunal Agrario ordinarias y o bien extraordinarias se deben suministrar conforme a la clasificación y valoración propuesta; es decir Juez 5. 3.) Los ajustes aprobados en los puntos anteriores se deberán considerar en el ejercicio del anteproyecto del 2023, a realizarse el próximo año. 4.) Hasta tanto se conforme el escalafón de Juez 5; los nombramientos interinos; se utilice el escalafón de Juez 4; y en cuanto a los nombramientos en propiedad quedarán sujetos a que la Sección Administrativa de la Carrera Judicial realice los escalafones correspondientes a la categoría y a la materia. Una vez realizado el proceso anterior, deberá la Dirección de Gestión Humana suprimir del Manual Descriptivo de Clases de Puestos, las clases angostas de puestos: “Juez 3 </w:t>
      </w:r>
      <w:r w:rsidR="00230EC8" w:rsidRPr="00033E65">
        <w:rPr>
          <w:i/>
        </w:rPr>
        <w:t>Agrario” y</w:t>
      </w:r>
      <w:r w:rsidRPr="00033E65">
        <w:rPr>
          <w:i/>
        </w:rPr>
        <w:t xml:space="preserve"> “Juez 4 Agrario”. La Comisión de la Jurisdicción Agraria, el Tribunal Agrario, los juzgados agrarios, el Despacho de la Presidencia, las Direcciones Ejecutiva, Gestión Humana y Planificación y la Sección Administrativa de la Carrera Judicial, tomarán nota para los fines consiguientes.”</w:t>
      </w:r>
    </w:p>
    <w:p w14:paraId="62DBBEDF" w14:textId="4429701D" w:rsidR="00FD79FF" w:rsidRPr="00033E65" w:rsidRDefault="00FD79FF" w:rsidP="006D5AC8">
      <w:pPr>
        <w:rPr>
          <w:i/>
        </w:rPr>
      </w:pPr>
    </w:p>
    <w:p w14:paraId="3E44489F" w14:textId="126645F0" w:rsidR="00DA5920" w:rsidRPr="00033E65" w:rsidRDefault="008A0F18" w:rsidP="006D5AC8">
      <w:r w:rsidRPr="00033E65">
        <w:t xml:space="preserve">De lo indicado anterior, en el oficio N° PJ-DGH-CP-116-2021 del 20 de octubre de 2021, relacionado con los perfiles competenciales producto de la Reforma Procesal Agraria, </w:t>
      </w:r>
      <w:r w:rsidR="00DA5920" w:rsidRPr="00033E65">
        <w:t xml:space="preserve">se realiza el siguiente análisis del impacto económico de recalificar las siete plazas de Juez 4 a </w:t>
      </w:r>
      <w:r w:rsidR="007C2FD0" w:rsidRPr="00033E65">
        <w:t>Juez 5, tal como se muestra en el siguiente cuadro:</w:t>
      </w:r>
    </w:p>
    <w:p w14:paraId="18D145C3" w14:textId="77777777" w:rsidR="00FD79FF" w:rsidRPr="00033E65" w:rsidRDefault="00FD79FF" w:rsidP="006D5AC8">
      <w:pPr>
        <w:rPr>
          <w:lang w:eastAsia="en-US"/>
        </w:rPr>
      </w:pPr>
    </w:p>
    <w:tbl>
      <w:tblPr>
        <w:tblW w:w="8624" w:type="dxa"/>
        <w:jc w:val="center"/>
        <w:tblCellMar>
          <w:left w:w="70" w:type="dxa"/>
          <w:right w:w="70" w:type="dxa"/>
        </w:tblCellMar>
        <w:tblLook w:val="04A0" w:firstRow="1" w:lastRow="0" w:firstColumn="1" w:lastColumn="0" w:noHBand="0" w:noVBand="1"/>
      </w:tblPr>
      <w:tblGrid>
        <w:gridCol w:w="1300"/>
        <w:gridCol w:w="1560"/>
        <w:gridCol w:w="2102"/>
        <w:gridCol w:w="1842"/>
        <w:gridCol w:w="1820"/>
      </w:tblGrid>
      <w:tr w:rsidR="00265B12" w:rsidRPr="00033E65" w14:paraId="0B5F850E" w14:textId="77777777" w:rsidTr="00274042">
        <w:trPr>
          <w:trHeight w:val="1170"/>
          <w:jc w:val="center"/>
        </w:trPr>
        <w:tc>
          <w:tcPr>
            <w:tcW w:w="1300"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5540F21" w14:textId="77777777" w:rsidR="008A0F18" w:rsidRPr="00033E65" w:rsidRDefault="008A0F18" w:rsidP="008A0F18">
            <w:pPr>
              <w:spacing w:before="0" w:after="0"/>
              <w:jc w:val="center"/>
              <w:rPr>
                <w:rFonts w:cs="Calibri"/>
                <w:b/>
                <w:bCs/>
                <w:color w:val="FFFFFF"/>
                <w:szCs w:val="22"/>
                <w:lang w:eastAsia="es-CR"/>
              </w:rPr>
            </w:pPr>
            <w:r w:rsidRPr="00033E65">
              <w:rPr>
                <w:rFonts w:cs="Calibri"/>
                <w:b/>
                <w:bCs/>
                <w:color w:val="FFFFFF"/>
                <w:szCs w:val="22"/>
                <w:lang w:eastAsia="es-CR"/>
              </w:rPr>
              <w:t>N° plazas</w:t>
            </w:r>
          </w:p>
        </w:tc>
        <w:tc>
          <w:tcPr>
            <w:tcW w:w="1560" w:type="dxa"/>
            <w:tcBorders>
              <w:top w:val="double" w:sz="6" w:space="0" w:color="1F497D"/>
              <w:left w:val="nil"/>
              <w:bottom w:val="double" w:sz="6" w:space="0" w:color="1F497D"/>
              <w:right w:val="double" w:sz="6" w:space="0" w:color="1F497D"/>
            </w:tcBorders>
            <w:shd w:val="clear" w:color="000000" w:fill="0673A5"/>
            <w:vAlign w:val="center"/>
            <w:hideMark/>
          </w:tcPr>
          <w:p w14:paraId="44D54E1D" w14:textId="77777777" w:rsidR="008A0F18" w:rsidRPr="00033E65" w:rsidRDefault="008A0F18" w:rsidP="008A0F18">
            <w:pPr>
              <w:spacing w:before="0" w:after="0"/>
              <w:jc w:val="center"/>
              <w:rPr>
                <w:rFonts w:cs="Calibri"/>
                <w:b/>
                <w:bCs/>
                <w:color w:val="FFFFFF"/>
                <w:szCs w:val="22"/>
                <w:lang w:eastAsia="es-CR"/>
              </w:rPr>
            </w:pPr>
            <w:r w:rsidRPr="00033E65">
              <w:rPr>
                <w:rFonts w:cs="Calibri"/>
                <w:b/>
                <w:bCs/>
                <w:color w:val="FFFFFF"/>
                <w:szCs w:val="22"/>
                <w:lang w:eastAsia="es-CR"/>
              </w:rPr>
              <w:t xml:space="preserve">Categoría Actualmente </w:t>
            </w:r>
          </w:p>
        </w:tc>
        <w:tc>
          <w:tcPr>
            <w:tcW w:w="2102" w:type="dxa"/>
            <w:tcBorders>
              <w:top w:val="double" w:sz="6" w:space="0" w:color="1F497D"/>
              <w:left w:val="nil"/>
              <w:bottom w:val="double" w:sz="6" w:space="0" w:color="1F497D"/>
              <w:right w:val="double" w:sz="6" w:space="0" w:color="1F497D"/>
            </w:tcBorders>
            <w:shd w:val="clear" w:color="000000" w:fill="0673A5"/>
            <w:vAlign w:val="center"/>
            <w:hideMark/>
          </w:tcPr>
          <w:p w14:paraId="4622824E" w14:textId="1CF027CC" w:rsidR="008A0F18" w:rsidRPr="00033E65" w:rsidRDefault="008A0F18" w:rsidP="00265B12">
            <w:pPr>
              <w:spacing w:before="0" w:after="0"/>
              <w:jc w:val="center"/>
              <w:rPr>
                <w:rFonts w:cs="Calibri"/>
                <w:b/>
                <w:bCs/>
                <w:color w:val="FFFFFF"/>
                <w:szCs w:val="22"/>
                <w:lang w:eastAsia="es-CR"/>
              </w:rPr>
            </w:pPr>
            <w:r w:rsidRPr="00033E65">
              <w:rPr>
                <w:rFonts w:cs="Calibri"/>
                <w:b/>
                <w:bCs/>
                <w:color w:val="FFFFFF"/>
                <w:szCs w:val="22"/>
                <w:lang w:eastAsia="es-CR"/>
              </w:rPr>
              <w:t>Costo</w:t>
            </w:r>
            <w:r w:rsidR="00265B12" w:rsidRPr="00033E65">
              <w:rPr>
                <w:rFonts w:cs="Calibri"/>
                <w:b/>
                <w:bCs/>
                <w:color w:val="FFFFFF"/>
                <w:szCs w:val="22"/>
                <w:lang w:eastAsia="es-CR"/>
              </w:rPr>
              <w:t xml:space="preserve"> de plaza por persona juzgadora</w:t>
            </w:r>
          </w:p>
        </w:tc>
        <w:tc>
          <w:tcPr>
            <w:tcW w:w="1842" w:type="dxa"/>
            <w:tcBorders>
              <w:top w:val="double" w:sz="6" w:space="0" w:color="1F497D"/>
              <w:left w:val="nil"/>
              <w:bottom w:val="double" w:sz="6" w:space="0" w:color="1F497D"/>
              <w:right w:val="double" w:sz="6" w:space="0" w:color="1F497D"/>
            </w:tcBorders>
            <w:shd w:val="clear" w:color="000000" w:fill="0673A5"/>
            <w:vAlign w:val="center"/>
            <w:hideMark/>
          </w:tcPr>
          <w:p w14:paraId="34EDC706" w14:textId="77777777" w:rsidR="008A0F18" w:rsidRPr="00033E65" w:rsidRDefault="008A0F18" w:rsidP="008A0F18">
            <w:pPr>
              <w:spacing w:before="0" w:after="0"/>
              <w:jc w:val="center"/>
              <w:rPr>
                <w:rFonts w:cs="Calibri"/>
                <w:b/>
                <w:bCs/>
                <w:color w:val="FFFFFF"/>
                <w:szCs w:val="22"/>
                <w:lang w:eastAsia="es-CR"/>
              </w:rPr>
            </w:pPr>
            <w:r w:rsidRPr="00033E65">
              <w:rPr>
                <w:rFonts w:cs="Calibri"/>
                <w:b/>
                <w:bCs/>
                <w:color w:val="FFFFFF"/>
                <w:szCs w:val="22"/>
                <w:lang w:eastAsia="es-CR"/>
              </w:rPr>
              <w:t xml:space="preserve">Categoría propuesta </w:t>
            </w:r>
          </w:p>
        </w:tc>
        <w:tc>
          <w:tcPr>
            <w:tcW w:w="1820" w:type="dxa"/>
            <w:tcBorders>
              <w:top w:val="double" w:sz="6" w:space="0" w:color="1F497D"/>
              <w:left w:val="nil"/>
              <w:bottom w:val="double" w:sz="6" w:space="0" w:color="1F497D"/>
              <w:right w:val="double" w:sz="6" w:space="0" w:color="1F497D"/>
            </w:tcBorders>
            <w:shd w:val="clear" w:color="000000" w:fill="0673A5"/>
            <w:vAlign w:val="center"/>
            <w:hideMark/>
          </w:tcPr>
          <w:p w14:paraId="20F8FF1B" w14:textId="44CC0970" w:rsidR="008A0F18" w:rsidRPr="00033E65" w:rsidRDefault="00265B12" w:rsidP="00265B12">
            <w:pPr>
              <w:spacing w:before="0" w:after="0"/>
              <w:jc w:val="center"/>
              <w:rPr>
                <w:rFonts w:cs="Calibri"/>
                <w:b/>
                <w:bCs/>
                <w:color w:val="FFFFFF"/>
                <w:szCs w:val="22"/>
                <w:lang w:eastAsia="es-CR"/>
              </w:rPr>
            </w:pPr>
            <w:r w:rsidRPr="00033E65">
              <w:rPr>
                <w:rFonts w:cs="Calibri"/>
                <w:b/>
                <w:bCs/>
                <w:color w:val="FFFFFF"/>
                <w:szCs w:val="22"/>
                <w:lang w:eastAsia="es-CR"/>
              </w:rPr>
              <w:t>Costo de plaza por persona juzgadora</w:t>
            </w:r>
          </w:p>
        </w:tc>
      </w:tr>
      <w:tr w:rsidR="008A0F18" w:rsidRPr="00033E65" w14:paraId="198B18EA" w14:textId="77777777" w:rsidTr="00274042">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6A80202F" w14:textId="77777777" w:rsidR="008A0F18" w:rsidRPr="00033E65" w:rsidRDefault="008A0F18" w:rsidP="008A0F18">
            <w:pPr>
              <w:spacing w:before="0" w:after="0"/>
              <w:jc w:val="center"/>
              <w:rPr>
                <w:rFonts w:cs="Calibri"/>
                <w:color w:val="000000"/>
                <w:szCs w:val="22"/>
                <w:lang w:eastAsia="es-CR"/>
              </w:rPr>
            </w:pPr>
            <w:r w:rsidRPr="00033E65">
              <w:rPr>
                <w:rFonts w:cs="Calibri"/>
                <w:color w:val="000000"/>
                <w:szCs w:val="22"/>
                <w:lang w:eastAsia="es-CR"/>
              </w:rPr>
              <w:t>365688</w:t>
            </w:r>
          </w:p>
        </w:tc>
        <w:tc>
          <w:tcPr>
            <w:tcW w:w="1560"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505F8A75" w14:textId="77777777" w:rsidR="008A0F18" w:rsidRPr="00033E65" w:rsidRDefault="008A0F18" w:rsidP="008A0F18">
            <w:pPr>
              <w:spacing w:before="0" w:after="0"/>
              <w:jc w:val="center"/>
              <w:rPr>
                <w:rFonts w:cs="Calibri"/>
                <w:color w:val="000000"/>
                <w:szCs w:val="22"/>
                <w:lang w:eastAsia="es-CR"/>
              </w:rPr>
            </w:pPr>
            <w:r w:rsidRPr="00033E65">
              <w:rPr>
                <w:rFonts w:cs="Calibri"/>
                <w:color w:val="000000"/>
                <w:szCs w:val="22"/>
                <w:lang w:eastAsia="es-CR"/>
              </w:rPr>
              <w:t>Juez 4</w:t>
            </w:r>
          </w:p>
        </w:tc>
        <w:tc>
          <w:tcPr>
            <w:tcW w:w="2102"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7C4F8D1B" w14:textId="77777777" w:rsidR="008A0F18" w:rsidRPr="00033E65" w:rsidRDefault="008A0F18" w:rsidP="008A0F18">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₡58.609.000,00 </w:t>
            </w:r>
          </w:p>
        </w:tc>
        <w:tc>
          <w:tcPr>
            <w:tcW w:w="1842"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12E54683" w14:textId="77777777" w:rsidR="008A0F18" w:rsidRPr="00033E65" w:rsidRDefault="008A0F18" w:rsidP="008A0F18">
            <w:pPr>
              <w:spacing w:before="0" w:after="0"/>
              <w:jc w:val="center"/>
              <w:rPr>
                <w:rFonts w:cs="Calibri"/>
                <w:color w:val="000000"/>
                <w:szCs w:val="22"/>
                <w:lang w:eastAsia="es-CR"/>
              </w:rPr>
            </w:pPr>
            <w:r w:rsidRPr="00033E65">
              <w:rPr>
                <w:rFonts w:cs="Calibri"/>
                <w:color w:val="000000"/>
                <w:szCs w:val="22"/>
                <w:lang w:eastAsia="es-CR"/>
              </w:rPr>
              <w:t>Juez 5</w:t>
            </w:r>
          </w:p>
        </w:tc>
        <w:tc>
          <w:tcPr>
            <w:tcW w:w="1820"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00CED341" w14:textId="77777777" w:rsidR="008A0F18" w:rsidRPr="00033E65" w:rsidRDefault="008A0F18" w:rsidP="008A0F18">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₡65.650.000,00 </w:t>
            </w:r>
          </w:p>
        </w:tc>
      </w:tr>
      <w:tr w:rsidR="008A0F18" w:rsidRPr="00033E65" w14:paraId="0066AC48" w14:textId="77777777" w:rsidTr="00274042">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08479A9C" w14:textId="77777777" w:rsidR="008A0F18" w:rsidRPr="00033E65" w:rsidRDefault="008A0F18" w:rsidP="008A0F18">
            <w:pPr>
              <w:spacing w:before="0" w:after="0"/>
              <w:jc w:val="center"/>
              <w:rPr>
                <w:rFonts w:cs="Calibri"/>
                <w:color w:val="000000"/>
                <w:szCs w:val="22"/>
                <w:lang w:eastAsia="es-CR"/>
              </w:rPr>
            </w:pPr>
            <w:r w:rsidRPr="00033E65">
              <w:rPr>
                <w:rFonts w:cs="Calibri"/>
                <w:color w:val="000000"/>
                <w:szCs w:val="22"/>
                <w:lang w:eastAsia="es-CR"/>
              </w:rPr>
              <w:t>102139</w:t>
            </w:r>
          </w:p>
        </w:tc>
        <w:tc>
          <w:tcPr>
            <w:tcW w:w="1560" w:type="dxa"/>
            <w:vMerge/>
            <w:tcBorders>
              <w:top w:val="nil"/>
              <w:left w:val="double" w:sz="6" w:space="0" w:color="1F497D"/>
              <w:bottom w:val="double" w:sz="6" w:space="0" w:color="1F497D"/>
              <w:right w:val="double" w:sz="6" w:space="0" w:color="1F497D"/>
            </w:tcBorders>
            <w:vAlign w:val="center"/>
            <w:hideMark/>
          </w:tcPr>
          <w:p w14:paraId="3E030A3B" w14:textId="77777777" w:rsidR="008A0F18" w:rsidRPr="00033E65"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15AC5A6E" w14:textId="77777777" w:rsidR="008A0F18" w:rsidRPr="00033E65"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1015F9CB" w14:textId="77777777" w:rsidR="008A0F18" w:rsidRPr="00033E65" w:rsidRDefault="008A0F18" w:rsidP="008A0F18">
            <w:pPr>
              <w:spacing w:before="0" w:after="0"/>
              <w:jc w:val="left"/>
              <w:rPr>
                <w:rFonts w:cs="Calibri"/>
                <w:color w:val="000000"/>
                <w:szCs w:val="22"/>
                <w:lang w:eastAsia="es-CR"/>
              </w:rPr>
            </w:pPr>
          </w:p>
        </w:tc>
        <w:tc>
          <w:tcPr>
            <w:tcW w:w="1820" w:type="dxa"/>
            <w:vMerge/>
            <w:tcBorders>
              <w:top w:val="nil"/>
              <w:left w:val="double" w:sz="6" w:space="0" w:color="1F497D"/>
              <w:bottom w:val="double" w:sz="6" w:space="0" w:color="1F497D"/>
              <w:right w:val="double" w:sz="6" w:space="0" w:color="1F497D"/>
            </w:tcBorders>
            <w:vAlign w:val="center"/>
            <w:hideMark/>
          </w:tcPr>
          <w:p w14:paraId="361C8D54" w14:textId="77777777" w:rsidR="008A0F18" w:rsidRPr="00033E65" w:rsidRDefault="008A0F18" w:rsidP="008A0F18">
            <w:pPr>
              <w:spacing w:before="0" w:after="0"/>
              <w:jc w:val="left"/>
              <w:rPr>
                <w:rFonts w:ascii="Times New Roman" w:hAnsi="Times New Roman"/>
                <w:color w:val="000000"/>
                <w:szCs w:val="22"/>
                <w:lang w:eastAsia="es-CR"/>
              </w:rPr>
            </w:pPr>
          </w:p>
        </w:tc>
      </w:tr>
      <w:tr w:rsidR="008A0F18" w:rsidRPr="00033E65" w14:paraId="591FEF16" w14:textId="77777777" w:rsidTr="00274042">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7DEBF4AF" w14:textId="77777777" w:rsidR="008A0F18" w:rsidRPr="00033E65" w:rsidRDefault="008A0F18" w:rsidP="008A0F18">
            <w:pPr>
              <w:spacing w:before="0" w:after="0"/>
              <w:jc w:val="center"/>
              <w:rPr>
                <w:rFonts w:cs="Calibri"/>
                <w:color w:val="000000"/>
                <w:szCs w:val="22"/>
                <w:lang w:eastAsia="es-CR"/>
              </w:rPr>
            </w:pPr>
            <w:r w:rsidRPr="00033E65">
              <w:rPr>
                <w:rFonts w:cs="Calibri"/>
                <w:color w:val="000000"/>
                <w:szCs w:val="22"/>
                <w:lang w:eastAsia="es-CR"/>
              </w:rPr>
              <w:t>102142</w:t>
            </w:r>
          </w:p>
        </w:tc>
        <w:tc>
          <w:tcPr>
            <w:tcW w:w="1560" w:type="dxa"/>
            <w:vMerge/>
            <w:tcBorders>
              <w:top w:val="nil"/>
              <w:left w:val="double" w:sz="6" w:space="0" w:color="1F497D"/>
              <w:bottom w:val="double" w:sz="6" w:space="0" w:color="1F497D"/>
              <w:right w:val="double" w:sz="6" w:space="0" w:color="1F497D"/>
            </w:tcBorders>
            <w:vAlign w:val="center"/>
            <w:hideMark/>
          </w:tcPr>
          <w:p w14:paraId="6016D60F" w14:textId="77777777" w:rsidR="008A0F18" w:rsidRPr="00033E65"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671EE8AB" w14:textId="77777777" w:rsidR="008A0F18" w:rsidRPr="00033E65"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27D0E58E" w14:textId="77777777" w:rsidR="008A0F18" w:rsidRPr="00033E65" w:rsidRDefault="008A0F18" w:rsidP="008A0F18">
            <w:pPr>
              <w:spacing w:before="0" w:after="0"/>
              <w:jc w:val="left"/>
              <w:rPr>
                <w:rFonts w:cs="Calibri"/>
                <w:color w:val="000000"/>
                <w:szCs w:val="22"/>
                <w:lang w:eastAsia="es-CR"/>
              </w:rPr>
            </w:pPr>
          </w:p>
        </w:tc>
        <w:tc>
          <w:tcPr>
            <w:tcW w:w="1820" w:type="dxa"/>
            <w:vMerge/>
            <w:tcBorders>
              <w:top w:val="nil"/>
              <w:left w:val="double" w:sz="6" w:space="0" w:color="1F497D"/>
              <w:bottom w:val="double" w:sz="6" w:space="0" w:color="1F497D"/>
              <w:right w:val="double" w:sz="6" w:space="0" w:color="1F497D"/>
            </w:tcBorders>
            <w:vAlign w:val="center"/>
            <w:hideMark/>
          </w:tcPr>
          <w:p w14:paraId="14032E9D" w14:textId="77777777" w:rsidR="008A0F18" w:rsidRPr="00033E65" w:rsidRDefault="008A0F18" w:rsidP="008A0F18">
            <w:pPr>
              <w:spacing w:before="0" w:after="0"/>
              <w:jc w:val="left"/>
              <w:rPr>
                <w:rFonts w:ascii="Times New Roman" w:hAnsi="Times New Roman"/>
                <w:color w:val="000000"/>
                <w:szCs w:val="22"/>
                <w:lang w:eastAsia="es-CR"/>
              </w:rPr>
            </w:pPr>
          </w:p>
        </w:tc>
      </w:tr>
      <w:tr w:rsidR="008A0F18" w:rsidRPr="00033E65" w14:paraId="08E0B21C" w14:textId="77777777" w:rsidTr="00274042">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392405B8" w14:textId="77777777" w:rsidR="008A0F18" w:rsidRPr="00033E65" w:rsidRDefault="008A0F18" w:rsidP="008A0F18">
            <w:pPr>
              <w:spacing w:before="0" w:after="0"/>
              <w:jc w:val="center"/>
              <w:rPr>
                <w:rFonts w:cs="Calibri"/>
                <w:color w:val="000000"/>
                <w:szCs w:val="22"/>
                <w:lang w:eastAsia="es-CR"/>
              </w:rPr>
            </w:pPr>
            <w:r w:rsidRPr="00033E65">
              <w:rPr>
                <w:rFonts w:cs="Calibri"/>
                <w:color w:val="000000"/>
                <w:szCs w:val="22"/>
                <w:lang w:eastAsia="es-CR"/>
              </w:rPr>
              <w:t>365687</w:t>
            </w:r>
          </w:p>
        </w:tc>
        <w:tc>
          <w:tcPr>
            <w:tcW w:w="1560" w:type="dxa"/>
            <w:vMerge/>
            <w:tcBorders>
              <w:top w:val="nil"/>
              <w:left w:val="double" w:sz="6" w:space="0" w:color="1F497D"/>
              <w:bottom w:val="double" w:sz="6" w:space="0" w:color="1F497D"/>
              <w:right w:val="double" w:sz="6" w:space="0" w:color="1F497D"/>
            </w:tcBorders>
            <w:vAlign w:val="center"/>
            <w:hideMark/>
          </w:tcPr>
          <w:p w14:paraId="35FC3ECF" w14:textId="77777777" w:rsidR="008A0F18" w:rsidRPr="00033E65"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2902524F" w14:textId="77777777" w:rsidR="008A0F18" w:rsidRPr="00033E65"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591C62A3" w14:textId="77777777" w:rsidR="008A0F18" w:rsidRPr="00033E65" w:rsidRDefault="008A0F18" w:rsidP="008A0F18">
            <w:pPr>
              <w:spacing w:before="0" w:after="0"/>
              <w:jc w:val="left"/>
              <w:rPr>
                <w:rFonts w:cs="Calibri"/>
                <w:color w:val="000000"/>
                <w:szCs w:val="22"/>
                <w:lang w:eastAsia="es-CR"/>
              </w:rPr>
            </w:pPr>
          </w:p>
        </w:tc>
        <w:tc>
          <w:tcPr>
            <w:tcW w:w="1820" w:type="dxa"/>
            <w:vMerge/>
            <w:tcBorders>
              <w:top w:val="nil"/>
              <w:left w:val="double" w:sz="6" w:space="0" w:color="1F497D"/>
              <w:bottom w:val="double" w:sz="6" w:space="0" w:color="1F497D"/>
              <w:right w:val="double" w:sz="6" w:space="0" w:color="1F497D"/>
            </w:tcBorders>
            <w:vAlign w:val="center"/>
            <w:hideMark/>
          </w:tcPr>
          <w:p w14:paraId="3100DB10" w14:textId="77777777" w:rsidR="008A0F18" w:rsidRPr="00033E65" w:rsidRDefault="008A0F18" w:rsidP="008A0F18">
            <w:pPr>
              <w:spacing w:before="0" w:after="0"/>
              <w:jc w:val="left"/>
              <w:rPr>
                <w:rFonts w:ascii="Times New Roman" w:hAnsi="Times New Roman"/>
                <w:color w:val="000000"/>
                <w:szCs w:val="22"/>
                <w:lang w:eastAsia="es-CR"/>
              </w:rPr>
            </w:pPr>
          </w:p>
        </w:tc>
      </w:tr>
      <w:tr w:rsidR="008A0F18" w:rsidRPr="00033E65" w14:paraId="748FEBB4" w14:textId="77777777" w:rsidTr="00274042">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2F1D7F9D" w14:textId="77777777" w:rsidR="008A0F18" w:rsidRPr="00033E65" w:rsidRDefault="008A0F18" w:rsidP="008A0F18">
            <w:pPr>
              <w:spacing w:before="0" w:after="0"/>
              <w:jc w:val="center"/>
              <w:rPr>
                <w:rFonts w:cs="Calibri"/>
                <w:color w:val="000000"/>
                <w:szCs w:val="22"/>
                <w:lang w:eastAsia="es-CR"/>
              </w:rPr>
            </w:pPr>
            <w:r w:rsidRPr="00033E65">
              <w:rPr>
                <w:rFonts w:cs="Calibri"/>
                <w:color w:val="000000"/>
                <w:szCs w:val="22"/>
                <w:lang w:eastAsia="es-CR"/>
              </w:rPr>
              <w:t>102141</w:t>
            </w:r>
          </w:p>
        </w:tc>
        <w:tc>
          <w:tcPr>
            <w:tcW w:w="1560" w:type="dxa"/>
            <w:vMerge/>
            <w:tcBorders>
              <w:top w:val="nil"/>
              <w:left w:val="double" w:sz="6" w:space="0" w:color="1F497D"/>
              <w:bottom w:val="double" w:sz="6" w:space="0" w:color="1F497D"/>
              <w:right w:val="double" w:sz="6" w:space="0" w:color="1F497D"/>
            </w:tcBorders>
            <w:vAlign w:val="center"/>
            <w:hideMark/>
          </w:tcPr>
          <w:p w14:paraId="19B580A8" w14:textId="77777777" w:rsidR="008A0F18" w:rsidRPr="00033E65"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63155F9B" w14:textId="77777777" w:rsidR="008A0F18" w:rsidRPr="00033E65"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4601AE73" w14:textId="77777777" w:rsidR="008A0F18" w:rsidRPr="00033E65" w:rsidRDefault="008A0F18" w:rsidP="008A0F18">
            <w:pPr>
              <w:spacing w:before="0" w:after="0"/>
              <w:jc w:val="left"/>
              <w:rPr>
                <w:rFonts w:cs="Calibri"/>
                <w:color w:val="000000"/>
                <w:szCs w:val="22"/>
                <w:lang w:eastAsia="es-CR"/>
              </w:rPr>
            </w:pPr>
          </w:p>
        </w:tc>
        <w:tc>
          <w:tcPr>
            <w:tcW w:w="1820" w:type="dxa"/>
            <w:vMerge/>
            <w:tcBorders>
              <w:top w:val="nil"/>
              <w:left w:val="double" w:sz="6" w:space="0" w:color="1F497D"/>
              <w:bottom w:val="double" w:sz="6" w:space="0" w:color="1F497D"/>
              <w:right w:val="double" w:sz="6" w:space="0" w:color="1F497D"/>
            </w:tcBorders>
            <w:vAlign w:val="center"/>
            <w:hideMark/>
          </w:tcPr>
          <w:p w14:paraId="498E5642" w14:textId="77777777" w:rsidR="008A0F18" w:rsidRPr="00033E65" w:rsidRDefault="008A0F18" w:rsidP="008A0F18">
            <w:pPr>
              <w:spacing w:before="0" w:after="0"/>
              <w:jc w:val="left"/>
              <w:rPr>
                <w:rFonts w:ascii="Times New Roman" w:hAnsi="Times New Roman"/>
                <w:color w:val="000000"/>
                <w:szCs w:val="22"/>
                <w:lang w:eastAsia="es-CR"/>
              </w:rPr>
            </w:pPr>
          </w:p>
        </w:tc>
      </w:tr>
      <w:tr w:rsidR="008A0F18" w:rsidRPr="00033E65" w14:paraId="13FE21F8" w14:textId="77777777" w:rsidTr="00274042">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50524E67" w14:textId="77777777" w:rsidR="008A0F18" w:rsidRPr="00033E65" w:rsidRDefault="008A0F18" w:rsidP="008A0F18">
            <w:pPr>
              <w:spacing w:before="0" w:after="0"/>
              <w:jc w:val="center"/>
              <w:rPr>
                <w:rFonts w:cs="Calibri"/>
                <w:color w:val="000000"/>
                <w:szCs w:val="22"/>
                <w:lang w:eastAsia="es-CR"/>
              </w:rPr>
            </w:pPr>
            <w:r w:rsidRPr="00033E65">
              <w:rPr>
                <w:rFonts w:cs="Calibri"/>
                <w:color w:val="000000"/>
                <w:szCs w:val="22"/>
                <w:lang w:eastAsia="es-CR"/>
              </w:rPr>
              <w:t>96488</w:t>
            </w:r>
          </w:p>
        </w:tc>
        <w:tc>
          <w:tcPr>
            <w:tcW w:w="1560" w:type="dxa"/>
            <w:vMerge/>
            <w:tcBorders>
              <w:top w:val="nil"/>
              <w:left w:val="double" w:sz="6" w:space="0" w:color="1F497D"/>
              <w:bottom w:val="double" w:sz="6" w:space="0" w:color="1F497D"/>
              <w:right w:val="double" w:sz="6" w:space="0" w:color="1F497D"/>
            </w:tcBorders>
            <w:vAlign w:val="center"/>
            <w:hideMark/>
          </w:tcPr>
          <w:p w14:paraId="0096A28F" w14:textId="77777777" w:rsidR="008A0F18" w:rsidRPr="00033E65"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2DE6F2F6" w14:textId="77777777" w:rsidR="008A0F18" w:rsidRPr="00033E65"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100384E3" w14:textId="77777777" w:rsidR="008A0F18" w:rsidRPr="00033E65" w:rsidRDefault="008A0F18" w:rsidP="008A0F18">
            <w:pPr>
              <w:spacing w:before="0" w:after="0"/>
              <w:jc w:val="left"/>
              <w:rPr>
                <w:rFonts w:cs="Calibri"/>
                <w:color w:val="000000"/>
                <w:szCs w:val="22"/>
                <w:lang w:eastAsia="es-CR"/>
              </w:rPr>
            </w:pPr>
          </w:p>
        </w:tc>
        <w:tc>
          <w:tcPr>
            <w:tcW w:w="1820" w:type="dxa"/>
            <w:vMerge/>
            <w:tcBorders>
              <w:top w:val="nil"/>
              <w:left w:val="double" w:sz="6" w:space="0" w:color="1F497D"/>
              <w:bottom w:val="double" w:sz="6" w:space="0" w:color="1F497D"/>
              <w:right w:val="double" w:sz="6" w:space="0" w:color="1F497D"/>
            </w:tcBorders>
            <w:vAlign w:val="center"/>
            <w:hideMark/>
          </w:tcPr>
          <w:p w14:paraId="720DBC4F" w14:textId="77777777" w:rsidR="008A0F18" w:rsidRPr="00033E65" w:rsidRDefault="008A0F18" w:rsidP="008A0F18">
            <w:pPr>
              <w:spacing w:before="0" w:after="0"/>
              <w:jc w:val="left"/>
              <w:rPr>
                <w:rFonts w:ascii="Times New Roman" w:hAnsi="Times New Roman"/>
                <w:color w:val="000000"/>
                <w:szCs w:val="22"/>
                <w:lang w:eastAsia="es-CR"/>
              </w:rPr>
            </w:pPr>
          </w:p>
        </w:tc>
      </w:tr>
      <w:tr w:rsidR="008A0F18" w:rsidRPr="00033E65" w14:paraId="3C19233C" w14:textId="77777777" w:rsidTr="00274042">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1769DB52" w14:textId="77777777" w:rsidR="008A0F18" w:rsidRPr="00033E65" w:rsidRDefault="008A0F18" w:rsidP="008A0F18">
            <w:pPr>
              <w:spacing w:before="0" w:after="0"/>
              <w:jc w:val="center"/>
              <w:rPr>
                <w:rFonts w:cs="Calibri"/>
                <w:color w:val="000000"/>
                <w:szCs w:val="22"/>
                <w:lang w:eastAsia="es-CR"/>
              </w:rPr>
            </w:pPr>
            <w:r w:rsidRPr="00033E65">
              <w:rPr>
                <w:rFonts w:cs="Calibri"/>
                <w:color w:val="000000"/>
                <w:szCs w:val="22"/>
                <w:lang w:eastAsia="es-CR"/>
              </w:rPr>
              <w:t>102140</w:t>
            </w:r>
          </w:p>
        </w:tc>
        <w:tc>
          <w:tcPr>
            <w:tcW w:w="1560" w:type="dxa"/>
            <w:vMerge/>
            <w:tcBorders>
              <w:top w:val="nil"/>
              <w:left w:val="double" w:sz="6" w:space="0" w:color="1F497D"/>
              <w:bottom w:val="double" w:sz="6" w:space="0" w:color="1F497D"/>
              <w:right w:val="double" w:sz="6" w:space="0" w:color="1F497D"/>
            </w:tcBorders>
            <w:vAlign w:val="center"/>
            <w:hideMark/>
          </w:tcPr>
          <w:p w14:paraId="530FA36B" w14:textId="77777777" w:rsidR="008A0F18" w:rsidRPr="00033E65"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19FD166A" w14:textId="77777777" w:rsidR="008A0F18" w:rsidRPr="00033E65"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1D51B27B" w14:textId="77777777" w:rsidR="008A0F18" w:rsidRPr="00033E65" w:rsidRDefault="008A0F18" w:rsidP="008A0F18">
            <w:pPr>
              <w:spacing w:before="0" w:after="0"/>
              <w:jc w:val="left"/>
              <w:rPr>
                <w:rFonts w:cs="Calibri"/>
                <w:color w:val="000000"/>
                <w:szCs w:val="22"/>
                <w:lang w:eastAsia="es-CR"/>
              </w:rPr>
            </w:pPr>
          </w:p>
        </w:tc>
        <w:tc>
          <w:tcPr>
            <w:tcW w:w="1820" w:type="dxa"/>
            <w:vMerge/>
            <w:tcBorders>
              <w:top w:val="nil"/>
              <w:left w:val="double" w:sz="6" w:space="0" w:color="1F497D"/>
              <w:bottom w:val="double" w:sz="6" w:space="0" w:color="1F497D"/>
              <w:right w:val="double" w:sz="6" w:space="0" w:color="1F497D"/>
            </w:tcBorders>
            <w:vAlign w:val="center"/>
            <w:hideMark/>
          </w:tcPr>
          <w:p w14:paraId="6238E795" w14:textId="77777777" w:rsidR="008A0F18" w:rsidRPr="00033E65" w:rsidRDefault="008A0F18" w:rsidP="008A0F18">
            <w:pPr>
              <w:spacing w:before="0" w:after="0"/>
              <w:jc w:val="left"/>
              <w:rPr>
                <w:rFonts w:ascii="Times New Roman" w:hAnsi="Times New Roman"/>
                <w:color w:val="000000"/>
                <w:szCs w:val="22"/>
                <w:lang w:eastAsia="es-CR"/>
              </w:rPr>
            </w:pPr>
          </w:p>
        </w:tc>
      </w:tr>
    </w:tbl>
    <w:p w14:paraId="6CE5CB97" w14:textId="6C75DFB2" w:rsidR="00E76B1D" w:rsidRPr="00033E65" w:rsidRDefault="002B3CC7" w:rsidP="006D5AC8">
      <w:pPr>
        <w:rPr>
          <w:i/>
          <w:sz w:val="20"/>
          <w:lang w:eastAsia="en-US"/>
        </w:rPr>
      </w:pPr>
      <w:r w:rsidRPr="00033E65">
        <w:rPr>
          <w:i/>
          <w:iCs/>
          <w:sz w:val="20"/>
          <w:lang w:eastAsia="en-US"/>
        </w:rPr>
        <w:t>Fuente:</w:t>
      </w:r>
      <w:r w:rsidR="002740AD" w:rsidRPr="00033E65">
        <w:rPr>
          <w:i/>
          <w:iCs/>
          <w:sz w:val="20"/>
          <w:lang w:eastAsia="en-US"/>
        </w:rPr>
        <w:t xml:space="preserve"> Subproceso de Modernización Institucional, área no Penal.</w:t>
      </w:r>
    </w:p>
    <w:p w14:paraId="2D91B2AC" w14:textId="77777777" w:rsidR="001641FD" w:rsidRPr="00033E65" w:rsidRDefault="001641FD" w:rsidP="00091CC5">
      <w:pPr>
        <w:rPr>
          <w:lang w:eastAsia="en-US"/>
        </w:rPr>
      </w:pPr>
    </w:p>
    <w:p w14:paraId="202283A9" w14:textId="3D1018BC" w:rsidR="00265B12" w:rsidRPr="00033E65" w:rsidRDefault="00265B12" w:rsidP="00091CC5">
      <w:pPr>
        <w:rPr>
          <w:lang w:eastAsia="en-US"/>
        </w:rPr>
      </w:pPr>
      <w:r w:rsidRPr="00033E65">
        <w:rPr>
          <w:lang w:eastAsia="en-US"/>
        </w:rPr>
        <w:t xml:space="preserve">Por las siete (7) plazas en el Tribunal Agrario, actualmente el costo de esas plazas es de </w:t>
      </w:r>
      <w:r w:rsidRPr="00033E65">
        <w:rPr>
          <w:rFonts w:ascii="Times New Roman" w:hAnsi="Times New Roman"/>
          <w:lang w:eastAsia="en-US"/>
        </w:rPr>
        <w:t>₡</w:t>
      </w:r>
      <w:r w:rsidRPr="00033E65">
        <w:rPr>
          <w:lang w:eastAsia="en-US"/>
        </w:rPr>
        <w:t>410.263.000,00</w:t>
      </w:r>
      <w:r w:rsidR="000F71F8" w:rsidRPr="00033E65">
        <w:rPr>
          <w:lang w:eastAsia="en-US"/>
        </w:rPr>
        <w:t xml:space="preserve"> anualmente, la diferencia económica, de </w:t>
      </w:r>
      <w:r w:rsidRPr="00033E65">
        <w:rPr>
          <w:lang w:eastAsia="en-US"/>
        </w:rPr>
        <w:t xml:space="preserve">pasar de categoría de Juez 4 a Juez 5, la diferencia se percibe en </w:t>
      </w:r>
      <w:r w:rsidRPr="00033E65">
        <w:rPr>
          <w:rFonts w:ascii="Times New Roman" w:hAnsi="Times New Roman"/>
          <w:lang w:eastAsia="en-US"/>
        </w:rPr>
        <w:t>₡</w:t>
      </w:r>
      <w:r w:rsidRPr="00033E65">
        <w:rPr>
          <w:lang w:eastAsia="en-US"/>
        </w:rPr>
        <w:t>49.287.000,00</w:t>
      </w:r>
      <w:r w:rsidR="000F71F8" w:rsidRPr="00033E65">
        <w:rPr>
          <w:lang w:eastAsia="en-US"/>
        </w:rPr>
        <w:t xml:space="preserve"> por año</w:t>
      </w:r>
      <w:r w:rsidR="00091CC5" w:rsidRPr="00033E65">
        <w:rPr>
          <w:lang w:eastAsia="en-US"/>
        </w:rPr>
        <w:t>, lo equivaldría</w:t>
      </w:r>
      <w:r w:rsidRPr="00033E65">
        <w:rPr>
          <w:lang w:eastAsia="en-US"/>
        </w:rPr>
        <w:t xml:space="preserve"> anualmente </w:t>
      </w:r>
      <w:r w:rsidR="00091CC5" w:rsidRPr="00033E65">
        <w:rPr>
          <w:rFonts w:ascii="Times New Roman" w:hAnsi="Times New Roman"/>
          <w:lang w:eastAsia="en-US"/>
        </w:rPr>
        <w:t>₡</w:t>
      </w:r>
      <w:r w:rsidR="00091CC5" w:rsidRPr="00033E65">
        <w:rPr>
          <w:lang w:eastAsia="en-US"/>
        </w:rPr>
        <w:t>459.550.000,00 las siete plazas de</w:t>
      </w:r>
      <w:r w:rsidR="000F71F8" w:rsidRPr="00033E65">
        <w:rPr>
          <w:lang w:eastAsia="en-US"/>
        </w:rPr>
        <w:t>l</w:t>
      </w:r>
      <w:r w:rsidR="00091CC5" w:rsidRPr="00033E65">
        <w:rPr>
          <w:lang w:eastAsia="en-US"/>
        </w:rPr>
        <w:t xml:space="preserve"> Tribunal.</w:t>
      </w:r>
      <w:r w:rsidR="00E256E1" w:rsidRPr="00033E65">
        <w:rPr>
          <w:lang w:eastAsia="en-US"/>
        </w:rPr>
        <w:t xml:space="preserve"> La diferencia económica producto de la recalif</w:t>
      </w:r>
      <w:r w:rsidR="00B30517" w:rsidRPr="00033E65">
        <w:rPr>
          <w:lang w:eastAsia="en-US"/>
        </w:rPr>
        <w:t xml:space="preserve">icación </w:t>
      </w:r>
      <w:r w:rsidR="00AC3D25" w:rsidRPr="00033E65">
        <w:rPr>
          <w:lang w:eastAsia="en-US"/>
        </w:rPr>
        <w:t xml:space="preserve">es un </w:t>
      </w:r>
      <w:r w:rsidR="00C27F67" w:rsidRPr="00033E65">
        <w:rPr>
          <w:lang w:eastAsia="en-US"/>
        </w:rPr>
        <w:t xml:space="preserve">monto por plaza </w:t>
      </w:r>
      <w:r w:rsidR="00230EC8" w:rsidRPr="00033E65">
        <w:rPr>
          <w:lang w:eastAsia="en-US"/>
        </w:rPr>
        <w:t xml:space="preserve">de </w:t>
      </w:r>
      <w:r w:rsidR="00230EC8" w:rsidRPr="00033E65">
        <w:rPr>
          <w:rFonts w:ascii="Times New Roman" w:hAnsi="Times New Roman"/>
          <w:lang w:eastAsia="en-US"/>
        </w:rPr>
        <w:t>₡</w:t>
      </w:r>
      <w:r w:rsidR="00AC3D25" w:rsidRPr="00033E65">
        <w:rPr>
          <w:lang w:eastAsia="en-US"/>
        </w:rPr>
        <w:t>7.</w:t>
      </w:r>
      <w:r w:rsidR="00CD478E" w:rsidRPr="00033E65">
        <w:rPr>
          <w:lang w:eastAsia="en-US"/>
        </w:rPr>
        <w:t>041.000.</w:t>
      </w:r>
    </w:p>
    <w:p w14:paraId="0B8E4198" w14:textId="77777777" w:rsidR="003F7283" w:rsidRPr="00033E65" w:rsidRDefault="003F7283" w:rsidP="00091CC5">
      <w:pPr>
        <w:rPr>
          <w:lang w:eastAsia="en-US"/>
        </w:rPr>
      </w:pPr>
    </w:p>
    <w:p w14:paraId="4135450E" w14:textId="77777777" w:rsidR="00E04FC1" w:rsidRPr="00033E65" w:rsidRDefault="003F7283" w:rsidP="00091CC5">
      <w:pPr>
        <w:rPr>
          <w:lang w:eastAsia="en-US"/>
        </w:rPr>
      </w:pPr>
      <w:r w:rsidRPr="00033E65">
        <w:rPr>
          <w:lang w:eastAsia="en-US"/>
        </w:rPr>
        <w:t>3. La materia agraria actualmente equivale a un 4</w:t>
      </w:r>
      <w:r w:rsidR="005745A2" w:rsidRPr="00033E65">
        <w:rPr>
          <w:lang w:eastAsia="en-US"/>
        </w:rPr>
        <w:t>% del circulante de la Sala Primera,</w:t>
      </w:r>
      <w:r w:rsidR="009D2642" w:rsidRPr="00033E65">
        <w:rPr>
          <w:lang w:eastAsia="en-US"/>
        </w:rPr>
        <w:t xml:space="preserve"> y conforme está previsto el código, la carga de trabajo a este Tribunal se estima que puede disminuir.</w:t>
      </w:r>
    </w:p>
    <w:p w14:paraId="5B21CA52" w14:textId="77777777" w:rsidR="00E04FC1" w:rsidRPr="00033E65" w:rsidRDefault="00E04FC1" w:rsidP="00091CC5">
      <w:pPr>
        <w:rPr>
          <w:lang w:eastAsia="en-US"/>
        </w:rPr>
      </w:pPr>
    </w:p>
    <w:p w14:paraId="50CF709D" w14:textId="401E5701" w:rsidR="003F7283" w:rsidRPr="00033E65" w:rsidRDefault="00E04FC1" w:rsidP="00E04FC1">
      <w:pPr>
        <w:rPr>
          <w:lang w:eastAsia="en-US"/>
        </w:rPr>
      </w:pPr>
      <w:r w:rsidRPr="00033E65">
        <w:rPr>
          <w:lang w:eastAsia="en-US"/>
        </w:rPr>
        <w:t>4. En atención a la referencia 2079-2021, relacionado con el oficio N°279-PICPA-2021 del 04 de octubre del 2021, la Gestora Agraria Rebeca Salazar Alcócer, Coordinadora Proyecto de Implementación Código Procesal Agrario, con instrucciones del Magistrado Luis Guillermo Rivas Loáiciga, Director del Proyecto de Implementación del Código Procesal Agrario y Coordinador de la Comisión de la Jurisdicción Agraria, comunica el acuerdo tomado por la Comisión de la Jurisdicción Agraria en la sesión N° 10-2021 celebrada en octubre del 2021, Artículo XIX,  en el que se indica textualmente:</w:t>
      </w:r>
    </w:p>
    <w:p w14:paraId="56D738D8" w14:textId="6D8A24C3" w:rsidR="00E04FC1" w:rsidRPr="00033E65" w:rsidRDefault="00E04FC1" w:rsidP="00091CC5">
      <w:pPr>
        <w:rPr>
          <w:i/>
          <w:lang w:eastAsia="en-US"/>
        </w:rPr>
      </w:pPr>
      <w:r w:rsidRPr="00033E65">
        <w:rPr>
          <w:i/>
          <w:lang w:eastAsia="en-US"/>
        </w:rPr>
        <w:t>“SE ACUERDA: “…además, recomendar la posibilidad de asignar un dron a cada uno de los despachos agrarios.”</w:t>
      </w:r>
    </w:p>
    <w:p w14:paraId="4CDB500C" w14:textId="77777777" w:rsidR="00E04FC1" w:rsidRPr="00033E65" w:rsidRDefault="00E04FC1" w:rsidP="00E04FC1">
      <w:pPr>
        <w:rPr>
          <w:i/>
          <w:lang w:eastAsia="en-US"/>
        </w:rPr>
      </w:pPr>
      <w:r w:rsidRPr="00033E65">
        <w:rPr>
          <w:i/>
          <w:lang w:eastAsia="en-US"/>
        </w:rPr>
        <w:t>Respecto al citado acuerdo, se indica:</w:t>
      </w:r>
    </w:p>
    <w:p w14:paraId="67B12CAC" w14:textId="4F122BA5" w:rsidR="00E04FC1" w:rsidRPr="00033E65" w:rsidRDefault="00E04FC1" w:rsidP="00E04FC1">
      <w:pPr>
        <w:rPr>
          <w:i/>
          <w:lang w:eastAsia="en-US"/>
        </w:rPr>
      </w:pPr>
      <w:r w:rsidRPr="00033E65">
        <w:rPr>
          <w:i/>
          <w:lang w:eastAsia="en-US"/>
        </w:rPr>
        <w:t>La Comisión de la Jurisdicción Agraria gestionó la adquisición de un dron para uso de los despachos agrarios, acordando en sesión N° 06-2021, celebrada el 18 de junio del 2021, Artículo XI, se indica textualmente:</w:t>
      </w:r>
    </w:p>
    <w:p w14:paraId="0721309C" w14:textId="3642FE39" w:rsidR="00E04FC1" w:rsidRPr="00033E65" w:rsidRDefault="00E04FC1" w:rsidP="00E04FC1">
      <w:pPr>
        <w:rPr>
          <w:i/>
          <w:lang w:eastAsia="en-US"/>
        </w:rPr>
      </w:pPr>
      <w:r w:rsidRPr="00033E65">
        <w:rPr>
          <w:i/>
          <w:lang w:eastAsia="en-US"/>
        </w:rPr>
        <w:t>“SE ACUERDA: 1. Tener por presentado el informe de la Gestora Agraria acerca de los despachos Agrarios que tienen interés en el uso del dron como herramienta para su gestión. 2. A efecto de maximizar el uso del dron y definir la oficina responsable de su administración, e inclusive, valorar la importancia de adquirir más dispositivos para ser usados por regiones; o bien, centralizados en una oficina que podría ser el CACMFJ, para uso común de todos los despachos agrarios de primera y segunda instancia, remitir consulta a la Dirección Ejecutiva, Dirección de Tecnología de Información y al CACMFJ acerca de la forma idónea de administración de ese recurso. 3. Solicitar a la Dirección de Tecnología de la Información coordinar una capacitación sobre el uso del dron a las personas juzgadoras agrarias de primera y segunda instancia, incluyendo a la Sala Primera, para identificar su utilidad y mayor aprovechamiento institucional en la Jurisdicción Agraria. 4. Se declara firme este acuerdo por unanimidad y se dispone a comunicarlo a la Dirección Ejecutiva, Dirección de Planificación, Dirección de Tecnología de la Información, CACMFJ y despachos Agrarios, con la colaboración de la Gestora Agraria.”</w:t>
      </w:r>
    </w:p>
    <w:p w14:paraId="431FAAB2" w14:textId="0FC81230" w:rsidR="00E04FC1" w:rsidRPr="00033E65" w:rsidRDefault="00E04FC1" w:rsidP="00E04FC1">
      <w:pPr>
        <w:rPr>
          <w:i/>
          <w:lang w:eastAsia="en-US"/>
        </w:rPr>
      </w:pPr>
      <w:r w:rsidRPr="00033E65">
        <w:rPr>
          <w:i/>
          <w:lang w:eastAsia="en-US"/>
        </w:rPr>
        <w:t>La Dirección de Tecnología de la Información remitió el oficio 1471-DTI-2021 del 21 de julio de 2021 al Departamento de Proveeduría, en dicho documento se especifica los requerimientos y consideraciones con el inicio del proceso de contratación a la “compra de dron y accesorios”.</w:t>
      </w:r>
    </w:p>
    <w:p w14:paraId="096E66C0" w14:textId="07975B2F" w:rsidR="00E04FC1" w:rsidRPr="00033E65" w:rsidRDefault="00E04FC1" w:rsidP="00E04FC1">
      <w:pPr>
        <w:rPr>
          <w:i/>
          <w:lang w:eastAsia="en-US"/>
        </w:rPr>
      </w:pPr>
      <w:r w:rsidRPr="00033E65">
        <w:rPr>
          <w:i/>
          <w:lang w:eastAsia="en-US"/>
        </w:rPr>
        <w:t>En sesión 103-2021 del Consejo Superior, celebrada el 01 de diciembre del 2021, artículo XXXVIII, conoció el oficio N° 416-CACMFJ-JEF-2021 del 22 de noviembre de 2021, relacionado con la adquisición de un dron para uso de los despachos agrarios, acordado en sesión N° 06-2021, celebrada el 18 de junio del 2021, artículo XI, se trascribe el acuerdo:</w:t>
      </w:r>
    </w:p>
    <w:p w14:paraId="02412F79" w14:textId="386F40D8" w:rsidR="00E04FC1" w:rsidRPr="00033E65" w:rsidRDefault="00E04FC1" w:rsidP="00E04FC1">
      <w:pPr>
        <w:rPr>
          <w:i/>
          <w:lang w:eastAsia="en-US"/>
        </w:rPr>
      </w:pPr>
      <w:r w:rsidRPr="00033E65">
        <w:rPr>
          <w:i/>
          <w:lang w:eastAsia="en-US"/>
        </w:rPr>
        <w:t>“Se acordó: Trasladar la gestión a la Comisión de la Jurisdicción Agraria, con el fin de</w:t>
      </w:r>
    </w:p>
    <w:p w14:paraId="5491C9F4" w14:textId="2545F869" w:rsidR="00E04FC1" w:rsidRPr="00033E65" w:rsidRDefault="00E04FC1" w:rsidP="00E04FC1">
      <w:pPr>
        <w:rPr>
          <w:i/>
          <w:lang w:eastAsia="en-US"/>
        </w:rPr>
      </w:pPr>
      <w:r w:rsidRPr="00033E65">
        <w:rPr>
          <w:i/>
          <w:lang w:eastAsia="en-US"/>
        </w:rPr>
        <w:t>que presente a este Consejo una propuesta donde se aclare como se va a proceder con respecto a los cuestionamientos sobre la administración del dron, que señala el Centro de Apoyo, Coordinación y Mejoramiento de la Función Jurisdiccional.”</w:t>
      </w:r>
    </w:p>
    <w:p w14:paraId="194CA0E8" w14:textId="294476B2" w:rsidR="00B330B3" w:rsidRPr="00033E65" w:rsidRDefault="00E04FC1" w:rsidP="00230EC8">
      <w:pPr>
        <w:widowControl w:val="0"/>
        <w:tabs>
          <w:tab w:val="left" w:pos="8080"/>
        </w:tabs>
        <w:suppressAutoHyphens/>
        <w:autoSpaceDE w:val="0"/>
        <w:autoSpaceDN w:val="0"/>
        <w:adjustRightInd w:val="0"/>
        <w:ind w:right="49"/>
        <w:rPr>
          <w:rFonts w:cs="Arial"/>
          <w:lang w:val="es-ES" w:eastAsia="zh-CN"/>
        </w:rPr>
      </w:pPr>
      <w:r w:rsidRPr="00033E65">
        <w:rPr>
          <w:rFonts w:cs="Arial"/>
          <w:lang w:val="es-ES" w:eastAsia="zh-CN"/>
        </w:rPr>
        <w:t xml:space="preserve">De lo anterior, se desprende que, si bien es cierto, la solicitud de compra de drones por parte de la Comisión de la Jurisdicción Agraria es un tema recurrente, no se contempla su adquisición en el presente ejercicio de formulación presupuestaria en vista de las directrices institucionales, </w:t>
      </w:r>
      <w:r w:rsidR="00ED1FBE" w:rsidRPr="00033E65">
        <w:rPr>
          <w:rFonts w:cs="Arial"/>
          <w:lang w:val="es-ES" w:eastAsia="zh-CN"/>
        </w:rPr>
        <w:t>debido a que se encuentra pendiente de definirse el ente administrador del dron y dimensionar el uso de dicha técnica en la materia.</w:t>
      </w:r>
    </w:p>
    <w:p w14:paraId="2A9997E9" w14:textId="52949879" w:rsidR="00E04FC1" w:rsidRPr="00033E65" w:rsidRDefault="00E04FC1" w:rsidP="00230EC8">
      <w:pPr>
        <w:widowControl w:val="0"/>
        <w:tabs>
          <w:tab w:val="left" w:pos="8080"/>
        </w:tabs>
        <w:suppressAutoHyphens/>
        <w:autoSpaceDE w:val="0"/>
        <w:autoSpaceDN w:val="0"/>
        <w:adjustRightInd w:val="0"/>
        <w:ind w:right="49"/>
        <w:rPr>
          <w:rFonts w:cs="Arial"/>
          <w:lang w:val="es-ES" w:eastAsia="zh-CN"/>
        </w:rPr>
      </w:pPr>
      <w:r w:rsidRPr="00033E65">
        <w:rPr>
          <w:rFonts w:cs="Arial"/>
          <w:lang w:val="es-ES" w:eastAsia="zh-CN"/>
        </w:rPr>
        <w:t>Adicional a ello, sí resulta importante que la Comisión de la Jurisdicción Agraria emita una respuesta en torno a la aclaración sobre la administración del dron que ya fue adquirido meses anteriores, tal y como lo solicita el Consejo Superior en sesión en N° 06-2021, celebrada el 18 de junio del 2021, artículo XI.</w:t>
      </w:r>
    </w:p>
    <w:p w14:paraId="0857A72B" w14:textId="77777777" w:rsidR="00E04FC1" w:rsidRPr="00033E65" w:rsidRDefault="00E04FC1" w:rsidP="00E04FC1">
      <w:pPr>
        <w:rPr>
          <w:i/>
          <w:lang w:eastAsia="en-US"/>
        </w:rPr>
      </w:pPr>
    </w:p>
    <w:p w14:paraId="06242DAF" w14:textId="129256D3" w:rsidR="00CF527E" w:rsidRPr="00033E65" w:rsidRDefault="00EC5306" w:rsidP="00EC5306">
      <w:pPr>
        <w:pStyle w:val="Ttulo1"/>
        <w:numPr>
          <w:ilvl w:val="0"/>
          <w:numId w:val="0"/>
        </w:numPr>
      </w:pPr>
      <w:bookmarkStart w:id="232" w:name="_Toc132639572"/>
      <w:r>
        <w:t xml:space="preserve">18. </w:t>
      </w:r>
      <w:r w:rsidR="00CF527E" w:rsidRPr="00033E65">
        <w:t>Estimación de necesidades</w:t>
      </w:r>
      <w:bookmarkEnd w:id="232"/>
    </w:p>
    <w:p w14:paraId="2889E353" w14:textId="77777777" w:rsidR="00960203" w:rsidRPr="00033E65" w:rsidRDefault="002E0F25" w:rsidP="00CF527E">
      <w:r w:rsidRPr="00033E65">
        <w:t xml:space="preserve">De acuerdo con los antecedentes sobre esta materia </w:t>
      </w:r>
      <w:r w:rsidR="00960203" w:rsidRPr="00033E65">
        <w:t>y las necesidades detectadas se presenta el detalle para cada categoría:</w:t>
      </w:r>
    </w:p>
    <w:p w14:paraId="3B54B921" w14:textId="1B39BC2B" w:rsidR="00960203" w:rsidRPr="00033E65" w:rsidRDefault="00EC5306" w:rsidP="00EC5306">
      <w:pPr>
        <w:pStyle w:val="Ttulo2"/>
        <w:numPr>
          <w:ilvl w:val="0"/>
          <w:numId w:val="0"/>
        </w:numPr>
      </w:pPr>
      <w:bookmarkStart w:id="233" w:name="_Toc132639573"/>
      <w:r>
        <w:t xml:space="preserve">18.1 </w:t>
      </w:r>
      <w:r w:rsidR="00960203" w:rsidRPr="00033E65">
        <w:t>Recurso Humano</w:t>
      </w:r>
      <w:bookmarkEnd w:id="233"/>
    </w:p>
    <w:p w14:paraId="34F94FB7" w14:textId="5D555B1D" w:rsidR="00CF527E" w:rsidRPr="00033E65" w:rsidRDefault="00960203" w:rsidP="00CF527E">
      <w:r w:rsidRPr="00033E65">
        <w:t xml:space="preserve">De acuerdo con el análisis de las cargas de trabajo </w:t>
      </w:r>
      <w:r w:rsidR="00E12A87" w:rsidRPr="00033E65">
        <w:t xml:space="preserve">de los despachos abordados, los antecedentes de los informes de presupuesto de los períodos anteriores </w:t>
      </w:r>
      <w:r w:rsidR="00A223FD" w:rsidRPr="00033E65">
        <w:t>y demás gestiones presentadas para esta materia, se determina la siguiente necesidad de recurso humano al momento:</w:t>
      </w:r>
      <w:r w:rsidR="00E12A87" w:rsidRPr="00033E65">
        <w:t xml:space="preserve"> </w:t>
      </w:r>
    </w:p>
    <w:p w14:paraId="5B7401B6" w14:textId="39EE471B" w:rsidR="00CF527E" w:rsidRPr="00033E65" w:rsidRDefault="00CF527E" w:rsidP="007A05EE">
      <w:pPr>
        <w:pStyle w:val="Prrafodelista"/>
        <w:numPr>
          <w:ilvl w:val="0"/>
          <w:numId w:val="47"/>
        </w:numPr>
      </w:pPr>
      <w:r w:rsidRPr="00033E65">
        <w:t xml:space="preserve">Especialización de la materia agraria en el Cantón de Upala con una estructura mínima reforzada en el Juzgado Mixto conformada por dos (2) plazas de Jueza o Juez (una (1) de esta ya se tiene con materia Agraria y la otra sería plaza nueva ordinaria para materia Agraria).  </w:t>
      </w:r>
    </w:p>
    <w:p w14:paraId="4BA81617" w14:textId="77777777" w:rsidR="00FA329E" w:rsidRPr="00033E65" w:rsidRDefault="00FA329E" w:rsidP="00274042">
      <w:pPr>
        <w:pStyle w:val="Prrafodelista"/>
      </w:pPr>
    </w:p>
    <w:p w14:paraId="023240EA" w14:textId="7D83E4F4" w:rsidR="00CF527E" w:rsidRPr="00033E65" w:rsidRDefault="00CF527E" w:rsidP="00FA329E">
      <w:pPr>
        <w:pStyle w:val="Prrafodelista"/>
        <w:numPr>
          <w:ilvl w:val="0"/>
          <w:numId w:val="47"/>
        </w:numPr>
        <w:rPr>
          <w:szCs w:val="22"/>
          <w:lang w:val="es-ES_tradnl"/>
        </w:rPr>
      </w:pPr>
      <w:r w:rsidRPr="00033E65">
        <w:rPr>
          <w:szCs w:val="22"/>
          <w:lang w:val="es-ES_tradnl"/>
        </w:rPr>
        <w:t xml:space="preserve">La reasignación de cambio de categoría de las siete plazas del Tribunal Agrario, categoría de Juez 4 a Juez 5, lo cual tendría un impacto económico de </w:t>
      </w:r>
      <w:r w:rsidRPr="00033E65">
        <w:rPr>
          <w:rFonts w:ascii="Times New Roman" w:hAnsi="Times New Roman"/>
          <w:color w:val="000000"/>
          <w:szCs w:val="22"/>
          <w:lang w:eastAsia="es-CR"/>
        </w:rPr>
        <w:t>₡</w:t>
      </w:r>
      <w:r w:rsidRPr="00033E65">
        <w:rPr>
          <w:szCs w:val="22"/>
          <w:lang w:val="es-ES_tradnl"/>
        </w:rPr>
        <w:t>49.287.000.Tomando nota oficio del N°0021-TA-2022 del 09 de marzo de presente año, el Dr. Enrique Ulate Chacón, Coordinador del Tribunal Agrario, en el cual solicita las recalificaciones las plazas de los jueces y juezas del Tribunal Agrario, pasando de categoría 4 a categoría 5, en acuerdo del Consejo Superior del Poder Judicial, tomado en sesión N° 93-2021 celebrada el 28 de octubre del 2021, artículo XXIIII que dice: “Acoger en todos sus extremos el acuerdo tomado por el Consejo de Personal en sesión ordinaria N° 16-2021 celebrada el 19 de octubre de 2021, artículo VII, comunicado por la máster Roxana Arrieta Meléndez, Directora interina de Gestión Humana, mediante oficio N° PJ-DGH-CP-116-2021 del 20 de octubre de 2021, relacionado con los perfiles competenciales producto de la Reforma Procesal Agraria, en consecuencia avalar: 1.) La reasignación de los puestos números 365688, 102139, 102142, 365687, 102141, 96488 y 102140; todos con una clasificación y valoración de Juez 4, al nivel de Juez 5; ya que del análisis realizado se determina que corresponde realizar el ajuste de orden técnico, las cuales regirán a partir del 28 de febrero del 2023.</w:t>
      </w:r>
      <w:r w:rsidR="007F1C18">
        <w:rPr>
          <w:szCs w:val="22"/>
          <w:lang w:val="es-ES_tradnl"/>
        </w:rPr>
        <w:t xml:space="preserve"> A la presentación de este informe el plazo de implementación se vio modificado. </w:t>
      </w:r>
    </w:p>
    <w:p w14:paraId="2299838D" w14:textId="77777777" w:rsidR="00A94FB3" w:rsidRPr="00033E65" w:rsidRDefault="00A94FB3" w:rsidP="00274042">
      <w:pPr>
        <w:pStyle w:val="Prrafodelista"/>
        <w:rPr>
          <w:szCs w:val="22"/>
          <w:lang w:val="es-ES_tradnl"/>
        </w:rPr>
      </w:pPr>
    </w:p>
    <w:p w14:paraId="5CF111F8" w14:textId="0400DA74" w:rsidR="00CF527E" w:rsidRPr="00033E65" w:rsidRDefault="00CF527E" w:rsidP="00274042">
      <w:pPr>
        <w:pStyle w:val="Prrafodelista"/>
        <w:numPr>
          <w:ilvl w:val="0"/>
          <w:numId w:val="47"/>
        </w:numPr>
      </w:pPr>
      <w:r w:rsidRPr="00033E65">
        <w:t>La asignación de cuatro plazas extraordinarias de Jueza o Juez 3 para ejecutar los planes de trabajo en los despachos que atienden materia Agraria, plazas que estarán a cargo del Centro de Apoyo, Coordinación y Mejoramiento de la Función Jurisdiccional.</w:t>
      </w:r>
    </w:p>
    <w:p w14:paraId="19F96C9E" w14:textId="77777777" w:rsidR="00FA329E" w:rsidRPr="00033E65" w:rsidRDefault="00FA329E" w:rsidP="00CF527E"/>
    <w:p w14:paraId="080B2303" w14:textId="7C65A0D6" w:rsidR="00FE0F13" w:rsidRPr="00033E65" w:rsidRDefault="00FA329E" w:rsidP="00FE0F13">
      <w:pPr>
        <w:pStyle w:val="Prrafodelista"/>
        <w:numPr>
          <w:ilvl w:val="0"/>
          <w:numId w:val="47"/>
        </w:numPr>
      </w:pPr>
      <w:r w:rsidRPr="00033E65">
        <w:t>Reforzamiento con choferes en las Administraciones de Puntarenas, Goicoechea, Alajuela, San Ramón, Cartago y Corredores, las cuales contarán este año con un vehículo nuevo, en atención a la recomendación del informe 428-PLA-RH-MI-2021.</w:t>
      </w:r>
      <w:r w:rsidR="00FE0F13" w:rsidRPr="00033E65">
        <w:t xml:space="preserve"> Mediante el oficio N° 616-DE-2022 del 15 de febrero de 2022, de la Dirección Ejecutiva, entre otra información, solicitan choferes para las zonas de Puntarenas, Goicoechea, Alajuela, San Ramón, Cartago y Corredores, las cuales cuentan </w:t>
      </w:r>
      <w:r w:rsidR="00466F02" w:rsidRPr="00033E65">
        <w:t xml:space="preserve">desde el 2022 </w:t>
      </w:r>
      <w:r w:rsidR="00FE0F13" w:rsidRPr="00033E65">
        <w:t>con un vehículo nuevo, en atención a la recomendación del informe 428-PLA-RH-MI-2021.</w:t>
      </w:r>
    </w:p>
    <w:p w14:paraId="35D13EEE" w14:textId="2E4AD660" w:rsidR="00FA329E" w:rsidRPr="00033E65" w:rsidRDefault="00FA329E" w:rsidP="00274042">
      <w:pPr>
        <w:pStyle w:val="Prrafodelista"/>
      </w:pPr>
    </w:p>
    <w:p w14:paraId="0A7BC46D" w14:textId="65D7629C" w:rsidR="00F8432D" w:rsidRDefault="001848F3" w:rsidP="00A90544">
      <w:pPr>
        <w:pStyle w:val="Prrafodelista"/>
        <w:numPr>
          <w:ilvl w:val="0"/>
          <w:numId w:val="47"/>
        </w:numPr>
        <w:rPr>
          <w:color w:val="000000"/>
          <w:szCs w:val="22"/>
        </w:rPr>
      </w:pPr>
      <w:r>
        <w:t>En</w:t>
      </w:r>
      <w:r w:rsidR="00225A00">
        <w:t xml:space="preserve"> lo que</w:t>
      </w:r>
      <w:r w:rsidR="00804002">
        <w:t xml:space="preserve"> corresponde al Ámbito Auxiliar de Justicia, específicamente en el caso de la Defensa Pública en cuanto a </w:t>
      </w:r>
      <w:r w:rsidR="00F8432D" w:rsidRPr="00624403">
        <w:rPr>
          <w:szCs w:val="22"/>
        </w:rPr>
        <w:t>la labor de manejo, registro, control contable, presupuestario y ejecución de los recursos que genere el Código Procesal Agrario</w:t>
      </w:r>
      <w:r w:rsidR="00F8432D">
        <w:rPr>
          <w:szCs w:val="22"/>
        </w:rPr>
        <w:t xml:space="preserve">, según lo establecido en el artículo 47, </w:t>
      </w:r>
      <w:r w:rsidR="00DB18DC">
        <w:rPr>
          <w:szCs w:val="22"/>
        </w:rPr>
        <w:t>y según lo identificado en el e</w:t>
      </w:r>
      <w:r w:rsidR="00F8432D" w:rsidRPr="0043490A">
        <w:rPr>
          <w:color w:val="000000"/>
          <w:szCs w:val="22"/>
        </w:rPr>
        <w:t>studio</w:t>
      </w:r>
      <w:r w:rsidR="00DB18DC">
        <w:rPr>
          <w:color w:val="000000"/>
          <w:szCs w:val="22"/>
        </w:rPr>
        <w:t xml:space="preserve"> que realiza la Dirección de Planificación </w:t>
      </w:r>
      <w:r w:rsidR="00F8432D" w:rsidRPr="0043490A">
        <w:rPr>
          <w:color w:val="000000"/>
          <w:szCs w:val="22"/>
        </w:rPr>
        <w:t xml:space="preserve">en la Administración de la Defensa Pública se ha evidenciado que a la fecha dicha oficina carece del personal necesario para realizar las funciones que le corresponden, </w:t>
      </w:r>
      <w:r w:rsidR="00F8432D">
        <w:rPr>
          <w:color w:val="000000"/>
          <w:szCs w:val="22"/>
        </w:rPr>
        <w:t xml:space="preserve">como parte de este análisis es que se evidencia la necesidad de fortalecer esta área con un recurso adicional, considerando que con el nuevo código procesal deberá asumir las labores señaladas previamente ahora en la materia agraria. En virtud de lo anterior se tendría la siguiente necesidad: </w:t>
      </w:r>
    </w:p>
    <w:p w14:paraId="492B3518" w14:textId="77777777" w:rsidR="00F8432D" w:rsidRDefault="00F8432D" w:rsidP="00F8432D">
      <w:pPr>
        <w:ind w:right="261"/>
        <w:rPr>
          <w:color w:val="000000"/>
          <w:szCs w:val="22"/>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15"/>
        <w:gridCol w:w="1128"/>
        <w:gridCol w:w="1207"/>
        <w:gridCol w:w="1561"/>
        <w:gridCol w:w="1319"/>
        <w:gridCol w:w="2846"/>
      </w:tblGrid>
      <w:tr w:rsidR="00F8432D" w:rsidRPr="0006786B" w14:paraId="289C7B34" w14:textId="77777777">
        <w:trPr>
          <w:trHeight w:val="658"/>
          <w:jc w:val="center"/>
        </w:trPr>
        <w:tc>
          <w:tcPr>
            <w:tcW w:w="1715" w:type="dxa"/>
            <w:shd w:val="clear" w:color="auto" w:fill="F2F2F2" w:themeFill="background1" w:themeFillShade="F2"/>
            <w:vAlign w:val="center"/>
            <w:hideMark/>
          </w:tcPr>
          <w:p w14:paraId="19A0B15A" w14:textId="77777777" w:rsidR="00F8432D" w:rsidRPr="00624403" w:rsidRDefault="00F8432D">
            <w:pPr>
              <w:spacing w:before="0" w:after="0"/>
              <w:jc w:val="center"/>
              <w:rPr>
                <w:rFonts w:cs="Arial"/>
                <w:b/>
                <w:bCs/>
                <w:szCs w:val="22"/>
                <w:lang w:eastAsia="es-CR"/>
              </w:rPr>
            </w:pPr>
            <w:r>
              <w:rPr>
                <w:rFonts w:cs="Arial"/>
                <w:b/>
                <w:bCs/>
                <w:szCs w:val="22"/>
                <w:lang w:eastAsia="es-CR"/>
              </w:rPr>
              <w:t>Puesto</w:t>
            </w:r>
          </w:p>
        </w:tc>
        <w:tc>
          <w:tcPr>
            <w:tcW w:w="1128" w:type="dxa"/>
            <w:shd w:val="clear" w:color="auto" w:fill="F2F2F2" w:themeFill="background1" w:themeFillShade="F2"/>
            <w:vAlign w:val="center"/>
          </w:tcPr>
          <w:p w14:paraId="44C07A66" w14:textId="77777777" w:rsidR="00F8432D" w:rsidRPr="00624403" w:rsidRDefault="00F8432D">
            <w:pPr>
              <w:spacing w:before="0" w:after="0"/>
              <w:jc w:val="center"/>
              <w:rPr>
                <w:rFonts w:cs="Arial"/>
                <w:b/>
                <w:bCs/>
                <w:szCs w:val="22"/>
                <w:lang w:eastAsia="es-CR"/>
              </w:rPr>
            </w:pPr>
            <w:r w:rsidRPr="00624403">
              <w:rPr>
                <w:rFonts w:cs="Arial"/>
                <w:b/>
                <w:bCs/>
                <w:szCs w:val="22"/>
                <w:lang w:eastAsia="es-CR"/>
              </w:rPr>
              <w:t>Cantidad</w:t>
            </w:r>
          </w:p>
        </w:tc>
        <w:tc>
          <w:tcPr>
            <w:tcW w:w="1207" w:type="dxa"/>
            <w:shd w:val="clear" w:color="auto" w:fill="F2F2F2" w:themeFill="background1" w:themeFillShade="F2"/>
            <w:vAlign w:val="center"/>
          </w:tcPr>
          <w:p w14:paraId="27247771" w14:textId="77777777" w:rsidR="00F8432D" w:rsidRPr="00624403" w:rsidRDefault="00F8432D">
            <w:pPr>
              <w:spacing w:before="0" w:after="0"/>
              <w:jc w:val="center"/>
              <w:rPr>
                <w:rFonts w:cs="Arial"/>
                <w:b/>
                <w:bCs/>
                <w:szCs w:val="22"/>
                <w:lang w:eastAsia="es-CR"/>
              </w:rPr>
            </w:pPr>
            <w:r w:rsidRPr="00624403">
              <w:rPr>
                <w:rFonts w:cs="Arial"/>
                <w:b/>
                <w:bCs/>
                <w:szCs w:val="22"/>
                <w:lang w:eastAsia="es-CR"/>
              </w:rPr>
              <w:t>Tiempo</w:t>
            </w:r>
          </w:p>
        </w:tc>
        <w:tc>
          <w:tcPr>
            <w:tcW w:w="1561" w:type="dxa"/>
            <w:shd w:val="clear" w:color="auto" w:fill="F2F2F2" w:themeFill="background1" w:themeFillShade="F2"/>
            <w:vAlign w:val="center"/>
          </w:tcPr>
          <w:p w14:paraId="3D070277" w14:textId="77777777" w:rsidR="00F8432D" w:rsidRPr="00624403" w:rsidRDefault="00F8432D">
            <w:pPr>
              <w:spacing w:before="0" w:after="0"/>
              <w:jc w:val="center"/>
              <w:rPr>
                <w:rFonts w:cs="Arial"/>
                <w:b/>
                <w:bCs/>
                <w:szCs w:val="22"/>
                <w:lang w:eastAsia="es-CR"/>
              </w:rPr>
            </w:pPr>
            <w:r>
              <w:rPr>
                <w:rFonts w:cs="Arial"/>
                <w:b/>
                <w:bCs/>
                <w:szCs w:val="22"/>
                <w:lang w:eastAsia="es-CR"/>
              </w:rPr>
              <w:t>Condición de la plaza</w:t>
            </w:r>
          </w:p>
        </w:tc>
        <w:tc>
          <w:tcPr>
            <w:tcW w:w="1319" w:type="dxa"/>
            <w:shd w:val="clear" w:color="auto" w:fill="F2F2F2" w:themeFill="background1" w:themeFillShade="F2"/>
            <w:vAlign w:val="center"/>
            <w:hideMark/>
          </w:tcPr>
          <w:p w14:paraId="50F675F5" w14:textId="77777777" w:rsidR="00F8432D" w:rsidRPr="00624403" w:rsidRDefault="00F8432D">
            <w:pPr>
              <w:spacing w:before="0" w:after="0"/>
              <w:jc w:val="center"/>
              <w:rPr>
                <w:rFonts w:cs="Arial"/>
                <w:b/>
                <w:bCs/>
                <w:szCs w:val="22"/>
                <w:lang w:eastAsia="es-CR"/>
              </w:rPr>
            </w:pPr>
            <w:r>
              <w:rPr>
                <w:rFonts w:cs="Arial"/>
                <w:b/>
                <w:bCs/>
                <w:szCs w:val="22"/>
                <w:lang w:eastAsia="es-CR"/>
              </w:rPr>
              <w:t>Costo anual</w:t>
            </w:r>
          </w:p>
        </w:tc>
        <w:tc>
          <w:tcPr>
            <w:tcW w:w="2846" w:type="dxa"/>
            <w:shd w:val="clear" w:color="auto" w:fill="F2F2F2" w:themeFill="background1" w:themeFillShade="F2"/>
            <w:vAlign w:val="center"/>
          </w:tcPr>
          <w:p w14:paraId="1A1812F8" w14:textId="77777777" w:rsidR="00F8432D" w:rsidRDefault="00F8432D">
            <w:pPr>
              <w:spacing w:before="0" w:after="0"/>
              <w:jc w:val="center"/>
              <w:rPr>
                <w:rFonts w:cs="Arial"/>
                <w:b/>
                <w:bCs/>
                <w:szCs w:val="22"/>
                <w:lang w:eastAsia="es-CR"/>
              </w:rPr>
            </w:pPr>
            <w:r>
              <w:rPr>
                <w:rFonts w:cs="Arial"/>
                <w:b/>
                <w:bCs/>
                <w:szCs w:val="22"/>
                <w:lang w:eastAsia="es-CR"/>
              </w:rPr>
              <w:t>Observaciones</w:t>
            </w:r>
          </w:p>
        </w:tc>
      </w:tr>
      <w:tr w:rsidR="00F8432D" w:rsidRPr="0006786B" w14:paraId="6FC5B43C" w14:textId="77777777">
        <w:trPr>
          <w:trHeight w:val="658"/>
          <w:jc w:val="center"/>
        </w:trPr>
        <w:tc>
          <w:tcPr>
            <w:tcW w:w="1715" w:type="dxa"/>
            <w:shd w:val="clear" w:color="auto" w:fill="auto"/>
            <w:vAlign w:val="center"/>
            <w:hideMark/>
          </w:tcPr>
          <w:p w14:paraId="162F3BD5" w14:textId="77777777" w:rsidR="00F8432D" w:rsidRPr="00624403" w:rsidRDefault="00F8432D">
            <w:pPr>
              <w:spacing w:before="0" w:after="0"/>
              <w:jc w:val="left"/>
              <w:rPr>
                <w:rFonts w:cs="Arial"/>
                <w:szCs w:val="22"/>
                <w:lang w:eastAsia="es-CR"/>
              </w:rPr>
            </w:pPr>
            <w:r w:rsidRPr="00624403">
              <w:rPr>
                <w:rFonts w:cs="Arial"/>
                <w:szCs w:val="22"/>
                <w:lang w:eastAsia="es-CR"/>
              </w:rPr>
              <w:t xml:space="preserve">PROFESIONAL 1 </w:t>
            </w:r>
          </w:p>
        </w:tc>
        <w:tc>
          <w:tcPr>
            <w:tcW w:w="1128" w:type="dxa"/>
            <w:vAlign w:val="center"/>
          </w:tcPr>
          <w:p w14:paraId="2D1707DD" w14:textId="77777777" w:rsidR="00F8432D" w:rsidRPr="00624403" w:rsidRDefault="00F8432D">
            <w:pPr>
              <w:spacing w:before="0" w:after="0"/>
              <w:jc w:val="center"/>
              <w:rPr>
                <w:rFonts w:cs="Arial"/>
                <w:szCs w:val="22"/>
                <w:lang w:eastAsia="es-CR"/>
              </w:rPr>
            </w:pPr>
            <w:r w:rsidRPr="00624403">
              <w:rPr>
                <w:rFonts w:cs="Arial"/>
                <w:szCs w:val="22"/>
                <w:lang w:eastAsia="es-CR"/>
              </w:rPr>
              <w:t>1</w:t>
            </w:r>
          </w:p>
        </w:tc>
        <w:tc>
          <w:tcPr>
            <w:tcW w:w="1207" w:type="dxa"/>
            <w:vAlign w:val="center"/>
          </w:tcPr>
          <w:p w14:paraId="67956693" w14:textId="77777777" w:rsidR="00F8432D" w:rsidRPr="00624403" w:rsidRDefault="00F8432D">
            <w:pPr>
              <w:spacing w:before="0" w:after="0"/>
              <w:jc w:val="center"/>
              <w:rPr>
                <w:rFonts w:cs="Arial"/>
                <w:szCs w:val="22"/>
                <w:lang w:eastAsia="es-CR"/>
              </w:rPr>
            </w:pPr>
            <w:r>
              <w:rPr>
                <w:rFonts w:cs="Arial"/>
                <w:szCs w:val="22"/>
                <w:lang w:eastAsia="es-CR"/>
              </w:rPr>
              <w:t>12 meses</w:t>
            </w:r>
          </w:p>
        </w:tc>
        <w:tc>
          <w:tcPr>
            <w:tcW w:w="1561" w:type="dxa"/>
            <w:vAlign w:val="center"/>
          </w:tcPr>
          <w:p w14:paraId="698D0591" w14:textId="58FF2A77" w:rsidR="00F8432D" w:rsidRPr="00624403" w:rsidRDefault="00077AC1">
            <w:pPr>
              <w:spacing w:before="0" w:after="0"/>
              <w:jc w:val="center"/>
              <w:rPr>
                <w:rFonts w:cs="Arial"/>
                <w:szCs w:val="22"/>
                <w:lang w:eastAsia="es-CR"/>
              </w:rPr>
            </w:pPr>
            <w:r>
              <w:rPr>
                <w:rFonts w:cs="Arial"/>
                <w:szCs w:val="22"/>
                <w:lang w:eastAsia="es-CR"/>
              </w:rPr>
              <w:t xml:space="preserve">Ordinaria </w:t>
            </w:r>
          </w:p>
        </w:tc>
        <w:tc>
          <w:tcPr>
            <w:tcW w:w="1319" w:type="dxa"/>
            <w:shd w:val="clear" w:color="auto" w:fill="auto"/>
            <w:vAlign w:val="center"/>
            <w:hideMark/>
          </w:tcPr>
          <w:p w14:paraId="621B88A8" w14:textId="77777777" w:rsidR="00F8432D" w:rsidRPr="00624403" w:rsidRDefault="00F8432D">
            <w:pPr>
              <w:spacing w:before="0" w:after="0"/>
              <w:jc w:val="right"/>
              <w:rPr>
                <w:rFonts w:cs="Arial"/>
                <w:szCs w:val="22"/>
                <w:lang w:eastAsia="es-CR"/>
              </w:rPr>
            </w:pPr>
            <w:r w:rsidRPr="00624403">
              <w:rPr>
                <w:rFonts w:cs="Arial"/>
                <w:szCs w:val="22"/>
                <w:lang w:eastAsia="es-CR"/>
              </w:rPr>
              <w:t>25</w:t>
            </w:r>
            <w:r>
              <w:rPr>
                <w:rFonts w:cs="Arial"/>
                <w:szCs w:val="22"/>
                <w:lang w:eastAsia="es-CR"/>
              </w:rPr>
              <w:t> </w:t>
            </w:r>
            <w:r w:rsidRPr="00624403">
              <w:rPr>
                <w:rFonts w:cs="Arial"/>
                <w:szCs w:val="22"/>
                <w:lang w:eastAsia="es-CR"/>
              </w:rPr>
              <w:t>913</w:t>
            </w:r>
            <w:r>
              <w:rPr>
                <w:rFonts w:cs="Arial"/>
                <w:szCs w:val="22"/>
                <w:lang w:eastAsia="es-CR"/>
              </w:rPr>
              <w:t xml:space="preserve"> 000</w:t>
            </w:r>
          </w:p>
        </w:tc>
        <w:tc>
          <w:tcPr>
            <w:tcW w:w="2846" w:type="dxa"/>
          </w:tcPr>
          <w:p w14:paraId="55566DF8" w14:textId="77777777" w:rsidR="00F8432D" w:rsidRPr="00624403" w:rsidRDefault="00F8432D">
            <w:pPr>
              <w:spacing w:before="0" w:after="0"/>
              <w:rPr>
                <w:rFonts w:cs="Arial"/>
                <w:szCs w:val="22"/>
                <w:lang w:eastAsia="es-CR"/>
              </w:rPr>
            </w:pPr>
            <w:r>
              <w:rPr>
                <w:rFonts w:cs="Arial"/>
                <w:szCs w:val="22"/>
                <w:lang w:eastAsia="es-CR"/>
              </w:rPr>
              <w:t>Profesional administrativo 1 Contador para manejo de fondos de la Defensa Pública por concepto de costas (</w:t>
            </w:r>
            <w:r>
              <w:rPr>
                <w:szCs w:val="22"/>
              </w:rPr>
              <w:t>A</w:t>
            </w:r>
            <w:r w:rsidRPr="00033E65">
              <w:rPr>
                <w:szCs w:val="22"/>
              </w:rPr>
              <w:t>rtículo 47 del Código Procesal Agrario</w:t>
            </w:r>
            <w:r>
              <w:rPr>
                <w:szCs w:val="22"/>
              </w:rPr>
              <w:t>)</w:t>
            </w:r>
          </w:p>
        </w:tc>
      </w:tr>
    </w:tbl>
    <w:p w14:paraId="0EA04647" w14:textId="77777777" w:rsidR="001848F3" w:rsidRDefault="001848F3" w:rsidP="00F8432D">
      <w:pPr>
        <w:ind w:right="261"/>
        <w:rPr>
          <w:color w:val="000000"/>
          <w:szCs w:val="22"/>
        </w:rPr>
      </w:pPr>
    </w:p>
    <w:p w14:paraId="52AEBF38" w14:textId="77777777" w:rsidR="00EB1BE4" w:rsidRDefault="00EB1BE4" w:rsidP="00CF527E"/>
    <w:p w14:paraId="1384291D" w14:textId="77777777" w:rsidR="00EB1BE4" w:rsidRPr="00033E65" w:rsidRDefault="00EB1BE4" w:rsidP="00CF527E"/>
    <w:p w14:paraId="55B7EB1F" w14:textId="68640807" w:rsidR="00470E51" w:rsidRPr="00033E65" w:rsidRDefault="00EC5306" w:rsidP="00EC5306">
      <w:pPr>
        <w:pStyle w:val="Ttulo2"/>
        <w:numPr>
          <w:ilvl w:val="0"/>
          <w:numId w:val="0"/>
        </w:numPr>
      </w:pPr>
      <w:bookmarkStart w:id="234" w:name="_Toc132639574"/>
      <w:r>
        <w:t>18.2 Gasto</w:t>
      </w:r>
      <w:r w:rsidR="00470E51" w:rsidRPr="00033E65">
        <w:t xml:space="preserve"> Variable</w:t>
      </w:r>
      <w:bookmarkEnd w:id="234"/>
    </w:p>
    <w:p w14:paraId="274B4372" w14:textId="7E26F461" w:rsidR="00CF527E" w:rsidRPr="00033E65" w:rsidRDefault="00470E51" w:rsidP="00CF527E">
      <w:r w:rsidRPr="00033E65">
        <w:t xml:space="preserve">Con respecto al gasto variable se detecta como necesidad en el presente informe </w:t>
      </w:r>
      <w:r w:rsidR="0044361F" w:rsidRPr="00033E65">
        <w:t>y como antecedente de los informes de presupuesto</w:t>
      </w:r>
      <w:r w:rsidR="009565FA" w:rsidRPr="00033E65">
        <w:t xml:space="preserve"> de períodos anteriores</w:t>
      </w:r>
      <w:r w:rsidR="0044361F" w:rsidRPr="00033E65">
        <w:t xml:space="preserve">, se definen los siguientes: </w:t>
      </w:r>
      <w:r w:rsidR="00CF527E" w:rsidRPr="00033E65">
        <w:t xml:space="preserve"> </w:t>
      </w:r>
    </w:p>
    <w:p w14:paraId="0A2C45AC" w14:textId="77777777" w:rsidR="007A05EE" w:rsidRPr="00033E65" w:rsidRDefault="007A05EE" w:rsidP="00CF527E"/>
    <w:p w14:paraId="67BF33DF" w14:textId="6952DA5D" w:rsidR="007A05EE" w:rsidRPr="00033E65" w:rsidRDefault="007A05EE" w:rsidP="00BF3AAF">
      <w:pPr>
        <w:pStyle w:val="Prrafodelista"/>
        <w:numPr>
          <w:ilvl w:val="0"/>
          <w:numId w:val="48"/>
        </w:numPr>
      </w:pPr>
      <w:r w:rsidRPr="00033E65">
        <w:t xml:space="preserve">Reforzar con </w:t>
      </w:r>
      <w:r w:rsidR="0044361F" w:rsidRPr="00033E65">
        <w:t>un vehículo</w:t>
      </w:r>
      <w:r w:rsidRPr="00033E65">
        <w:t>, a las Administraciones Regionales de Limón, Turrialba, Pérez Zeledón, Pococí y San Carlos</w:t>
      </w:r>
      <w:r w:rsidR="00926BC4" w:rsidRPr="00033E65">
        <w:t xml:space="preserve">, asimismo con sus accesorios necesarios tales como lona, winch, instalación de winch, cadenas para llantas del vehículo, combustible, linga, servicio GPS, </w:t>
      </w:r>
      <w:r w:rsidR="00CA1EAA" w:rsidRPr="00033E65">
        <w:t xml:space="preserve">dispositivo de Peaje electrónico, mantenimiento de dispositivo de peaje, </w:t>
      </w:r>
      <w:r w:rsidR="00564FB2" w:rsidRPr="00033E65">
        <w:t>transporte dentro del país y cubre asientos.</w:t>
      </w:r>
    </w:p>
    <w:p w14:paraId="3F5BE81C" w14:textId="5337D5E1" w:rsidR="00BF3AAF" w:rsidRPr="00033E65" w:rsidRDefault="00BF3AAF" w:rsidP="00BF3AAF">
      <w:pPr>
        <w:pStyle w:val="Prrafodelista"/>
        <w:numPr>
          <w:ilvl w:val="0"/>
          <w:numId w:val="48"/>
        </w:numPr>
      </w:pPr>
      <w:r w:rsidRPr="00033E65">
        <w:t>Equipo de cómputo para ser utilizado por el persona</w:t>
      </w:r>
      <w:r w:rsidR="00FC72D7" w:rsidRPr="00033E65">
        <w:t>l</w:t>
      </w:r>
      <w:r w:rsidRPr="00033E65">
        <w:t xml:space="preserve"> adicional</w:t>
      </w:r>
      <w:r w:rsidR="00377FE4" w:rsidRPr="00033E65">
        <w:t xml:space="preserve"> que se destaca en el punto anterior.</w:t>
      </w:r>
    </w:p>
    <w:p w14:paraId="00386FEE" w14:textId="3C26E8AE" w:rsidR="00FC72D7" w:rsidRPr="00033E65" w:rsidRDefault="00377FE4" w:rsidP="00FC72D7">
      <w:pPr>
        <w:pStyle w:val="Prrafodelista"/>
        <w:numPr>
          <w:ilvl w:val="0"/>
          <w:numId w:val="48"/>
        </w:numPr>
      </w:pPr>
      <w:r w:rsidRPr="00033E65">
        <w:t xml:space="preserve">Mobiliario </w:t>
      </w:r>
      <w:r w:rsidR="00FC72D7" w:rsidRPr="00033E65">
        <w:t>para ser utilizado por el personal adicional que se destaca en el punto anterior.</w:t>
      </w:r>
    </w:p>
    <w:p w14:paraId="3BC1EAC9" w14:textId="4E5FB8F9" w:rsidR="00377FE4" w:rsidRPr="00033E65" w:rsidRDefault="004B1129" w:rsidP="00BF3AAF">
      <w:pPr>
        <w:pStyle w:val="Prrafodelista"/>
        <w:numPr>
          <w:ilvl w:val="0"/>
          <w:numId w:val="48"/>
        </w:numPr>
      </w:pPr>
      <w:r w:rsidRPr="00033E65">
        <w:t>Uniformes</w:t>
      </w:r>
      <w:r w:rsidR="00ED1A6F" w:rsidRPr="00033E65">
        <w:t>, capas</w:t>
      </w:r>
      <w:r w:rsidR="00926BC4" w:rsidRPr="00033E65">
        <w:t>, bloqueador solar, repelente, mangas protectoras</w:t>
      </w:r>
      <w:r w:rsidR="00062B35" w:rsidRPr="00033E65">
        <w:t xml:space="preserve"> y </w:t>
      </w:r>
      <w:r w:rsidR="00A37AD3" w:rsidRPr="00033E65">
        <w:t>bota</w:t>
      </w:r>
      <w:r w:rsidR="00062B35" w:rsidRPr="00033E65">
        <w:t>s</w:t>
      </w:r>
      <w:r w:rsidR="00A37AD3" w:rsidRPr="00033E65">
        <w:t xml:space="preserve"> de hule</w:t>
      </w:r>
      <w:r w:rsidRPr="00033E65">
        <w:t xml:space="preserve"> para </w:t>
      </w:r>
      <w:r w:rsidR="00ED1A6F" w:rsidRPr="00033E65">
        <w:t>los choferes destacados en el punto anterior.</w:t>
      </w:r>
    </w:p>
    <w:p w14:paraId="02F8C310" w14:textId="54E75D0B" w:rsidR="00ED1A6F" w:rsidRPr="00033E65" w:rsidRDefault="00A37AD3" w:rsidP="00BF3AAF">
      <w:pPr>
        <w:pStyle w:val="Prrafodelista"/>
        <w:numPr>
          <w:ilvl w:val="0"/>
          <w:numId w:val="48"/>
        </w:numPr>
      </w:pPr>
      <w:r w:rsidRPr="00033E65">
        <w:t xml:space="preserve">Viáticos </w:t>
      </w:r>
      <w:r w:rsidR="009565FA" w:rsidRPr="00033E65">
        <w:t>para los choferes.</w:t>
      </w:r>
    </w:p>
    <w:p w14:paraId="7810BDBB" w14:textId="6E15F784" w:rsidR="00CF527E" w:rsidRPr="00033E65" w:rsidRDefault="005D28DF" w:rsidP="00CF527E">
      <w:pPr>
        <w:pStyle w:val="Prrafodelista"/>
        <w:numPr>
          <w:ilvl w:val="0"/>
          <w:numId w:val="48"/>
        </w:numPr>
      </w:pPr>
      <w:r w:rsidRPr="00033E65">
        <w:t>Aspectos relacionados al mantenimiento de vehículos tales como, llantas, repuestos, mantenimiento correctivo, baterías para carros, lavado de carros</w:t>
      </w:r>
      <w:r w:rsidR="00926BC4" w:rsidRPr="00033E65">
        <w:t xml:space="preserve"> y </w:t>
      </w:r>
      <w:r w:rsidRPr="00033E65">
        <w:t>reparación de llantas</w:t>
      </w:r>
      <w:r w:rsidR="00926BC4" w:rsidRPr="00033E65">
        <w:t>.</w:t>
      </w:r>
    </w:p>
    <w:p w14:paraId="354BB6C8" w14:textId="77777777" w:rsidR="00CF527E" w:rsidRPr="00033E65" w:rsidRDefault="00CF527E" w:rsidP="00CF527E"/>
    <w:p w14:paraId="34AFD645" w14:textId="3724E2B3" w:rsidR="00CF527E" w:rsidRPr="00033E65" w:rsidRDefault="00EC5306" w:rsidP="00EC5306">
      <w:pPr>
        <w:pStyle w:val="Ttulo2"/>
        <w:numPr>
          <w:ilvl w:val="0"/>
          <w:numId w:val="0"/>
        </w:numPr>
      </w:pPr>
      <w:bookmarkStart w:id="235" w:name="_Toc132639575"/>
      <w:r>
        <w:t xml:space="preserve">18.3 </w:t>
      </w:r>
      <w:r w:rsidR="00CF527E" w:rsidRPr="00033E65">
        <w:t>Costo Estimado de la Propuesta</w:t>
      </w:r>
      <w:bookmarkEnd w:id="235"/>
      <w:r w:rsidR="00CF527E" w:rsidRPr="00033E65">
        <w:t xml:space="preserve"> </w:t>
      </w:r>
    </w:p>
    <w:p w14:paraId="58BBF712" w14:textId="77777777" w:rsidR="00CF527E" w:rsidRPr="00033E65" w:rsidRDefault="00CF527E" w:rsidP="00CF527E">
      <w:pPr>
        <w:rPr>
          <w:szCs w:val="22"/>
          <w:lang w:val="es-ES_tradnl"/>
        </w:rPr>
      </w:pPr>
      <w:r w:rsidRPr="00033E65">
        <w:rPr>
          <w:szCs w:val="22"/>
          <w:lang w:val="es-ES_tradnl"/>
        </w:rPr>
        <w:t>Los cálculos para cuantificar el impacto del Código Procesal Agrario se realizaron en función de la actual carga de trabajo y requerimiento de estructura, sin embrago se hace la observación de que existen datos que no han podido ser cuantificables por las limitaciones actuales de la información cargada en los sistemas informáticos. Por lo tanto, es imposible realizar estimaciones a futuro, sino existen los datos, para analizarlo.</w:t>
      </w:r>
    </w:p>
    <w:p w14:paraId="5CEE17A0" w14:textId="77777777" w:rsidR="00CF527E" w:rsidRPr="00033E65" w:rsidRDefault="00CF527E" w:rsidP="00274042">
      <w:pPr>
        <w:rPr>
          <w:szCs w:val="22"/>
          <w:lang w:val="es-ES_tradnl"/>
        </w:rPr>
      </w:pPr>
      <w:r w:rsidRPr="00033E65">
        <w:rPr>
          <w:szCs w:val="22"/>
          <w:lang w:val="es-ES_tradnl"/>
        </w:rPr>
        <w:t>Se debe valorar por parte de la Dirección de Gestión Humana, en los concursos que se generen que la asignación de nuevas plazas o nombramientos futuros en propiedad para el personal juzgador, tendrán como requisito asumir como parte de sus funciones, la conducción del vehículo asignado al despacho, para las diligencias que deba realizar fuera de la oficina.</w:t>
      </w:r>
    </w:p>
    <w:p w14:paraId="350D4F42" w14:textId="77777777" w:rsidR="00CF527E" w:rsidRPr="00033E65" w:rsidRDefault="00CF527E" w:rsidP="00CF527E">
      <w:pPr>
        <w:pStyle w:val="Ttulo"/>
        <w:spacing w:before="0" w:after="0"/>
        <w:ind w:left="720"/>
        <w:jc w:val="center"/>
        <w:rPr>
          <w:rFonts w:eastAsia="Times New Roman" w:cs="Arial"/>
          <w:iCs/>
          <w:spacing w:val="0"/>
          <w:szCs w:val="28"/>
          <w:lang w:val="es-CR" w:eastAsia="es-ES"/>
        </w:rPr>
      </w:pPr>
    </w:p>
    <w:p w14:paraId="3EB00EAF" w14:textId="4F44A968" w:rsidR="00CF527E" w:rsidRPr="009155A4" w:rsidRDefault="009155A4" w:rsidP="009155A4">
      <w:pPr>
        <w:spacing w:before="0" w:after="160" w:line="259" w:lineRule="auto"/>
        <w:jc w:val="left"/>
        <w:rPr>
          <w:rFonts w:cs="Arial"/>
          <w:b/>
          <w:iCs/>
          <w:color w:val="244061" w:themeColor="accent1" w:themeShade="80"/>
          <w:sz w:val="24"/>
          <w:szCs w:val="28"/>
        </w:rPr>
      </w:pPr>
      <w:r>
        <w:rPr>
          <w:rFonts w:cs="Arial"/>
          <w:iCs/>
          <w:szCs w:val="28"/>
        </w:rPr>
        <w:br w:type="page"/>
      </w:r>
    </w:p>
    <w:p w14:paraId="033025D2" w14:textId="77777777" w:rsidR="00CF527E" w:rsidRPr="00033E65" w:rsidRDefault="00CF527E" w:rsidP="00CF527E">
      <w:pPr>
        <w:pStyle w:val="Ttulo"/>
        <w:spacing w:before="0" w:after="0"/>
        <w:ind w:left="720"/>
        <w:jc w:val="center"/>
        <w:rPr>
          <w:rFonts w:eastAsia="Times New Roman" w:cs="Arial"/>
          <w:iCs/>
          <w:spacing w:val="0"/>
          <w:szCs w:val="28"/>
          <w:lang w:val="es-CR" w:eastAsia="es-ES"/>
        </w:rPr>
      </w:pPr>
      <w:r w:rsidRPr="00033E65">
        <w:rPr>
          <w:rFonts w:eastAsia="Times New Roman" w:cs="Arial"/>
          <w:iCs/>
          <w:spacing w:val="0"/>
          <w:szCs w:val="28"/>
          <w:lang w:val="es-CR" w:eastAsia="es-ES"/>
        </w:rPr>
        <w:t>Cuadro 29</w:t>
      </w:r>
    </w:p>
    <w:p w14:paraId="69279F63" w14:textId="56DBCE24" w:rsidR="00CF527E" w:rsidRPr="00033E65" w:rsidRDefault="005265E7" w:rsidP="00CF527E">
      <w:pPr>
        <w:pStyle w:val="Ttulo"/>
        <w:spacing w:before="0"/>
        <w:ind w:left="720"/>
        <w:jc w:val="center"/>
        <w:rPr>
          <w:rFonts w:eastAsia="Times New Roman" w:cs="Arial"/>
          <w:iCs/>
          <w:spacing w:val="0"/>
          <w:szCs w:val="28"/>
          <w:lang w:val="es-CR" w:eastAsia="es-ES"/>
        </w:rPr>
      </w:pPr>
      <w:r w:rsidRPr="00033E65">
        <w:rPr>
          <w:rFonts w:eastAsia="Times New Roman" w:cs="Arial"/>
          <w:iCs/>
          <w:spacing w:val="0"/>
          <w:szCs w:val="28"/>
          <w:lang w:val="es-CR" w:eastAsia="es-ES"/>
        </w:rPr>
        <w:t>Costo estimado de r</w:t>
      </w:r>
      <w:r w:rsidR="00CF527E" w:rsidRPr="00033E65">
        <w:rPr>
          <w:rFonts w:eastAsia="Times New Roman" w:cs="Arial"/>
          <w:iCs/>
          <w:spacing w:val="0"/>
          <w:szCs w:val="28"/>
          <w:lang w:val="es-CR" w:eastAsia="es-ES"/>
        </w:rPr>
        <w:t xml:space="preserve">ecurso </w:t>
      </w:r>
      <w:r w:rsidRPr="00033E65">
        <w:rPr>
          <w:rFonts w:eastAsia="Times New Roman" w:cs="Arial"/>
          <w:iCs/>
          <w:spacing w:val="0"/>
          <w:szCs w:val="28"/>
          <w:lang w:val="es-CR" w:eastAsia="es-ES"/>
        </w:rPr>
        <w:t>h</w:t>
      </w:r>
      <w:r w:rsidR="00CF527E" w:rsidRPr="00033E65">
        <w:rPr>
          <w:rFonts w:eastAsia="Times New Roman" w:cs="Arial"/>
          <w:iCs/>
          <w:spacing w:val="0"/>
          <w:szCs w:val="28"/>
          <w:lang w:val="es-CR" w:eastAsia="es-ES"/>
        </w:rPr>
        <w:t>umano Requerido</w:t>
      </w:r>
      <w:r w:rsidRPr="00033E65">
        <w:rPr>
          <w:rFonts w:eastAsia="Times New Roman" w:cs="Arial"/>
          <w:iCs/>
          <w:spacing w:val="0"/>
          <w:szCs w:val="28"/>
          <w:lang w:val="es-CR" w:eastAsia="es-ES"/>
        </w:rPr>
        <w:t xml:space="preserve"> para presupuesto 2024</w:t>
      </w:r>
    </w:p>
    <w:tbl>
      <w:tblPr>
        <w:tblW w:w="5974" w:type="pct"/>
        <w:jc w:val="center"/>
        <w:tblCellMar>
          <w:left w:w="70" w:type="dxa"/>
          <w:right w:w="70" w:type="dxa"/>
        </w:tblCellMar>
        <w:tblLook w:val="04A0" w:firstRow="1" w:lastRow="0" w:firstColumn="1" w:lastColumn="0" w:noHBand="0" w:noVBand="1"/>
      </w:tblPr>
      <w:tblGrid>
        <w:gridCol w:w="1988"/>
        <w:gridCol w:w="1069"/>
        <w:gridCol w:w="1430"/>
        <w:gridCol w:w="1655"/>
        <w:gridCol w:w="923"/>
        <w:gridCol w:w="1772"/>
        <w:gridCol w:w="1668"/>
      </w:tblGrid>
      <w:tr w:rsidR="00CF527E" w:rsidRPr="00033E65" w14:paraId="1B7D8407" w14:textId="77777777">
        <w:trPr>
          <w:trHeight w:val="600"/>
          <w:tblHeader/>
          <w:jc w:val="center"/>
        </w:trPr>
        <w:tc>
          <w:tcPr>
            <w:tcW w:w="998" w:type="pct"/>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301A785A" w14:textId="77777777"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Despacho</w:t>
            </w:r>
          </w:p>
        </w:tc>
        <w:tc>
          <w:tcPr>
            <w:tcW w:w="509" w:type="pct"/>
            <w:tcBorders>
              <w:top w:val="double" w:sz="6" w:space="0" w:color="366092"/>
              <w:left w:val="nil"/>
              <w:bottom w:val="double" w:sz="6" w:space="0" w:color="366092"/>
              <w:right w:val="double" w:sz="6" w:space="0" w:color="366092"/>
            </w:tcBorders>
            <w:shd w:val="clear" w:color="000000" w:fill="0673A5"/>
            <w:vAlign w:val="center"/>
            <w:hideMark/>
          </w:tcPr>
          <w:p w14:paraId="0287E7F2" w14:textId="77777777"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Cantidad</w:t>
            </w:r>
          </w:p>
        </w:tc>
        <w:tc>
          <w:tcPr>
            <w:tcW w:w="681" w:type="pct"/>
            <w:tcBorders>
              <w:top w:val="double" w:sz="6" w:space="0" w:color="366092"/>
              <w:left w:val="nil"/>
              <w:bottom w:val="double" w:sz="6" w:space="0" w:color="366092"/>
              <w:right w:val="double" w:sz="6" w:space="0" w:color="366092"/>
            </w:tcBorders>
            <w:shd w:val="clear" w:color="000000" w:fill="0673A5"/>
            <w:vAlign w:val="center"/>
            <w:hideMark/>
          </w:tcPr>
          <w:p w14:paraId="32D9DAD3" w14:textId="77777777"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Tipo de plaza</w:t>
            </w:r>
          </w:p>
        </w:tc>
        <w:tc>
          <w:tcPr>
            <w:tcW w:w="788" w:type="pct"/>
            <w:tcBorders>
              <w:top w:val="double" w:sz="6" w:space="0" w:color="366092"/>
              <w:left w:val="nil"/>
              <w:bottom w:val="double" w:sz="6" w:space="0" w:color="366092"/>
              <w:right w:val="double" w:sz="6" w:space="0" w:color="366092"/>
            </w:tcBorders>
            <w:shd w:val="clear" w:color="000000" w:fill="0673A5"/>
            <w:vAlign w:val="center"/>
            <w:hideMark/>
          </w:tcPr>
          <w:p w14:paraId="6AAC9510" w14:textId="77777777"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Condición</w:t>
            </w:r>
          </w:p>
        </w:tc>
        <w:tc>
          <w:tcPr>
            <w:tcW w:w="440" w:type="pct"/>
            <w:tcBorders>
              <w:top w:val="double" w:sz="6" w:space="0" w:color="366092"/>
              <w:left w:val="nil"/>
              <w:bottom w:val="double" w:sz="6" w:space="0" w:color="366092"/>
              <w:right w:val="double" w:sz="6" w:space="0" w:color="366092"/>
            </w:tcBorders>
            <w:shd w:val="clear" w:color="000000" w:fill="0673A5"/>
            <w:vAlign w:val="center"/>
            <w:hideMark/>
          </w:tcPr>
          <w:p w14:paraId="79DF716F" w14:textId="77777777"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Período</w:t>
            </w:r>
          </w:p>
        </w:tc>
        <w:tc>
          <w:tcPr>
            <w:tcW w:w="791" w:type="pct"/>
            <w:tcBorders>
              <w:top w:val="double" w:sz="6" w:space="0" w:color="366092"/>
              <w:left w:val="nil"/>
              <w:bottom w:val="double" w:sz="6" w:space="0" w:color="366092"/>
              <w:right w:val="double" w:sz="6" w:space="0" w:color="366092"/>
            </w:tcBorders>
            <w:shd w:val="clear" w:color="000000" w:fill="0673A5"/>
            <w:vAlign w:val="center"/>
            <w:hideMark/>
          </w:tcPr>
          <w:p w14:paraId="0C0F9B60" w14:textId="77777777"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Costo total</w:t>
            </w:r>
          </w:p>
        </w:tc>
        <w:tc>
          <w:tcPr>
            <w:tcW w:w="794" w:type="pct"/>
            <w:tcBorders>
              <w:top w:val="double" w:sz="6" w:space="0" w:color="366092"/>
              <w:left w:val="nil"/>
              <w:bottom w:val="double" w:sz="6" w:space="0" w:color="366092"/>
              <w:right w:val="double" w:sz="6" w:space="0" w:color="366092"/>
            </w:tcBorders>
            <w:shd w:val="clear" w:color="000000" w:fill="0673A5"/>
            <w:vAlign w:val="center"/>
            <w:hideMark/>
          </w:tcPr>
          <w:p w14:paraId="4DC862A7" w14:textId="77777777"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Detalle</w:t>
            </w:r>
          </w:p>
        </w:tc>
      </w:tr>
      <w:tr w:rsidR="00CF527E" w:rsidRPr="00033E65" w14:paraId="029A8083" w14:textId="77777777">
        <w:trPr>
          <w:trHeight w:val="263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393EAE7A"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Juzgado Civil, Trabajo, Agrario, Familia, Penal Juvenil, Contra la Violencia Doméstica y Protección Cautelar II Circuito Judicial de Alajuela, sede Upala</w:t>
            </w:r>
          </w:p>
        </w:tc>
        <w:tc>
          <w:tcPr>
            <w:tcW w:w="509" w:type="pct"/>
            <w:tcBorders>
              <w:top w:val="nil"/>
              <w:left w:val="nil"/>
              <w:bottom w:val="double" w:sz="6" w:space="0" w:color="1F497D"/>
              <w:right w:val="double" w:sz="6" w:space="0" w:color="1F497D"/>
            </w:tcBorders>
            <w:shd w:val="clear" w:color="auto" w:fill="auto"/>
            <w:vAlign w:val="center"/>
            <w:hideMark/>
          </w:tcPr>
          <w:p w14:paraId="34B83F0F" w14:textId="77777777" w:rsidR="00CF527E" w:rsidRPr="00033E65" w:rsidRDefault="00CF527E">
            <w:pPr>
              <w:spacing w:before="0" w:after="0"/>
              <w:jc w:val="center"/>
              <w:rPr>
                <w:rFonts w:cs="Calibri"/>
                <w:color w:val="000000"/>
                <w:szCs w:val="22"/>
                <w:lang w:eastAsia="es-CR"/>
              </w:rPr>
            </w:pPr>
            <w:r w:rsidRPr="00033E65">
              <w:rPr>
                <w:rFonts w:cs="Calibri"/>
                <w:color w:val="000000"/>
                <w:szCs w:val="22"/>
                <w:lang w:eastAsia="es-CR"/>
              </w:rPr>
              <w:t>1</w:t>
            </w:r>
          </w:p>
        </w:tc>
        <w:tc>
          <w:tcPr>
            <w:tcW w:w="681" w:type="pct"/>
            <w:tcBorders>
              <w:top w:val="nil"/>
              <w:left w:val="nil"/>
              <w:bottom w:val="double" w:sz="6" w:space="0" w:color="1F497D"/>
              <w:right w:val="double" w:sz="6" w:space="0" w:color="1F497D"/>
            </w:tcBorders>
            <w:shd w:val="clear" w:color="auto" w:fill="auto"/>
            <w:vAlign w:val="center"/>
            <w:hideMark/>
          </w:tcPr>
          <w:p w14:paraId="1B57F9E5" w14:textId="77777777" w:rsidR="00CF527E" w:rsidRPr="00033E65" w:rsidRDefault="00CF527E">
            <w:pPr>
              <w:spacing w:before="0" w:after="0"/>
              <w:jc w:val="center"/>
              <w:rPr>
                <w:rFonts w:cs="Calibri"/>
                <w:color w:val="000000"/>
                <w:szCs w:val="22"/>
                <w:lang w:eastAsia="es-CR"/>
              </w:rPr>
            </w:pPr>
            <w:r w:rsidRPr="00033E65">
              <w:rPr>
                <w:rFonts w:cs="Calibri"/>
                <w:color w:val="000000"/>
                <w:szCs w:val="22"/>
                <w:lang w:eastAsia="es-CR"/>
              </w:rPr>
              <w:t>Jueza o Juez 3</w:t>
            </w:r>
          </w:p>
        </w:tc>
        <w:tc>
          <w:tcPr>
            <w:tcW w:w="788" w:type="pct"/>
            <w:tcBorders>
              <w:top w:val="nil"/>
              <w:left w:val="nil"/>
              <w:bottom w:val="double" w:sz="6" w:space="0" w:color="1F497D"/>
              <w:right w:val="double" w:sz="6" w:space="0" w:color="1F497D"/>
            </w:tcBorders>
            <w:shd w:val="clear" w:color="auto" w:fill="auto"/>
            <w:vAlign w:val="center"/>
            <w:hideMark/>
          </w:tcPr>
          <w:p w14:paraId="191A78B2" w14:textId="77777777" w:rsidR="00CF527E" w:rsidRPr="00033E65" w:rsidRDefault="00CF527E">
            <w:pPr>
              <w:spacing w:before="0" w:after="0"/>
              <w:jc w:val="center"/>
              <w:rPr>
                <w:rFonts w:cs="Calibri"/>
                <w:color w:val="000000"/>
                <w:szCs w:val="22"/>
                <w:lang w:eastAsia="es-CR"/>
              </w:rPr>
            </w:pPr>
            <w:r w:rsidRPr="00033E65">
              <w:rPr>
                <w:rFonts w:cs="Calibri"/>
                <w:color w:val="000000"/>
                <w:szCs w:val="22"/>
                <w:lang w:eastAsia="es-CR"/>
              </w:rPr>
              <w:t>Ordinaria</w:t>
            </w:r>
          </w:p>
        </w:tc>
        <w:tc>
          <w:tcPr>
            <w:tcW w:w="440" w:type="pct"/>
            <w:tcBorders>
              <w:top w:val="nil"/>
              <w:left w:val="nil"/>
              <w:bottom w:val="double" w:sz="6" w:space="0" w:color="1F497D"/>
              <w:right w:val="double" w:sz="6" w:space="0" w:color="1F497D"/>
            </w:tcBorders>
            <w:shd w:val="clear" w:color="auto" w:fill="auto"/>
            <w:vAlign w:val="center"/>
            <w:hideMark/>
          </w:tcPr>
          <w:p w14:paraId="2795087A" w14:textId="77777777" w:rsidR="00CF527E" w:rsidRPr="00033E65" w:rsidRDefault="00CF527E">
            <w:pPr>
              <w:spacing w:before="0" w:after="0"/>
              <w:jc w:val="center"/>
              <w:rPr>
                <w:rFonts w:cs="Calibri"/>
                <w:color w:val="000000"/>
                <w:szCs w:val="22"/>
                <w:lang w:eastAsia="es-CR"/>
              </w:rPr>
            </w:pPr>
            <w:r w:rsidRPr="00033E65">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hideMark/>
          </w:tcPr>
          <w:p w14:paraId="1B72F28F"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₡54.293.000,00 </w:t>
            </w:r>
          </w:p>
        </w:tc>
        <w:tc>
          <w:tcPr>
            <w:tcW w:w="794" w:type="pct"/>
            <w:tcBorders>
              <w:top w:val="nil"/>
              <w:left w:val="nil"/>
              <w:bottom w:val="double" w:sz="6" w:space="0" w:color="1F497D"/>
              <w:right w:val="double" w:sz="6" w:space="0" w:color="1F497D"/>
            </w:tcBorders>
            <w:shd w:val="clear" w:color="auto" w:fill="auto"/>
            <w:vAlign w:val="center"/>
            <w:hideMark/>
          </w:tcPr>
          <w:p w14:paraId="23D0214E"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 xml:space="preserve">Jueza o Juez 3 Agrario adscrita a la Jurisdicción Agraria  </w:t>
            </w:r>
          </w:p>
        </w:tc>
      </w:tr>
      <w:tr w:rsidR="00CF527E" w:rsidRPr="00033E65" w14:paraId="0E41FB50" w14:textId="77777777">
        <w:trPr>
          <w:trHeight w:val="118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7C40C687"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 xml:space="preserve">Tribunal Agrario </w:t>
            </w:r>
          </w:p>
        </w:tc>
        <w:tc>
          <w:tcPr>
            <w:tcW w:w="509" w:type="pct"/>
            <w:tcBorders>
              <w:top w:val="nil"/>
              <w:left w:val="nil"/>
              <w:bottom w:val="double" w:sz="6" w:space="0" w:color="1F497D"/>
              <w:right w:val="double" w:sz="6" w:space="0" w:color="1F497D"/>
            </w:tcBorders>
            <w:shd w:val="clear" w:color="auto" w:fill="auto"/>
            <w:vAlign w:val="center"/>
            <w:hideMark/>
          </w:tcPr>
          <w:p w14:paraId="5C0D17F0" w14:textId="77777777" w:rsidR="00CF527E" w:rsidRPr="00033E65" w:rsidRDefault="00CF527E">
            <w:pPr>
              <w:spacing w:before="0" w:after="0"/>
              <w:jc w:val="center"/>
              <w:rPr>
                <w:rFonts w:cs="Calibri"/>
                <w:color w:val="000000"/>
                <w:szCs w:val="22"/>
                <w:lang w:eastAsia="es-CR"/>
              </w:rPr>
            </w:pPr>
            <w:r w:rsidRPr="00033E65">
              <w:rPr>
                <w:rFonts w:cs="Calibri"/>
                <w:color w:val="000000"/>
                <w:szCs w:val="22"/>
                <w:lang w:eastAsia="es-CR"/>
              </w:rPr>
              <w:t>7</w:t>
            </w:r>
          </w:p>
        </w:tc>
        <w:tc>
          <w:tcPr>
            <w:tcW w:w="681" w:type="pct"/>
            <w:tcBorders>
              <w:top w:val="nil"/>
              <w:left w:val="nil"/>
              <w:bottom w:val="double" w:sz="6" w:space="0" w:color="1F497D"/>
              <w:right w:val="double" w:sz="6" w:space="0" w:color="1F497D"/>
            </w:tcBorders>
            <w:shd w:val="clear" w:color="auto" w:fill="auto"/>
            <w:vAlign w:val="center"/>
            <w:hideMark/>
          </w:tcPr>
          <w:p w14:paraId="7D5C3C82" w14:textId="77777777" w:rsidR="00CF527E" w:rsidRPr="00033E65" w:rsidRDefault="00CF527E">
            <w:pPr>
              <w:spacing w:before="0" w:after="0"/>
              <w:jc w:val="center"/>
              <w:rPr>
                <w:rFonts w:cs="Calibri"/>
                <w:color w:val="000000"/>
                <w:szCs w:val="22"/>
                <w:lang w:eastAsia="es-CR"/>
              </w:rPr>
            </w:pPr>
            <w:r w:rsidRPr="00033E65">
              <w:rPr>
                <w:rFonts w:cs="Calibri"/>
                <w:color w:val="000000"/>
                <w:szCs w:val="22"/>
                <w:lang w:eastAsia="es-CR"/>
              </w:rPr>
              <w:t>Reasignación de Juez 4 a Juez 5</w:t>
            </w:r>
          </w:p>
        </w:tc>
        <w:tc>
          <w:tcPr>
            <w:tcW w:w="788" w:type="pct"/>
            <w:tcBorders>
              <w:top w:val="nil"/>
              <w:left w:val="nil"/>
              <w:bottom w:val="double" w:sz="6" w:space="0" w:color="1F497D"/>
              <w:right w:val="double" w:sz="6" w:space="0" w:color="1F497D"/>
            </w:tcBorders>
            <w:shd w:val="clear" w:color="auto" w:fill="auto"/>
            <w:vAlign w:val="center"/>
            <w:hideMark/>
          </w:tcPr>
          <w:p w14:paraId="568A3DC3" w14:textId="77777777" w:rsidR="00CF527E" w:rsidRPr="00033E65" w:rsidRDefault="00CF527E">
            <w:pPr>
              <w:spacing w:before="0" w:after="0"/>
              <w:jc w:val="center"/>
              <w:rPr>
                <w:rFonts w:cs="Calibri"/>
                <w:color w:val="000000"/>
                <w:szCs w:val="22"/>
                <w:lang w:eastAsia="es-CR"/>
              </w:rPr>
            </w:pPr>
            <w:r w:rsidRPr="00033E65">
              <w:rPr>
                <w:rFonts w:cs="Calibri"/>
                <w:color w:val="000000"/>
                <w:szCs w:val="22"/>
                <w:lang w:eastAsia="es-CR"/>
              </w:rPr>
              <w:t>Ordinaria</w:t>
            </w:r>
          </w:p>
        </w:tc>
        <w:tc>
          <w:tcPr>
            <w:tcW w:w="440" w:type="pct"/>
            <w:tcBorders>
              <w:top w:val="nil"/>
              <w:left w:val="nil"/>
              <w:bottom w:val="double" w:sz="6" w:space="0" w:color="1F497D"/>
              <w:right w:val="double" w:sz="6" w:space="0" w:color="1F497D"/>
            </w:tcBorders>
            <w:shd w:val="clear" w:color="auto" w:fill="auto"/>
            <w:vAlign w:val="center"/>
            <w:hideMark/>
          </w:tcPr>
          <w:p w14:paraId="10704978" w14:textId="77777777" w:rsidR="00CF527E" w:rsidRPr="00033E65" w:rsidRDefault="00CF527E">
            <w:pPr>
              <w:spacing w:before="0" w:after="0"/>
              <w:jc w:val="center"/>
              <w:rPr>
                <w:rFonts w:cs="Calibri"/>
                <w:color w:val="000000"/>
                <w:szCs w:val="22"/>
                <w:lang w:eastAsia="es-CR"/>
              </w:rPr>
            </w:pPr>
            <w:r w:rsidRPr="00033E65">
              <w:rPr>
                <w:rFonts w:cs="Calibri"/>
                <w:color w:val="000000"/>
                <w:szCs w:val="22"/>
                <w:lang w:eastAsia="es-CR"/>
              </w:rPr>
              <w:t xml:space="preserve">12 meses </w:t>
            </w:r>
          </w:p>
        </w:tc>
        <w:tc>
          <w:tcPr>
            <w:tcW w:w="791" w:type="pct"/>
            <w:tcBorders>
              <w:top w:val="nil"/>
              <w:left w:val="nil"/>
              <w:bottom w:val="double" w:sz="6" w:space="0" w:color="1F497D"/>
              <w:right w:val="double" w:sz="6" w:space="0" w:color="1F497D"/>
            </w:tcBorders>
            <w:shd w:val="clear" w:color="auto" w:fill="auto"/>
            <w:vAlign w:val="center"/>
            <w:hideMark/>
          </w:tcPr>
          <w:p w14:paraId="3EBF3C16"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₡49.287.000,00</w:t>
            </w:r>
          </w:p>
        </w:tc>
        <w:tc>
          <w:tcPr>
            <w:tcW w:w="794" w:type="pct"/>
            <w:tcBorders>
              <w:top w:val="nil"/>
              <w:left w:val="nil"/>
              <w:bottom w:val="double" w:sz="6" w:space="0" w:color="1F497D"/>
              <w:right w:val="double" w:sz="6" w:space="0" w:color="1F497D"/>
            </w:tcBorders>
            <w:shd w:val="clear" w:color="auto" w:fill="auto"/>
            <w:vAlign w:val="center"/>
            <w:hideMark/>
          </w:tcPr>
          <w:p w14:paraId="4970FA5F"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Siete plazas del Tribunal Agrario</w:t>
            </w:r>
          </w:p>
        </w:tc>
      </w:tr>
      <w:tr w:rsidR="00CF527E" w:rsidRPr="00033E65" w14:paraId="30E959C5" w14:textId="77777777">
        <w:trPr>
          <w:trHeight w:val="600"/>
          <w:jc w:val="center"/>
        </w:trPr>
        <w:tc>
          <w:tcPr>
            <w:tcW w:w="998" w:type="pct"/>
            <w:tcBorders>
              <w:top w:val="nil"/>
              <w:left w:val="double" w:sz="6" w:space="0" w:color="1F497D"/>
              <w:bottom w:val="double" w:sz="6" w:space="0" w:color="1F497D"/>
              <w:right w:val="double" w:sz="6" w:space="0" w:color="1F497D"/>
            </w:tcBorders>
            <w:shd w:val="clear" w:color="auto" w:fill="auto"/>
            <w:vAlign w:val="center"/>
          </w:tcPr>
          <w:p w14:paraId="1452D5A7" w14:textId="77777777" w:rsidR="00CF527E" w:rsidRPr="00033E65" w:rsidRDefault="00CF527E">
            <w:pPr>
              <w:spacing w:before="0" w:after="0"/>
              <w:jc w:val="left"/>
              <w:rPr>
                <w:rFonts w:cs="Calibri"/>
                <w:color w:val="000000"/>
                <w:szCs w:val="22"/>
                <w:lang w:eastAsia="es-CR"/>
              </w:rPr>
            </w:pPr>
            <w:r w:rsidRPr="00033E65">
              <w:rPr>
                <w:rStyle w:val="normaltextrun"/>
                <w:color w:val="000000"/>
                <w:szCs w:val="22"/>
                <w:shd w:val="clear" w:color="auto" w:fill="FFFFFF"/>
              </w:rPr>
              <w:t>Centro de Apoyo Coordinación y Mejoramiento de la Función Jurisdiccional</w:t>
            </w:r>
            <w:r w:rsidRPr="00033E65">
              <w:rPr>
                <w:rStyle w:val="eop"/>
                <w:rFonts w:eastAsiaTheme="majorEastAsia"/>
                <w:color w:val="000000"/>
                <w:szCs w:val="22"/>
                <w:shd w:val="clear" w:color="auto" w:fill="FFFFFF"/>
              </w:rPr>
              <w:t> </w:t>
            </w:r>
          </w:p>
        </w:tc>
        <w:tc>
          <w:tcPr>
            <w:tcW w:w="509" w:type="pct"/>
            <w:tcBorders>
              <w:top w:val="nil"/>
              <w:left w:val="nil"/>
              <w:bottom w:val="double" w:sz="6" w:space="0" w:color="1F497D"/>
              <w:right w:val="double" w:sz="6" w:space="0" w:color="1F497D"/>
            </w:tcBorders>
            <w:shd w:val="clear" w:color="auto" w:fill="auto"/>
            <w:vAlign w:val="center"/>
          </w:tcPr>
          <w:p w14:paraId="48DB13E0" w14:textId="77777777" w:rsidR="00CF527E" w:rsidRPr="00033E65" w:rsidRDefault="00CF527E">
            <w:pPr>
              <w:spacing w:before="0" w:after="0"/>
              <w:jc w:val="center"/>
              <w:rPr>
                <w:rFonts w:cs="Calibri"/>
                <w:color w:val="000000"/>
                <w:szCs w:val="22"/>
                <w:lang w:eastAsia="es-CR"/>
              </w:rPr>
            </w:pPr>
            <w:r w:rsidRPr="00033E65">
              <w:rPr>
                <w:rFonts w:cs="Calibri"/>
                <w:color w:val="000000"/>
                <w:szCs w:val="22"/>
                <w:lang w:eastAsia="es-CR"/>
              </w:rPr>
              <w:t>4</w:t>
            </w:r>
          </w:p>
        </w:tc>
        <w:tc>
          <w:tcPr>
            <w:tcW w:w="681" w:type="pct"/>
            <w:tcBorders>
              <w:top w:val="nil"/>
              <w:left w:val="nil"/>
              <w:bottom w:val="double" w:sz="6" w:space="0" w:color="1F497D"/>
              <w:right w:val="double" w:sz="6" w:space="0" w:color="1F497D"/>
            </w:tcBorders>
            <w:shd w:val="clear" w:color="auto" w:fill="auto"/>
            <w:vAlign w:val="center"/>
          </w:tcPr>
          <w:p w14:paraId="179658A9" w14:textId="77777777" w:rsidR="00CF527E" w:rsidRPr="00033E65" w:rsidRDefault="00CF527E">
            <w:pPr>
              <w:spacing w:before="0" w:after="0"/>
              <w:jc w:val="center"/>
              <w:rPr>
                <w:rFonts w:cs="Calibri"/>
                <w:color w:val="000000"/>
                <w:szCs w:val="22"/>
                <w:lang w:eastAsia="es-CR"/>
              </w:rPr>
            </w:pPr>
            <w:r w:rsidRPr="00033E65">
              <w:rPr>
                <w:rStyle w:val="normaltextrun"/>
                <w:color w:val="000000"/>
                <w:szCs w:val="22"/>
                <w:shd w:val="clear" w:color="auto" w:fill="FFFFFF"/>
              </w:rPr>
              <w:t>Jueza o Juez 3</w:t>
            </w:r>
            <w:r w:rsidRPr="00033E65">
              <w:rPr>
                <w:rStyle w:val="eop"/>
                <w:rFonts w:eastAsiaTheme="majorEastAsia"/>
                <w:color w:val="000000"/>
                <w:szCs w:val="22"/>
                <w:shd w:val="clear" w:color="auto" w:fill="FFFFFF"/>
              </w:rPr>
              <w:t> </w:t>
            </w:r>
          </w:p>
        </w:tc>
        <w:tc>
          <w:tcPr>
            <w:tcW w:w="788" w:type="pct"/>
            <w:tcBorders>
              <w:top w:val="nil"/>
              <w:left w:val="nil"/>
              <w:bottom w:val="double" w:sz="6" w:space="0" w:color="1F497D"/>
              <w:right w:val="double" w:sz="6" w:space="0" w:color="1F497D"/>
            </w:tcBorders>
            <w:shd w:val="clear" w:color="auto" w:fill="auto"/>
            <w:vAlign w:val="center"/>
          </w:tcPr>
          <w:p w14:paraId="7DD40E87" w14:textId="77777777" w:rsidR="00CF527E" w:rsidRPr="00033E65" w:rsidRDefault="00CF527E">
            <w:pPr>
              <w:spacing w:before="0" w:after="0"/>
              <w:jc w:val="center"/>
              <w:rPr>
                <w:rFonts w:cs="Calibri"/>
                <w:color w:val="000000"/>
                <w:szCs w:val="22"/>
                <w:lang w:eastAsia="es-CR"/>
              </w:rPr>
            </w:pPr>
            <w:r w:rsidRPr="00033E65">
              <w:rPr>
                <w:rStyle w:val="normaltextrun"/>
                <w:color w:val="000000"/>
                <w:szCs w:val="22"/>
                <w:shd w:val="clear" w:color="auto" w:fill="FFFFFF"/>
              </w:rPr>
              <w:t>Extraordinaria</w:t>
            </w:r>
            <w:r w:rsidRPr="00033E65">
              <w:rPr>
                <w:rStyle w:val="eop"/>
                <w:rFonts w:eastAsiaTheme="majorEastAsia"/>
                <w:color w:val="000000"/>
                <w:szCs w:val="22"/>
                <w:shd w:val="clear" w:color="auto" w:fill="FFFFFF"/>
              </w:rPr>
              <w:t> </w:t>
            </w:r>
          </w:p>
        </w:tc>
        <w:tc>
          <w:tcPr>
            <w:tcW w:w="440" w:type="pct"/>
            <w:tcBorders>
              <w:top w:val="nil"/>
              <w:left w:val="nil"/>
              <w:bottom w:val="double" w:sz="6" w:space="0" w:color="1F497D"/>
              <w:right w:val="double" w:sz="6" w:space="0" w:color="1F497D"/>
            </w:tcBorders>
            <w:shd w:val="clear" w:color="auto" w:fill="auto"/>
            <w:vAlign w:val="center"/>
          </w:tcPr>
          <w:p w14:paraId="4B3E47A7" w14:textId="77777777" w:rsidR="00CF527E" w:rsidRPr="00033E65" w:rsidRDefault="00CF527E">
            <w:pPr>
              <w:spacing w:before="0" w:after="0"/>
              <w:jc w:val="center"/>
              <w:rPr>
                <w:rFonts w:cs="Calibri"/>
                <w:color w:val="000000"/>
                <w:szCs w:val="22"/>
                <w:lang w:eastAsia="es-CR"/>
              </w:rPr>
            </w:pPr>
            <w:r w:rsidRPr="00033E65">
              <w:rPr>
                <w:rStyle w:val="normaltextrun"/>
                <w:color w:val="000000"/>
                <w:szCs w:val="22"/>
                <w:shd w:val="clear" w:color="auto" w:fill="FFFFFF"/>
              </w:rPr>
              <w:t>12 meses</w:t>
            </w:r>
            <w:r w:rsidRPr="00033E65">
              <w:rPr>
                <w:rStyle w:val="eop"/>
                <w:rFonts w:eastAsiaTheme="majorEastAsia"/>
                <w:color w:val="000000"/>
                <w:szCs w:val="22"/>
                <w:shd w:val="clear" w:color="auto" w:fill="FFFFFF"/>
              </w:rPr>
              <w:t> </w:t>
            </w:r>
          </w:p>
        </w:tc>
        <w:tc>
          <w:tcPr>
            <w:tcW w:w="791" w:type="pct"/>
            <w:tcBorders>
              <w:top w:val="nil"/>
              <w:left w:val="nil"/>
              <w:bottom w:val="double" w:sz="6" w:space="0" w:color="1F497D"/>
              <w:right w:val="double" w:sz="6" w:space="0" w:color="1F497D"/>
            </w:tcBorders>
            <w:shd w:val="clear" w:color="auto" w:fill="auto"/>
            <w:vAlign w:val="center"/>
          </w:tcPr>
          <w:p w14:paraId="2F4FC030" w14:textId="77777777" w:rsidR="00CF527E" w:rsidRPr="00033E65" w:rsidRDefault="00CF527E">
            <w:pPr>
              <w:spacing w:before="0" w:after="0"/>
              <w:jc w:val="center"/>
              <w:rPr>
                <w:rFonts w:ascii="Times New Roman" w:hAnsi="Times New Roman"/>
                <w:color w:val="000000"/>
                <w:szCs w:val="22"/>
                <w:lang w:eastAsia="es-CR"/>
              </w:rPr>
            </w:pPr>
            <w:r w:rsidRPr="00033E65">
              <w:rPr>
                <w:rStyle w:val="normaltextrun"/>
                <w:rFonts w:ascii="Times New Roman" w:hAnsi="Times New Roman"/>
                <w:color w:val="000000"/>
                <w:szCs w:val="22"/>
                <w:shd w:val="clear" w:color="auto" w:fill="FFFFFF"/>
              </w:rPr>
              <w:t>₡</w:t>
            </w:r>
            <w:r w:rsidRPr="00033E65">
              <w:rPr>
                <w:rStyle w:val="normaltextrun"/>
                <w:color w:val="000000"/>
                <w:szCs w:val="22"/>
                <w:shd w:val="clear" w:color="auto" w:fill="FFFFFF"/>
              </w:rPr>
              <w:t>217.172.000,00 </w:t>
            </w:r>
            <w:r w:rsidRPr="00033E65">
              <w:rPr>
                <w:rStyle w:val="eop"/>
                <w:rFonts w:eastAsiaTheme="majorEastAsia"/>
                <w:color w:val="000000"/>
                <w:szCs w:val="22"/>
                <w:shd w:val="clear" w:color="auto" w:fill="FFFFFF"/>
              </w:rPr>
              <w:t> </w:t>
            </w:r>
          </w:p>
        </w:tc>
        <w:tc>
          <w:tcPr>
            <w:tcW w:w="794" w:type="pct"/>
            <w:tcBorders>
              <w:top w:val="nil"/>
              <w:left w:val="nil"/>
              <w:bottom w:val="double" w:sz="6" w:space="0" w:color="1F497D"/>
              <w:right w:val="double" w:sz="6" w:space="0" w:color="1F497D"/>
            </w:tcBorders>
            <w:shd w:val="clear" w:color="auto" w:fill="auto"/>
            <w:vAlign w:val="center"/>
          </w:tcPr>
          <w:p w14:paraId="218CC835" w14:textId="77777777" w:rsidR="00CF527E" w:rsidRPr="00033E65" w:rsidRDefault="00CF527E">
            <w:pPr>
              <w:spacing w:before="0" w:after="0"/>
              <w:jc w:val="left"/>
              <w:rPr>
                <w:rFonts w:cs="Calibri"/>
                <w:color w:val="000000"/>
                <w:szCs w:val="22"/>
                <w:lang w:eastAsia="es-CR"/>
              </w:rPr>
            </w:pPr>
            <w:r w:rsidRPr="00033E65">
              <w:rPr>
                <w:rStyle w:val="normaltextrun"/>
                <w:color w:val="000000"/>
                <w:szCs w:val="22"/>
                <w:shd w:val="clear" w:color="auto" w:fill="FFFFFF"/>
              </w:rPr>
              <w:t>Jueza o Juez 3 Agrario adscrita al CACMFJ</w:t>
            </w:r>
            <w:r w:rsidRPr="00033E65">
              <w:rPr>
                <w:rStyle w:val="eop"/>
                <w:rFonts w:eastAsiaTheme="majorEastAsia"/>
                <w:color w:val="000000"/>
                <w:szCs w:val="22"/>
                <w:shd w:val="clear" w:color="auto" w:fill="FFFFFF"/>
              </w:rPr>
              <w:t> </w:t>
            </w:r>
          </w:p>
        </w:tc>
      </w:tr>
      <w:tr w:rsidR="00CF527E" w:rsidRPr="00033E65" w14:paraId="4BD1AF06" w14:textId="77777777">
        <w:trPr>
          <w:trHeight w:val="60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03259D1B"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Dirección Ejecutiva</w:t>
            </w:r>
          </w:p>
        </w:tc>
        <w:tc>
          <w:tcPr>
            <w:tcW w:w="509" w:type="pct"/>
            <w:tcBorders>
              <w:top w:val="nil"/>
              <w:left w:val="nil"/>
              <w:bottom w:val="double" w:sz="6" w:space="0" w:color="1F497D"/>
              <w:right w:val="double" w:sz="6" w:space="0" w:color="1F497D"/>
            </w:tcBorders>
            <w:shd w:val="clear" w:color="auto" w:fill="auto"/>
            <w:vAlign w:val="center"/>
            <w:hideMark/>
          </w:tcPr>
          <w:p w14:paraId="5508D3AC" w14:textId="77777777" w:rsidR="00CF527E" w:rsidRPr="00033E65" w:rsidRDefault="00CF527E">
            <w:pPr>
              <w:spacing w:before="0" w:after="0"/>
              <w:jc w:val="center"/>
              <w:rPr>
                <w:rFonts w:cs="Calibri"/>
                <w:color w:val="000000"/>
                <w:szCs w:val="22"/>
                <w:lang w:eastAsia="es-CR"/>
              </w:rPr>
            </w:pPr>
            <w:r w:rsidRPr="00033E65">
              <w:rPr>
                <w:rFonts w:cs="Calibri"/>
                <w:color w:val="000000"/>
                <w:szCs w:val="22"/>
                <w:lang w:eastAsia="es-CR"/>
              </w:rPr>
              <w:t>12</w:t>
            </w:r>
          </w:p>
        </w:tc>
        <w:tc>
          <w:tcPr>
            <w:tcW w:w="681" w:type="pct"/>
            <w:tcBorders>
              <w:top w:val="nil"/>
              <w:left w:val="nil"/>
              <w:bottom w:val="double" w:sz="6" w:space="0" w:color="1F497D"/>
              <w:right w:val="double" w:sz="6" w:space="0" w:color="1F497D"/>
            </w:tcBorders>
            <w:shd w:val="clear" w:color="auto" w:fill="auto"/>
            <w:vAlign w:val="center"/>
            <w:hideMark/>
          </w:tcPr>
          <w:p w14:paraId="4EAD5689" w14:textId="77777777" w:rsidR="00CF527E" w:rsidRPr="00033E65" w:rsidRDefault="00CF527E">
            <w:pPr>
              <w:spacing w:before="0" w:after="0"/>
              <w:jc w:val="center"/>
              <w:rPr>
                <w:rFonts w:cs="Calibri"/>
                <w:color w:val="000000"/>
                <w:szCs w:val="22"/>
                <w:lang w:eastAsia="es-CR"/>
              </w:rPr>
            </w:pPr>
            <w:r w:rsidRPr="00033E65">
              <w:rPr>
                <w:rFonts w:cs="Calibri"/>
                <w:color w:val="000000"/>
                <w:szCs w:val="22"/>
                <w:lang w:eastAsia="es-CR"/>
              </w:rPr>
              <w:t>Chofer</w:t>
            </w:r>
          </w:p>
        </w:tc>
        <w:tc>
          <w:tcPr>
            <w:tcW w:w="788" w:type="pct"/>
            <w:tcBorders>
              <w:top w:val="nil"/>
              <w:left w:val="nil"/>
              <w:bottom w:val="double" w:sz="6" w:space="0" w:color="1F497D"/>
              <w:right w:val="double" w:sz="6" w:space="0" w:color="1F497D"/>
            </w:tcBorders>
            <w:shd w:val="clear" w:color="auto" w:fill="auto"/>
            <w:vAlign w:val="center"/>
            <w:hideMark/>
          </w:tcPr>
          <w:p w14:paraId="6ADDA992" w14:textId="77777777" w:rsidR="00CF527E" w:rsidRPr="00033E65" w:rsidRDefault="00CF527E">
            <w:pPr>
              <w:spacing w:before="0" w:after="0"/>
              <w:jc w:val="center"/>
              <w:rPr>
                <w:rFonts w:cs="Calibri"/>
                <w:color w:val="000000"/>
                <w:szCs w:val="22"/>
                <w:lang w:eastAsia="es-CR"/>
              </w:rPr>
            </w:pPr>
            <w:r w:rsidRPr="00033E65">
              <w:rPr>
                <w:rFonts w:cs="Calibri"/>
                <w:color w:val="000000"/>
                <w:szCs w:val="22"/>
                <w:lang w:eastAsia="es-CR"/>
              </w:rPr>
              <w:t>Extraordinarias</w:t>
            </w:r>
          </w:p>
        </w:tc>
        <w:tc>
          <w:tcPr>
            <w:tcW w:w="440" w:type="pct"/>
            <w:tcBorders>
              <w:top w:val="nil"/>
              <w:left w:val="nil"/>
              <w:bottom w:val="double" w:sz="6" w:space="0" w:color="1F497D"/>
              <w:right w:val="double" w:sz="6" w:space="0" w:color="1F497D"/>
            </w:tcBorders>
            <w:shd w:val="clear" w:color="auto" w:fill="auto"/>
            <w:vAlign w:val="center"/>
            <w:hideMark/>
          </w:tcPr>
          <w:p w14:paraId="54BF4424" w14:textId="77777777" w:rsidR="00CF527E" w:rsidRPr="00033E65" w:rsidRDefault="00CF527E">
            <w:pPr>
              <w:spacing w:before="0" w:after="0"/>
              <w:jc w:val="center"/>
              <w:rPr>
                <w:rFonts w:cs="Calibri"/>
                <w:color w:val="000000"/>
                <w:szCs w:val="22"/>
                <w:lang w:eastAsia="es-CR"/>
              </w:rPr>
            </w:pPr>
            <w:r w:rsidRPr="00033E65">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hideMark/>
          </w:tcPr>
          <w:p w14:paraId="48A60DE4" w14:textId="77777777" w:rsidR="00CF527E" w:rsidRPr="0043490A"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₡162.564.000,00 </w:t>
            </w:r>
          </w:p>
        </w:tc>
        <w:tc>
          <w:tcPr>
            <w:tcW w:w="794" w:type="pct"/>
            <w:tcBorders>
              <w:top w:val="nil"/>
              <w:left w:val="nil"/>
              <w:bottom w:val="double" w:sz="6" w:space="0" w:color="1F497D"/>
              <w:right w:val="double" w:sz="6" w:space="0" w:color="1F497D"/>
            </w:tcBorders>
            <w:shd w:val="clear" w:color="auto" w:fill="auto"/>
            <w:vAlign w:val="center"/>
            <w:hideMark/>
          </w:tcPr>
          <w:p w14:paraId="256FC47D"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 xml:space="preserve">Choferes adscritos a la Administración </w:t>
            </w:r>
          </w:p>
        </w:tc>
      </w:tr>
      <w:tr w:rsidR="00B71EE7" w:rsidRPr="00033E65" w14:paraId="7AD846F4" w14:textId="77777777">
        <w:trPr>
          <w:trHeight w:val="600"/>
          <w:jc w:val="center"/>
        </w:trPr>
        <w:tc>
          <w:tcPr>
            <w:tcW w:w="998" w:type="pct"/>
            <w:tcBorders>
              <w:top w:val="nil"/>
              <w:left w:val="double" w:sz="6" w:space="0" w:color="1F497D"/>
              <w:bottom w:val="double" w:sz="6" w:space="0" w:color="1F497D"/>
              <w:right w:val="double" w:sz="6" w:space="0" w:color="1F497D"/>
            </w:tcBorders>
            <w:shd w:val="clear" w:color="auto" w:fill="auto"/>
            <w:vAlign w:val="center"/>
          </w:tcPr>
          <w:p w14:paraId="38BF4C0E" w14:textId="75EB39FC" w:rsidR="00B71EE7" w:rsidRPr="00033E65" w:rsidRDefault="00B71EE7">
            <w:pPr>
              <w:spacing w:before="0" w:after="0"/>
              <w:jc w:val="left"/>
              <w:rPr>
                <w:rFonts w:cs="Calibri"/>
                <w:color w:val="000000"/>
                <w:szCs w:val="22"/>
                <w:lang w:eastAsia="es-CR"/>
              </w:rPr>
            </w:pPr>
            <w:r>
              <w:rPr>
                <w:rFonts w:cs="Calibri"/>
                <w:color w:val="000000"/>
                <w:szCs w:val="22"/>
                <w:lang w:eastAsia="es-CR"/>
              </w:rPr>
              <w:t>Defensa Pública</w:t>
            </w:r>
          </w:p>
        </w:tc>
        <w:tc>
          <w:tcPr>
            <w:tcW w:w="509" w:type="pct"/>
            <w:tcBorders>
              <w:top w:val="nil"/>
              <w:left w:val="nil"/>
              <w:bottom w:val="double" w:sz="6" w:space="0" w:color="1F497D"/>
              <w:right w:val="double" w:sz="6" w:space="0" w:color="1F497D"/>
            </w:tcBorders>
            <w:shd w:val="clear" w:color="auto" w:fill="auto"/>
            <w:vAlign w:val="center"/>
          </w:tcPr>
          <w:p w14:paraId="1DD57C58" w14:textId="1FF01A8E" w:rsidR="00B71EE7" w:rsidRPr="00033E65" w:rsidRDefault="00B71EE7">
            <w:pPr>
              <w:spacing w:before="0" w:after="0"/>
              <w:jc w:val="center"/>
              <w:rPr>
                <w:rFonts w:cs="Calibri"/>
                <w:color w:val="000000"/>
                <w:szCs w:val="22"/>
                <w:lang w:eastAsia="es-CR"/>
              </w:rPr>
            </w:pPr>
            <w:r>
              <w:rPr>
                <w:rFonts w:cs="Calibri"/>
                <w:color w:val="000000"/>
                <w:szCs w:val="22"/>
                <w:lang w:eastAsia="es-CR"/>
              </w:rPr>
              <w:t>1</w:t>
            </w:r>
          </w:p>
        </w:tc>
        <w:tc>
          <w:tcPr>
            <w:tcW w:w="681" w:type="pct"/>
            <w:tcBorders>
              <w:top w:val="nil"/>
              <w:left w:val="nil"/>
              <w:bottom w:val="double" w:sz="6" w:space="0" w:color="1F497D"/>
              <w:right w:val="double" w:sz="6" w:space="0" w:color="1F497D"/>
            </w:tcBorders>
            <w:shd w:val="clear" w:color="auto" w:fill="auto"/>
            <w:vAlign w:val="center"/>
          </w:tcPr>
          <w:p w14:paraId="22100BD8" w14:textId="1FE79500" w:rsidR="00B71EE7" w:rsidRPr="00033E65" w:rsidRDefault="00B71EE7">
            <w:pPr>
              <w:spacing w:before="0" w:after="0"/>
              <w:jc w:val="center"/>
              <w:rPr>
                <w:rFonts w:cs="Calibri"/>
                <w:color w:val="000000"/>
                <w:szCs w:val="22"/>
                <w:lang w:eastAsia="es-CR"/>
              </w:rPr>
            </w:pPr>
            <w:r>
              <w:rPr>
                <w:rFonts w:cs="Calibri"/>
                <w:color w:val="000000"/>
                <w:szCs w:val="22"/>
                <w:lang w:eastAsia="es-CR"/>
              </w:rPr>
              <w:t>Profesional 1</w:t>
            </w:r>
          </w:p>
        </w:tc>
        <w:tc>
          <w:tcPr>
            <w:tcW w:w="788" w:type="pct"/>
            <w:tcBorders>
              <w:top w:val="nil"/>
              <w:left w:val="nil"/>
              <w:bottom w:val="double" w:sz="6" w:space="0" w:color="1F497D"/>
              <w:right w:val="double" w:sz="6" w:space="0" w:color="1F497D"/>
            </w:tcBorders>
            <w:shd w:val="clear" w:color="auto" w:fill="auto"/>
            <w:vAlign w:val="center"/>
          </w:tcPr>
          <w:p w14:paraId="5CA32912" w14:textId="7ED2E69B" w:rsidR="00B71EE7" w:rsidRPr="00033E65" w:rsidRDefault="004D349A">
            <w:pPr>
              <w:spacing w:before="0" w:after="0"/>
              <w:jc w:val="center"/>
              <w:rPr>
                <w:rFonts w:cs="Calibri"/>
                <w:color w:val="000000"/>
                <w:szCs w:val="22"/>
                <w:lang w:eastAsia="es-CR"/>
              </w:rPr>
            </w:pPr>
            <w:r>
              <w:rPr>
                <w:rFonts w:cs="Calibri"/>
                <w:color w:val="000000"/>
                <w:szCs w:val="22"/>
                <w:lang w:eastAsia="es-CR"/>
              </w:rPr>
              <w:t>Ordinaria</w:t>
            </w:r>
          </w:p>
        </w:tc>
        <w:tc>
          <w:tcPr>
            <w:tcW w:w="440" w:type="pct"/>
            <w:tcBorders>
              <w:top w:val="nil"/>
              <w:left w:val="nil"/>
              <w:bottom w:val="double" w:sz="6" w:space="0" w:color="1F497D"/>
              <w:right w:val="double" w:sz="6" w:space="0" w:color="1F497D"/>
            </w:tcBorders>
            <w:shd w:val="clear" w:color="auto" w:fill="auto"/>
            <w:vAlign w:val="center"/>
          </w:tcPr>
          <w:p w14:paraId="7A6B7BF1" w14:textId="58489DC2" w:rsidR="00B71EE7" w:rsidRPr="00033E65" w:rsidRDefault="00B71EE7">
            <w:pPr>
              <w:spacing w:before="0" w:after="0"/>
              <w:jc w:val="center"/>
              <w:rPr>
                <w:rFonts w:cs="Calibri"/>
                <w:color w:val="000000"/>
                <w:szCs w:val="22"/>
                <w:lang w:eastAsia="es-CR"/>
              </w:rPr>
            </w:pPr>
            <w:r>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tcPr>
          <w:p w14:paraId="087EB5AE" w14:textId="22A6CF97" w:rsidR="00B71EE7" w:rsidRPr="00033E65" w:rsidRDefault="00B71EE7">
            <w:pPr>
              <w:spacing w:before="0" w:after="0"/>
              <w:jc w:val="center"/>
              <w:rPr>
                <w:rFonts w:ascii="Times New Roman" w:hAnsi="Times New Roman"/>
                <w:color w:val="000000"/>
                <w:szCs w:val="22"/>
                <w:lang w:eastAsia="es-CR"/>
              </w:rPr>
            </w:pPr>
            <w:r>
              <w:rPr>
                <w:rFonts w:cs="Arial"/>
                <w:szCs w:val="22"/>
                <w:lang w:eastAsia="es-CR"/>
              </w:rPr>
              <w:t>¢</w:t>
            </w:r>
            <w:r w:rsidRPr="00624403">
              <w:rPr>
                <w:rFonts w:cs="Arial"/>
                <w:szCs w:val="22"/>
                <w:lang w:eastAsia="es-CR"/>
              </w:rPr>
              <w:t>25</w:t>
            </w:r>
            <w:r>
              <w:rPr>
                <w:rFonts w:cs="Arial"/>
                <w:szCs w:val="22"/>
                <w:lang w:eastAsia="es-CR"/>
              </w:rPr>
              <w:t xml:space="preserve"> </w:t>
            </w:r>
            <w:r w:rsidRPr="00624403">
              <w:rPr>
                <w:rFonts w:cs="Arial"/>
                <w:szCs w:val="22"/>
                <w:lang w:eastAsia="es-CR"/>
              </w:rPr>
              <w:t>913</w:t>
            </w:r>
            <w:r>
              <w:rPr>
                <w:rFonts w:cs="Arial"/>
                <w:szCs w:val="22"/>
                <w:lang w:eastAsia="es-CR"/>
              </w:rPr>
              <w:t xml:space="preserve"> 000</w:t>
            </w:r>
          </w:p>
        </w:tc>
        <w:tc>
          <w:tcPr>
            <w:tcW w:w="794" w:type="pct"/>
            <w:tcBorders>
              <w:top w:val="nil"/>
              <w:left w:val="nil"/>
              <w:bottom w:val="double" w:sz="6" w:space="0" w:color="1F497D"/>
              <w:right w:val="double" w:sz="6" w:space="0" w:color="1F497D"/>
            </w:tcBorders>
            <w:shd w:val="clear" w:color="auto" w:fill="auto"/>
            <w:vAlign w:val="center"/>
          </w:tcPr>
          <w:p w14:paraId="000C81B2" w14:textId="4FB3DDE5" w:rsidR="00B71EE7" w:rsidRPr="00033E65" w:rsidRDefault="00B71EE7">
            <w:pPr>
              <w:spacing w:before="0" w:after="0"/>
              <w:jc w:val="left"/>
              <w:rPr>
                <w:rFonts w:cs="Calibri"/>
                <w:color w:val="000000"/>
                <w:szCs w:val="22"/>
                <w:lang w:eastAsia="es-CR"/>
              </w:rPr>
            </w:pPr>
            <w:r>
              <w:rPr>
                <w:rFonts w:cs="Calibri"/>
                <w:color w:val="000000"/>
                <w:szCs w:val="22"/>
                <w:lang w:eastAsia="es-CR"/>
              </w:rPr>
              <w:t>Plaza requeri</w:t>
            </w:r>
            <w:r w:rsidR="006B539D">
              <w:rPr>
                <w:rFonts w:cs="Calibri"/>
                <w:color w:val="000000"/>
                <w:szCs w:val="22"/>
                <w:lang w:eastAsia="es-CR"/>
              </w:rPr>
              <w:t xml:space="preserve">da para </w:t>
            </w:r>
            <w:r w:rsidR="00A041B0">
              <w:rPr>
                <w:rFonts w:cs="Calibri"/>
                <w:color w:val="000000"/>
                <w:szCs w:val="22"/>
                <w:lang w:eastAsia="es-CR"/>
              </w:rPr>
              <w:t>la Administración de la Defensa Pública</w:t>
            </w:r>
          </w:p>
        </w:tc>
      </w:tr>
      <w:tr w:rsidR="00CF527E" w:rsidRPr="00033E65" w14:paraId="619B0A64" w14:textId="77777777">
        <w:trPr>
          <w:trHeight w:val="310"/>
          <w:jc w:val="center"/>
        </w:trPr>
        <w:tc>
          <w:tcPr>
            <w:tcW w:w="5000" w:type="pct"/>
            <w:gridSpan w:val="7"/>
            <w:tcBorders>
              <w:top w:val="double" w:sz="6" w:space="0" w:color="1F497D"/>
              <w:left w:val="double" w:sz="6" w:space="0" w:color="0673A5"/>
              <w:bottom w:val="nil"/>
              <w:right w:val="double" w:sz="6" w:space="0" w:color="0673A5"/>
            </w:tcBorders>
            <w:shd w:val="clear" w:color="000000" w:fill="DCE6F1"/>
            <w:vAlign w:val="center"/>
            <w:hideMark/>
          </w:tcPr>
          <w:p w14:paraId="46345B30" w14:textId="77777777" w:rsidR="00CF527E" w:rsidRPr="00033E65" w:rsidRDefault="00CF527E">
            <w:pPr>
              <w:spacing w:before="0" w:after="0"/>
              <w:jc w:val="center"/>
              <w:rPr>
                <w:rFonts w:cs="Calibri"/>
                <w:b/>
                <w:bCs/>
                <w:color w:val="000000"/>
                <w:szCs w:val="22"/>
                <w:lang w:eastAsia="es-CR"/>
              </w:rPr>
            </w:pPr>
            <w:r w:rsidRPr="00033E65">
              <w:rPr>
                <w:rFonts w:cs="Calibri"/>
                <w:b/>
                <w:bCs/>
                <w:color w:val="000000"/>
                <w:szCs w:val="22"/>
                <w:lang w:eastAsia="es-CR"/>
              </w:rPr>
              <w:t>Existe un dato inestimable al no poder contar con la carga de todos los asuntos.</w:t>
            </w:r>
          </w:p>
        </w:tc>
      </w:tr>
      <w:tr w:rsidR="00CF527E" w:rsidRPr="00033E65" w14:paraId="0FD20493" w14:textId="77777777">
        <w:trPr>
          <w:trHeight w:val="310"/>
          <w:jc w:val="center"/>
        </w:trPr>
        <w:tc>
          <w:tcPr>
            <w:tcW w:w="998" w:type="pct"/>
            <w:tcBorders>
              <w:top w:val="double" w:sz="6" w:space="0" w:color="0673A5"/>
              <w:left w:val="double" w:sz="6" w:space="0" w:color="0673A5"/>
              <w:bottom w:val="double" w:sz="6" w:space="0" w:color="0673A5"/>
              <w:right w:val="double" w:sz="6" w:space="0" w:color="0673A5"/>
            </w:tcBorders>
            <w:shd w:val="clear" w:color="000000" w:fill="DCE6F1"/>
            <w:vAlign w:val="center"/>
            <w:hideMark/>
          </w:tcPr>
          <w:p w14:paraId="13EA82E3" w14:textId="77777777" w:rsidR="00CF527E" w:rsidRPr="00033E65" w:rsidRDefault="00CF527E">
            <w:pPr>
              <w:spacing w:before="0" w:after="0"/>
              <w:jc w:val="right"/>
              <w:rPr>
                <w:rFonts w:cs="Calibri"/>
                <w:b/>
                <w:bCs/>
                <w:color w:val="000000"/>
                <w:szCs w:val="22"/>
                <w:lang w:eastAsia="es-CR"/>
              </w:rPr>
            </w:pPr>
            <w:r w:rsidRPr="00033E65">
              <w:rPr>
                <w:rFonts w:cs="Calibri"/>
                <w:b/>
                <w:bCs/>
                <w:color w:val="000000"/>
                <w:szCs w:val="22"/>
                <w:lang w:eastAsia="es-CR"/>
              </w:rPr>
              <w:t>Total</w:t>
            </w:r>
          </w:p>
        </w:tc>
        <w:tc>
          <w:tcPr>
            <w:tcW w:w="509" w:type="pct"/>
            <w:tcBorders>
              <w:top w:val="double" w:sz="6" w:space="0" w:color="0673A5"/>
              <w:left w:val="nil"/>
              <w:bottom w:val="double" w:sz="6" w:space="0" w:color="0673A5"/>
              <w:right w:val="double" w:sz="6" w:space="0" w:color="0673A5"/>
            </w:tcBorders>
            <w:shd w:val="clear" w:color="000000" w:fill="DCE6F1"/>
            <w:vAlign w:val="center"/>
            <w:hideMark/>
          </w:tcPr>
          <w:p w14:paraId="26ABE8CD" w14:textId="77777777" w:rsidR="00CF527E" w:rsidRPr="00033E65" w:rsidRDefault="00CF527E">
            <w:pPr>
              <w:spacing w:before="0" w:after="0"/>
              <w:jc w:val="center"/>
              <w:rPr>
                <w:rFonts w:cs="Calibri"/>
                <w:b/>
                <w:bCs/>
                <w:color w:val="000000"/>
                <w:szCs w:val="22"/>
                <w:lang w:eastAsia="es-CR"/>
              </w:rPr>
            </w:pPr>
            <w:r w:rsidRPr="00033E65">
              <w:rPr>
                <w:rFonts w:cs="Calibri"/>
                <w:b/>
                <w:bCs/>
                <w:color w:val="000000"/>
                <w:szCs w:val="22"/>
                <w:lang w:eastAsia="es-CR"/>
              </w:rPr>
              <w:t>24</w:t>
            </w:r>
          </w:p>
        </w:tc>
        <w:tc>
          <w:tcPr>
            <w:tcW w:w="1909" w:type="pct"/>
            <w:gridSpan w:val="3"/>
            <w:tcBorders>
              <w:top w:val="double" w:sz="6" w:space="0" w:color="1F497D"/>
              <w:left w:val="nil"/>
              <w:bottom w:val="double" w:sz="6" w:space="0" w:color="1F497D"/>
              <w:right w:val="double" w:sz="6" w:space="0" w:color="1F497D"/>
            </w:tcBorders>
            <w:shd w:val="clear" w:color="000000" w:fill="DCE6F1"/>
            <w:vAlign w:val="center"/>
            <w:hideMark/>
          </w:tcPr>
          <w:p w14:paraId="2C0ECC00" w14:textId="77777777" w:rsidR="00CF527E" w:rsidRPr="00033E65" w:rsidRDefault="00CF527E">
            <w:pPr>
              <w:spacing w:before="0" w:after="0"/>
              <w:jc w:val="center"/>
              <w:rPr>
                <w:rFonts w:cs="Calibri"/>
                <w:color w:val="000000"/>
                <w:szCs w:val="22"/>
                <w:lang w:eastAsia="es-CR"/>
              </w:rPr>
            </w:pPr>
            <w:r w:rsidRPr="00033E65">
              <w:rPr>
                <w:rFonts w:cs="Calibri"/>
                <w:color w:val="000000"/>
                <w:szCs w:val="22"/>
                <w:lang w:eastAsia="es-CR"/>
              </w:rPr>
              <w:t> </w:t>
            </w:r>
          </w:p>
        </w:tc>
        <w:tc>
          <w:tcPr>
            <w:tcW w:w="1585" w:type="pct"/>
            <w:gridSpan w:val="2"/>
            <w:tcBorders>
              <w:top w:val="double" w:sz="6" w:space="0" w:color="1F497D"/>
              <w:left w:val="nil"/>
              <w:bottom w:val="double" w:sz="6" w:space="0" w:color="1F497D"/>
              <w:right w:val="double" w:sz="6" w:space="0" w:color="1F497D"/>
            </w:tcBorders>
            <w:shd w:val="clear" w:color="000000" w:fill="DCE6F1"/>
            <w:vAlign w:val="center"/>
            <w:hideMark/>
          </w:tcPr>
          <w:p w14:paraId="4EB4F96F" w14:textId="1B1EB600"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w:t>
            </w:r>
            <w:r w:rsidR="008068EB">
              <w:rPr>
                <w:rFonts w:ascii="Times New Roman" w:hAnsi="Times New Roman"/>
                <w:b/>
                <w:bCs/>
                <w:color w:val="000000"/>
                <w:szCs w:val="22"/>
                <w:lang w:eastAsia="es-CR"/>
              </w:rPr>
              <w:t xml:space="preserve">509 229 </w:t>
            </w:r>
            <w:r w:rsidRPr="00033E65">
              <w:rPr>
                <w:rFonts w:ascii="Times New Roman" w:hAnsi="Times New Roman"/>
                <w:b/>
                <w:bCs/>
                <w:color w:val="000000"/>
                <w:szCs w:val="22"/>
                <w:lang w:eastAsia="es-CR"/>
              </w:rPr>
              <w:t xml:space="preserve">000,00 </w:t>
            </w:r>
          </w:p>
        </w:tc>
      </w:tr>
    </w:tbl>
    <w:p w14:paraId="07062870" w14:textId="77777777" w:rsidR="00CF527E" w:rsidRPr="00033E65" w:rsidRDefault="00CF527E" w:rsidP="00CF527E">
      <w:pPr>
        <w:ind w:left="-567"/>
        <w:rPr>
          <w:bCs/>
          <w:i/>
          <w:sz w:val="18"/>
        </w:rPr>
      </w:pPr>
      <w:r w:rsidRPr="00033E65">
        <w:rPr>
          <w:bCs/>
          <w:i/>
          <w:sz w:val="18"/>
        </w:rPr>
        <w:t xml:space="preserve">Fuente: Subproceso de Modernización Institucional, área No Penal. </w:t>
      </w:r>
    </w:p>
    <w:p w14:paraId="124A0A89" w14:textId="77777777" w:rsidR="00CF527E" w:rsidRPr="00033E65" w:rsidRDefault="00CF527E" w:rsidP="00CF527E">
      <w:pPr>
        <w:ind w:left="-567"/>
        <w:rPr>
          <w:bCs/>
          <w:i/>
          <w:sz w:val="18"/>
        </w:rPr>
      </w:pPr>
    </w:p>
    <w:p w14:paraId="3D82E5F0" w14:textId="12926974" w:rsidR="00CF527E" w:rsidRPr="00033E65" w:rsidRDefault="00CF527E" w:rsidP="00CF527E">
      <w:pPr>
        <w:pStyle w:val="Ttulo"/>
        <w:spacing w:line="240" w:lineRule="auto"/>
        <w:jc w:val="both"/>
        <w:rPr>
          <w:rFonts w:eastAsia="Times New Roman" w:cs="Times New Roman"/>
          <w:bCs/>
          <w:color w:val="auto"/>
          <w:spacing w:val="0"/>
          <w:sz w:val="22"/>
          <w:szCs w:val="22"/>
          <w:lang w:val="es-CR" w:eastAsia="es-ES"/>
        </w:rPr>
      </w:pPr>
      <w:r w:rsidRPr="00033E65">
        <w:rPr>
          <w:rFonts w:eastAsia="Times New Roman" w:cs="Times New Roman"/>
          <w:b w:val="0"/>
          <w:color w:val="auto"/>
          <w:spacing w:val="0"/>
          <w:sz w:val="22"/>
          <w:szCs w:val="22"/>
          <w:lang w:val="es-CR" w:eastAsia="es-ES"/>
        </w:rPr>
        <w:t xml:space="preserve">La propuesta de recurso humano necesario para la implementación del Nuevo Código Procesal Agrario tiene un monto total </w:t>
      </w:r>
      <w:r w:rsidR="00116724">
        <w:rPr>
          <w:rFonts w:eastAsia="Times New Roman" w:cs="Times New Roman"/>
          <w:b w:val="0"/>
          <w:color w:val="auto"/>
          <w:spacing w:val="0"/>
          <w:sz w:val="22"/>
          <w:szCs w:val="22"/>
          <w:lang w:val="es-CR" w:eastAsia="es-ES"/>
        </w:rPr>
        <w:t xml:space="preserve">estimado </w:t>
      </w:r>
      <w:r w:rsidRPr="00033E65">
        <w:rPr>
          <w:rFonts w:eastAsia="Times New Roman" w:cs="Times New Roman"/>
          <w:b w:val="0"/>
          <w:color w:val="auto"/>
          <w:spacing w:val="0"/>
          <w:sz w:val="22"/>
          <w:szCs w:val="22"/>
          <w:lang w:val="es-CR" w:eastAsia="es-ES"/>
        </w:rPr>
        <w:t xml:space="preserve">de </w:t>
      </w:r>
      <w:r w:rsidRPr="00033E65">
        <w:rPr>
          <w:rFonts w:ascii="Times New Roman" w:eastAsia="Times New Roman" w:hAnsi="Times New Roman" w:cs="Times New Roman"/>
          <w:bCs/>
          <w:color w:val="auto"/>
          <w:spacing w:val="0"/>
          <w:sz w:val="22"/>
          <w:szCs w:val="22"/>
          <w:lang w:val="es-CR" w:eastAsia="es-ES"/>
        </w:rPr>
        <w:t>₡</w:t>
      </w:r>
      <w:r w:rsidR="008068EB" w:rsidRPr="00A90544">
        <w:rPr>
          <w:rFonts w:eastAsia="Times New Roman" w:cs="Times New Roman"/>
          <w:bCs/>
          <w:color w:val="auto"/>
          <w:spacing w:val="0"/>
          <w:sz w:val="22"/>
          <w:szCs w:val="22"/>
          <w:lang w:val="es-CR" w:eastAsia="es-ES"/>
        </w:rPr>
        <w:t>509 229</w:t>
      </w:r>
      <w:r w:rsidR="008068EB">
        <w:rPr>
          <w:rFonts w:eastAsia="Times New Roman" w:cs="Times New Roman"/>
          <w:bCs/>
          <w:color w:val="auto"/>
          <w:spacing w:val="0"/>
          <w:sz w:val="22"/>
          <w:szCs w:val="22"/>
          <w:lang w:val="es-CR" w:eastAsia="es-ES"/>
        </w:rPr>
        <w:t> </w:t>
      </w:r>
      <w:r w:rsidR="008068EB" w:rsidRPr="00A90544">
        <w:rPr>
          <w:rFonts w:eastAsia="Times New Roman" w:cs="Times New Roman"/>
          <w:bCs/>
          <w:color w:val="auto"/>
          <w:spacing w:val="0"/>
          <w:sz w:val="22"/>
          <w:szCs w:val="22"/>
          <w:lang w:val="es-CR" w:eastAsia="es-ES"/>
        </w:rPr>
        <w:t>000</w:t>
      </w:r>
      <w:r w:rsidR="008068EB">
        <w:rPr>
          <w:rFonts w:eastAsia="Times New Roman" w:cs="Times New Roman"/>
          <w:bCs/>
          <w:color w:val="auto"/>
          <w:spacing w:val="0"/>
          <w:sz w:val="22"/>
          <w:szCs w:val="22"/>
          <w:lang w:val="es-CR" w:eastAsia="es-ES"/>
        </w:rPr>
        <w:t>,00</w:t>
      </w:r>
    </w:p>
    <w:p w14:paraId="61BBFC8E" w14:textId="2081A548" w:rsidR="00CF527E" w:rsidRPr="00033E65" w:rsidRDefault="00CF527E" w:rsidP="00CF527E">
      <w:pPr>
        <w:pStyle w:val="Ttulo"/>
        <w:spacing w:line="240" w:lineRule="auto"/>
        <w:jc w:val="both"/>
        <w:rPr>
          <w:rFonts w:eastAsia="Times New Roman" w:cs="Times New Roman"/>
          <w:b w:val="0"/>
          <w:color w:val="auto"/>
          <w:spacing w:val="0"/>
          <w:sz w:val="22"/>
          <w:szCs w:val="22"/>
          <w:lang w:val="es-CR" w:eastAsia="es-ES"/>
        </w:rPr>
      </w:pPr>
      <w:r w:rsidRPr="00033E65">
        <w:rPr>
          <w:rFonts w:eastAsia="Times New Roman" w:cs="Times New Roman"/>
          <w:b w:val="0"/>
          <w:color w:val="auto"/>
          <w:spacing w:val="0"/>
          <w:sz w:val="22"/>
          <w:szCs w:val="22"/>
          <w:lang w:val="es-CR" w:eastAsia="es-ES"/>
        </w:rPr>
        <w:t>Los siguientes montos están asociados</w:t>
      </w:r>
      <w:r w:rsidR="005265E7" w:rsidRPr="00033E65">
        <w:rPr>
          <w:rFonts w:eastAsia="Times New Roman" w:cs="Times New Roman"/>
          <w:b w:val="0"/>
          <w:color w:val="auto"/>
          <w:spacing w:val="0"/>
          <w:sz w:val="22"/>
          <w:szCs w:val="22"/>
          <w:lang w:val="es-CR" w:eastAsia="es-ES"/>
        </w:rPr>
        <w:t xml:space="preserve"> gastos variables</w:t>
      </w:r>
      <w:r w:rsidRPr="00033E65">
        <w:rPr>
          <w:rFonts w:eastAsia="Times New Roman" w:cs="Times New Roman"/>
          <w:b w:val="0"/>
          <w:color w:val="auto"/>
          <w:spacing w:val="0"/>
          <w:sz w:val="22"/>
          <w:szCs w:val="22"/>
          <w:lang w:val="es-CR" w:eastAsia="es-ES"/>
        </w:rPr>
        <w:t xml:space="preserve"> a los costos de equipo y mobiliario, como en la adquisición de vehículos con sus respectivos mantenimientos y demás.</w:t>
      </w:r>
    </w:p>
    <w:p w14:paraId="03D4C1A9" w14:textId="77777777" w:rsidR="00CF527E" w:rsidRPr="00033E65" w:rsidRDefault="00CF527E" w:rsidP="00CF527E">
      <w:pPr>
        <w:pStyle w:val="Ttulo"/>
        <w:spacing w:line="240" w:lineRule="auto"/>
        <w:jc w:val="both"/>
        <w:rPr>
          <w:rFonts w:eastAsia="Times New Roman" w:cs="Times New Roman"/>
          <w:b w:val="0"/>
          <w:color w:val="auto"/>
          <w:spacing w:val="0"/>
          <w:sz w:val="22"/>
          <w:szCs w:val="22"/>
          <w:lang w:val="es-CR" w:eastAsia="es-ES"/>
        </w:rPr>
      </w:pPr>
    </w:p>
    <w:p w14:paraId="14161D5B" w14:textId="77777777" w:rsidR="00CF527E" w:rsidRPr="00033E65" w:rsidRDefault="00CF527E" w:rsidP="00CF527E">
      <w:pPr>
        <w:pStyle w:val="Ttulo"/>
        <w:spacing w:before="0" w:after="0"/>
        <w:ind w:left="1080"/>
        <w:jc w:val="center"/>
        <w:rPr>
          <w:rFonts w:eastAsia="Times New Roman" w:cs="Arial"/>
          <w:iCs/>
          <w:spacing w:val="0"/>
          <w:szCs w:val="28"/>
          <w:lang w:val="es-CR" w:eastAsia="es-ES"/>
        </w:rPr>
      </w:pPr>
      <w:r w:rsidRPr="00033E65">
        <w:rPr>
          <w:rFonts w:eastAsia="Times New Roman" w:cs="Arial"/>
          <w:iCs/>
          <w:spacing w:val="0"/>
          <w:szCs w:val="28"/>
          <w:lang w:val="es-CR" w:eastAsia="es-ES"/>
        </w:rPr>
        <w:t>Cuadro 30</w:t>
      </w:r>
    </w:p>
    <w:p w14:paraId="2F70DEF0" w14:textId="1CD10D9F" w:rsidR="00CF527E" w:rsidRPr="00033E65" w:rsidRDefault="00CF527E" w:rsidP="00CF527E">
      <w:pPr>
        <w:pStyle w:val="Ttulo"/>
        <w:spacing w:before="0" w:after="0"/>
        <w:ind w:left="108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Costo total estimado </w:t>
      </w:r>
      <w:r w:rsidR="005265E7" w:rsidRPr="00033E65">
        <w:rPr>
          <w:rFonts w:eastAsia="Times New Roman" w:cs="Arial"/>
          <w:iCs/>
          <w:spacing w:val="0"/>
          <w:szCs w:val="28"/>
          <w:lang w:val="es-CR" w:eastAsia="es-ES"/>
        </w:rPr>
        <w:t xml:space="preserve">de gasto variable </w:t>
      </w:r>
      <w:r w:rsidRPr="00033E65">
        <w:rPr>
          <w:rFonts w:eastAsia="Times New Roman" w:cs="Arial"/>
          <w:iCs/>
          <w:spacing w:val="0"/>
          <w:szCs w:val="28"/>
          <w:lang w:val="es-CR" w:eastAsia="es-ES"/>
        </w:rPr>
        <w:t>para presupuesto 202</w:t>
      </w:r>
      <w:r w:rsidR="005265E7" w:rsidRPr="00033E65">
        <w:rPr>
          <w:rFonts w:eastAsia="Times New Roman" w:cs="Arial"/>
          <w:iCs/>
          <w:spacing w:val="0"/>
          <w:szCs w:val="28"/>
          <w:lang w:val="es-CR" w:eastAsia="es-ES"/>
        </w:rPr>
        <w:t>4</w:t>
      </w:r>
    </w:p>
    <w:p w14:paraId="1D9DD32B" w14:textId="77777777" w:rsidR="00946850" w:rsidRPr="00033E65" w:rsidRDefault="00946850" w:rsidP="00CF527E">
      <w:pPr>
        <w:pStyle w:val="Ttulo"/>
        <w:spacing w:before="0" w:after="0"/>
        <w:ind w:left="1080"/>
        <w:jc w:val="center"/>
        <w:rPr>
          <w:rFonts w:eastAsia="Times New Roman" w:cs="Arial"/>
          <w:iCs/>
          <w:spacing w:val="0"/>
          <w:szCs w:val="28"/>
          <w:lang w:val="es-CR" w:eastAsia="es-ES"/>
        </w:rPr>
      </w:pPr>
    </w:p>
    <w:tbl>
      <w:tblPr>
        <w:tblW w:w="11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70" w:type="dxa"/>
          <w:right w:w="70" w:type="dxa"/>
        </w:tblCellMar>
        <w:tblLook w:val="04A0" w:firstRow="1" w:lastRow="0" w:firstColumn="1" w:lastColumn="0" w:noHBand="0" w:noVBand="1"/>
      </w:tblPr>
      <w:tblGrid>
        <w:gridCol w:w="1582"/>
        <w:gridCol w:w="828"/>
        <w:gridCol w:w="2126"/>
        <w:gridCol w:w="2127"/>
        <w:gridCol w:w="2126"/>
        <w:gridCol w:w="2126"/>
        <w:gridCol w:w="772"/>
      </w:tblGrid>
      <w:tr w:rsidR="00CF527E" w:rsidRPr="00033E65" w14:paraId="6C7FE550" w14:textId="77777777" w:rsidTr="00A90544">
        <w:trPr>
          <w:gridAfter w:val="1"/>
          <w:wAfter w:w="772" w:type="dxa"/>
          <w:trHeight w:val="678"/>
          <w:tblHeader/>
          <w:jc w:val="center"/>
        </w:trPr>
        <w:tc>
          <w:tcPr>
            <w:tcW w:w="1582" w:type="dxa"/>
            <w:shd w:val="clear" w:color="000000" w:fill="0673A5"/>
          </w:tcPr>
          <w:p w14:paraId="2CBF5E75" w14:textId="77777777" w:rsidR="005305BF" w:rsidRPr="00033E65" w:rsidRDefault="005305BF">
            <w:pPr>
              <w:spacing w:before="0" w:after="0"/>
              <w:jc w:val="center"/>
              <w:rPr>
                <w:rFonts w:cs="Calibri"/>
                <w:b/>
                <w:bCs/>
                <w:color w:val="FFFFFF"/>
                <w:szCs w:val="22"/>
                <w:lang w:eastAsia="es-CR"/>
              </w:rPr>
            </w:pPr>
          </w:p>
        </w:tc>
        <w:tc>
          <w:tcPr>
            <w:tcW w:w="9333" w:type="dxa"/>
            <w:gridSpan w:val="5"/>
            <w:shd w:val="clear" w:color="000000" w:fill="0673A5"/>
            <w:vAlign w:val="center"/>
            <w:hideMark/>
          </w:tcPr>
          <w:p w14:paraId="18255D7B" w14:textId="6EC8E9D4"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Estimación de costos para la implementación de la reforma con cargo al presupuesto del periodo 2024, según programa presupuestario</w:t>
            </w:r>
          </w:p>
        </w:tc>
      </w:tr>
      <w:tr w:rsidR="00CF527E" w:rsidRPr="00033E65" w14:paraId="21EF6B97" w14:textId="77777777" w:rsidTr="00A90544">
        <w:trPr>
          <w:gridAfter w:val="1"/>
          <w:wAfter w:w="772" w:type="dxa"/>
          <w:trHeight w:val="334"/>
          <w:tblHeader/>
          <w:jc w:val="center"/>
        </w:trPr>
        <w:tc>
          <w:tcPr>
            <w:tcW w:w="2410" w:type="dxa"/>
            <w:gridSpan w:val="2"/>
            <w:vMerge w:val="restart"/>
            <w:shd w:val="clear" w:color="000000" w:fill="0673A5"/>
            <w:vAlign w:val="center"/>
            <w:hideMark/>
          </w:tcPr>
          <w:p w14:paraId="018D1FA8" w14:textId="77777777"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REQUERIMIENTO</w:t>
            </w:r>
          </w:p>
        </w:tc>
        <w:tc>
          <w:tcPr>
            <w:tcW w:w="2126" w:type="dxa"/>
            <w:shd w:val="clear" w:color="000000" w:fill="0673A5"/>
          </w:tcPr>
          <w:p w14:paraId="454B19E4" w14:textId="77777777" w:rsidR="005305BF" w:rsidRPr="00033E65" w:rsidRDefault="005305BF">
            <w:pPr>
              <w:spacing w:before="0" w:after="0"/>
              <w:jc w:val="center"/>
              <w:rPr>
                <w:rFonts w:cs="Calibri"/>
                <w:b/>
                <w:bCs/>
                <w:color w:val="FFFFFF"/>
                <w:szCs w:val="22"/>
                <w:lang w:eastAsia="es-CR"/>
              </w:rPr>
            </w:pPr>
          </w:p>
        </w:tc>
        <w:tc>
          <w:tcPr>
            <w:tcW w:w="6379" w:type="dxa"/>
            <w:gridSpan w:val="3"/>
            <w:shd w:val="clear" w:color="000000" w:fill="0673A5"/>
            <w:vAlign w:val="center"/>
            <w:hideMark/>
          </w:tcPr>
          <w:p w14:paraId="1E043199" w14:textId="43CDB2A4"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PROGRAMA</w:t>
            </w:r>
          </w:p>
        </w:tc>
      </w:tr>
      <w:tr w:rsidR="00CF527E" w:rsidRPr="00033E65" w14:paraId="157274F0" w14:textId="77777777" w:rsidTr="009C1651">
        <w:trPr>
          <w:gridAfter w:val="1"/>
          <w:wAfter w:w="772" w:type="dxa"/>
          <w:trHeight w:val="229"/>
          <w:tblHeader/>
          <w:jc w:val="center"/>
        </w:trPr>
        <w:tc>
          <w:tcPr>
            <w:tcW w:w="2410" w:type="dxa"/>
            <w:gridSpan w:val="2"/>
            <w:vMerge/>
            <w:vAlign w:val="center"/>
            <w:hideMark/>
          </w:tcPr>
          <w:p w14:paraId="78FF36E3" w14:textId="77777777" w:rsidR="00CF527E" w:rsidRPr="00033E65" w:rsidRDefault="00CF527E">
            <w:pPr>
              <w:spacing w:before="0" w:after="0"/>
              <w:jc w:val="left"/>
              <w:rPr>
                <w:rFonts w:cs="Calibri"/>
                <w:b/>
                <w:bCs/>
                <w:color w:val="FFFFFF"/>
                <w:szCs w:val="22"/>
                <w:lang w:eastAsia="es-CR"/>
              </w:rPr>
            </w:pPr>
          </w:p>
        </w:tc>
        <w:tc>
          <w:tcPr>
            <w:tcW w:w="2126" w:type="dxa"/>
            <w:shd w:val="clear" w:color="000000" w:fill="0673A5"/>
            <w:vAlign w:val="center"/>
            <w:hideMark/>
          </w:tcPr>
          <w:p w14:paraId="71E99F68" w14:textId="77777777"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926</w:t>
            </w:r>
          </w:p>
        </w:tc>
        <w:tc>
          <w:tcPr>
            <w:tcW w:w="2127" w:type="dxa"/>
            <w:shd w:val="clear" w:color="000000" w:fill="0673A5"/>
            <w:vAlign w:val="center"/>
            <w:hideMark/>
          </w:tcPr>
          <w:p w14:paraId="2A954175" w14:textId="77777777"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927</w:t>
            </w:r>
          </w:p>
        </w:tc>
        <w:tc>
          <w:tcPr>
            <w:tcW w:w="2126" w:type="dxa"/>
            <w:shd w:val="clear" w:color="000000" w:fill="0673A5"/>
          </w:tcPr>
          <w:p w14:paraId="67EC23FA" w14:textId="1303FA55" w:rsidR="009C1651" w:rsidRDefault="009C1651">
            <w:pPr>
              <w:spacing w:before="0" w:after="0"/>
              <w:jc w:val="center"/>
              <w:rPr>
                <w:rFonts w:cs="Calibri"/>
                <w:b/>
                <w:bCs/>
                <w:color w:val="FFFFFF"/>
                <w:szCs w:val="22"/>
                <w:lang w:eastAsia="es-CR"/>
              </w:rPr>
            </w:pPr>
            <w:r>
              <w:rPr>
                <w:rFonts w:cs="Calibri"/>
                <w:b/>
                <w:bCs/>
                <w:color w:val="FFFFFF"/>
                <w:szCs w:val="22"/>
                <w:lang w:eastAsia="es-CR"/>
              </w:rPr>
              <w:t>930</w:t>
            </w:r>
          </w:p>
        </w:tc>
        <w:tc>
          <w:tcPr>
            <w:tcW w:w="2126" w:type="dxa"/>
            <w:vMerge w:val="restart"/>
            <w:shd w:val="clear" w:color="000000" w:fill="0673A5"/>
            <w:vAlign w:val="center"/>
            <w:hideMark/>
          </w:tcPr>
          <w:p w14:paraId="3AFCF5E7" w14:textId="4DC70A8A"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Costo total</w:t>
            </w:r>
          </w:p>
        </w:tc>
      </w:tr>
      <w:tr w:rsidR="00CF527E" w:rsidRPr="00033E65" w14:paraId="3280E461" w14:textId="77777777" w:rsidTr="00A90544">
        <w:trPr>
          <w:gridAfter w:val="1"/>
          <w:wAfter w:w="772" w:type="dxa"/>
          <w:trHeight w:val="286"/>
          <w:tblHeader/>
          <w:jc w:val="center"/>
        </w:trPr>
        <w:tc>
          <w:tcPr>
            <w:tcW w:w="2410" w:type="dxa"/>
            <w:gridSpan w:val="2"/>
            <w:vMerge/>
            <w:vAlign w:val="center"/>
            <w:hideMark/>
          </w:tcPr>
          <w:p w14:paraId="62FCE2BE" w14:textId="77777777" w:rsidR="00CF527E" w:rsidRPr="00033E65" w:rsidRDefault="00CF527E">
            <w:pPr>
              <w:spacing w:before="0" w:after="0"/>
              <w:jc w:val="left"/>
              <w:rPr>
                <w:rFonts w:cs="Calibri"/>
                <w:b/>
                <w:bCs/>
                <w:color w:val="FFFFFF"/>
                <w:szCs w:val="22"/>
                <w:lang w:eastAsia="es-CR"/>
              </w:rPr>
            </w:pPr>
          </w:p>
        </w:tc>
        <w:tc>
          <w:tcPr>
            <w:tcW w:w="2126" w:type="dxa"/>
            <w:shd w:val="clear" w:color="000000" w:fill="0673A5"/>
            <w:vAlign w:val="center"/>
            <w:hideMark/>
          </w:tcPr>
          <w:p w14:paraId="1A937EC6" w14:textId="77777777"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Administrativo</w:t>
            </w:r>
          </w:p>
        </w:tc>
        <w:tc>
          <w:tcPr>
            <w:tcW w:w="2127" w:type="dxa"/>
            <w:shd w:val="clear" w:color="000000" w:fill="0673A5"/>
            <w:vAlign w:val="center"/>
            <w:hideMark/>
          </w:tcPr>
          <w:p w14:paraId="27732D0D" w14:textId="77777777" w:rsidR="00CF527E" w:rsidRPr="00033E65" w:rsidRDefault="00CF527E">
            <w:pPr>
              <w:spacing w:before="0" w:after="0"/>
              <w:jc w:val="center"/>
              <w:rPr>
                <w:rFonts w:cs="Calibri"/>
                <w:b/>
                <w:bCs/>
                <w:color w:val="FFFFFF"/>
                <w:szCs w:val="22"/>
                <w:lang w:eastAsia="es-CR"/>
              </w:rPr>
            </w:pPr>
            <w:r w:rsidRPr="00033E65">
              <w:rPr>
                <w:rFonts w:cs="Calibri"/>
                <w:b/>
                <w:bCs/>
                <w:color w:val="FFFFFF"/>
                <w:szCs w:val="22"/>
                <w:lang w:eastAsia="es-CR"/>
              </w:rPr>
              <w:t xml:space="preserve">Jurisdiccional </w:t>
            </w:r>
          </w:p>
        </w:tc>
        <w:tc>
          <w:tcPr>
            <w:tcW w:w="2126" w:type="dxa"/>
            <w:shd w:val="clear" w:color="000000" w:fill="0673A5"/>
            <w:vAlign w:val="center"/>
          </w:tcPr>
          <w:p w14:paraId="7E627476" w14:textId="0DED9E7B" w:rsidR="009C1651" w:rsidRDefault="009C1651">
            <w:pPr>
              <w:spacing w:before="0" w:after="0"/>
              <w:jc w:val="center"/>
              <w:rPr>
                <w:rFonts w:cs="Calibri"/>
                <w:b/>
                <w:bCs/>
                <w:color w:val="FFFFFF"/>
                <w:szCs w:val="22"/>
                <w:lang w:eastAsia="es-CR"/>
              </w:rPr>
            </w:pPr>
            <w:r>
              <w:rPr>
                <w:rFonts w:cs="Calibri"/>
                <w:b/>
                <w:bCs/>
                <w:color w:val="FFFFFF"/>
                <w:szCs w:val="22"/>
                <w:lang w:eastAsia="es-CR"/>
              </w:rPr>
              <w:t>Defensa Pública</w:t>
            </w:r>
          </w:p>
        </w:tc>
        <w:tc>
          <w:tcPr>
            <w:tcW w:w="2126" w:type="dxa"/>
            <w:vMerge/>
            <w:vAlign w:val="center"/>
            <w:hideMark/>
          </w:tcPr>
          <w:p w14:paraId="08940B44" w14:textId="1AF6853F" w:rsidR="00CF527E" w:rsidRPr="00033E65" w:rsidRDefault="00CF527E">
            <w:pPr>
              <w:spacing w:before="0" w:after="0"/>
              <w:jc w:val="left"/>
              <w:rPr>
                <w:rFonts w:cs="Calibri"/>
                <w:b/>
                <w:bCs/>
                <w:color w:val="FFFFFF"/>
                <w:szCs w:val="22"/>
                <w:lang w:eastAsia="es-CR"/>
              </w:rPr>
            </w:pPr>
          </w:p>
        </w:tc>
      </w:tr>
      <w:tr w:rsidR="00CF527E" w:rsidRPr="00033E65" w14:paraId="632C3D18" w14:textId="77777777" w:rsidTr="00A90544">
        <w:trPr>
          <w:gridAfter w:val="1"/>
          <w:wAfter w:w="772" w:type="dxa"/>
          <w:trHeight w:val="334"/>
          <w:jc w:val="center"/>
        </w:trPr>
        <w:tc>
          <w:tcPr>
            <w:tcW w:w="2410" w:type="dxa"/>
            <w:gridSpan w:val="2"/>
            <w:shd w:val="clear" w:color="auto" w:fill="auto"/>
            <w:vAlign w:val="center"/>
            <w:hideMark/>
          </w:tcPr>
          <w:p w14:paraId="15C62B51" w14:textId="77777777" w:rsidR="00CF527E" w:rsidRPr="0043490A" w:rsidRDefault="00CF527E">
            <w:pPr>
              <w:spacing w:before="0" w:after="0"/>
              <w:jc w:val="left"/>
              <w:rPr>
                <w:rFonts w:cs="Calibri"/>
                <w:b/>
                <w:bCs/>
                <w:color w:val="000000"/>
                <w:szCs w:val="22"/>
                <w:lang w:eastAsia="es-CR"/>
              </w:rPr>
            </w:pPr>
            <w:r w:rsidRPr="00033E65">
              <w:rPr>
                <w:rFonts w:cs="Calibri"/>
                <w:b/>
                <w:bCs/>
                <w:color w:val="000000"/>
                <w:szCs w:val="22"/>
                <w:lang w:eastAsia="es-CR"/>
              </w:rPr>
              <w:t>Recurso humano</w:t>
            </w:r>
          </w:p>
        </w:tc>
        <w:tc>
          <w:tcPr>
            <w:tcW w:w="2126" w:type="dxa"/>
            <w:shd w:val="clear" w:color="auto" w:fill="auto"/>
            <w:vAlign w:val="center"/>
            <w:hideMark/>
          </w:tcPr>
          <w:p w14:paraId="6E78803D"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162 564 000,00 </w:t>
            </w:r>
          </w:p>
        </w:tc>
        <w:tc>
          <w:tcPr>
            <w:tcW w:w="2127" w:type="dxa"/>
            <w:shd w:val="clear" w:color="auto" w:fill="auto"/>
            <w:noWrap/>
            <w:vAlign w:val="center"/>
            <w:hideMark/>
          </w:tcPr>
          <w:p w14:paraId="1FDC9EBF"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320 752 000,00 </w:t>
            </w:r>
          </w:p>
        </w:tc>
        <w:tc>
          <w:tcPr>
            <w:tcW w:w="2126" w:type="dxa"/>
          </w:tcPr>
          <w:p w14:paraId="1FE9BE45" w14:textId="65C168E4" w:rsidR="009C1651" w:rsidRDefault="009C1651">
            <w:pPr>
              <w:spacing w:before="0" w:after="0"/>
              <w:jc w:val="center"/>
              <w:rPr>
                <w:rFonts w:cs="Arial"/>
                <w:szCs w:val="22"/>
                <w:lang w:eastAsia="es-CR"/>
              </w:rPr>
            </w:pPr>
            <w:r>
              <w:rPr>
                <w:rFonts w:cs="Arial"/>
                <w:szCs w:val="22"/>
                <w:lang w:eastAsia="es-CR"/>
              </w:rPr>
              <w:t>¢</w:t>
            </w:r>
            <w:r w:rsidRPr="00624403">
              <w:rPr>
                <w:rFonts w:cs="Arial"/>
                <w:szCs w:val="22"/>
                <w:lang w:eastAsia="es-CR"/>
              </w:rPr>
              <w:t>25</w:t>
            </w:r>
            <w:r>
              <w:rPr>
                <w:rFonts w:cs="Arial"/>
                <w:szCs w:val="22"/>
                <w:lang w:eastAsia="es-CR"/>
              </w:rPr>
              <w:t xml:space="preserve"> </w:t>
            </w:r>
            <w:r w:rsidRPr="00624403">
              <w:rPr>
                <w:rFonts w:cs="Arial"/>
                <w:szCs w:val="22"/>
                <w:lang w:eastAsia="es-CR"/>
              </w:rPr>
              <w:t>913</w:t>
            </w:r>
            <w:r>
              <w:rPr>
                <w:rFonts w:cs="Arial"/>
                <w:szCs w:val="22"/>
                <w:lang w:eastAsia="es-CR"/>
              </w:rPr>
              <w:t xml:space="preserve"> 000</w:t>
            </w:r>
          </w:p>
        </w:tc>
        <w:tc>
          <w:tcPr>
            <w:tcW w:w="2126" w:type="dxa"/>
            <w:shd w:val="clear" w:color="auto" w:fill="auto"/>
            <w:noWrap/>
            <w:vAlign w:val="center"/>
            <w:hideMark/>
          </w:tcPr>
          <w:p w14:paraId="6DC2BF27" w14:textId="6FD4AF21" w:rsidR="00CF527E" w:rsidRPr="00033E65" w:rsidRDefault="009C1651">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 xml:space="preserve">509 229 </w:t>
            </w:r>
            <w:r w:rsidRPr="00033E65">
              <w:rPr>
                <w:rFonts w:ascii="Times New Roman" w:hAnsi="Times New Roman"/>
                <w:b/>
                <w:bCs/>
                <w:color w:val="000000"/>
                <w:szCs w:val="22"/>
                <w:lang w:eastAsia="es-CR"/>
              </w:rPr>
              <w:t>000,00</w:t>
            </w:r>
          </w:p>
        </w:tc>
      </w:tr>
      <w:tr w:rsidR="00CF527E" w:rsidRPr="00033E65" w14:paraId="30EC618B" w14:textId="77777777" w:rsidTr="00A90544">
        <w:trPr>
          <w:gridAfter w:val="1"/>
          <w:wAfter w:w="772" w:type="dxa"/>
          <w:trHeight w:val="334"/>
          <w:jc w:val="center"/>
        </w:trPr>
        <w:tc>
          <w:tcPr>
            <w:tcW w:w="2410" w:type="dxa"/>
            <w:gridSpan w:val="2"/>
            <w:shd w:val="clear" w:color="auto" w:fill="auto"/>
            <w:vAlign w:val="center"/>
            <w:hideMark/>
          </w:tcPr>
          <w:p w14:paraId="33309A5C"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 xml:space="preserve">Equipo de cómputo </w:t>
            </w:r>
          </w:p>
        </w:tc>
        <w:tc>
          <w:tcPr>
            <w:tcW w:w="2126" w:type="dxa"/>
            <w:shd w:val="clear" w:color="auto" w:fill="auto"/>
            <w:noWrap/>
            <w:vAlign w:val="center"/>
            <w:hideMark/>
          </w:tcPr>
          <w:p w14:paraId="6A9E90B0"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7" w:type="dxa"/>
            <w:shd w:val="clear" w:color="auto" w:fill="auto"/>
            <w:noWrap/>
            <w:vAlign w:val="center"/>
            <w:hideMark/>
          </w:tcPr>
          <w:p w14:paraId="6021A4E6"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6 590 541,38 </w:t>
            </w:r>
          </w:p>
        </w:tc>
        <w:tc>
          <w:tcPr>
            <w:tcW w:w="2126" w:type="dxa"/>
          </w:tcPr>
          <w:p w14:paraId="6867D61C"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05BFFA27" w14:textId="1A23BF1F"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6 590 541,38 </w:t>
            </w:r>
          </w:p>
        </w:tc>
      </w:tr>
      <w:tr w:rsidR="00CF527E" w:rsidRPr="00033E65" w14:paraId="6B25D3C8" w14:textId="77777777" w:rsidTr="00A90544">
        <w:trPr>
          <w:gridAfter w:val="1"/>
          <w:wAfter w:w="772" w:type="dxa"/>
          <w:trHeight w:val="334"/>
          <w:jc w:val="center"/>
        </w:trPr>
        <w:tc>
          <w:tcPr>
            <w:tcW w:w="2410" w:type="dxa"/>
            <w:gridSpan w:val="2"/>
            <w:shd w:val="clear" w:color="auto" w:fill="auto"/>
            <w:vAlign w:val="center"/>
            <w:hideMark/>
          </w:tcPr>
          <w:p w14:paraId="7766CDE3"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Mobiliario de plazas nuevas.</w:t>
            </w:r>
          </w:p>
        </w:tc>
        <w:tc>
          <w:tcPr>
            <w:tcW w:w="2126" w:type="dxa"/>
            <w:shd w:val="clear" w:color="auto" w:fill="auto"/>
            <w:noWrap/>
            <w:vAlign w:val="center"/>
            <w:hideMark/>
          </w:tcPr>
          <w:p w14:paraId="3DF566BD"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7" w:type="dxa"/>
            <w:shd w:val="clear" w:color="auto" w:fill="auto"/>
            <w:noWrap/>
            <w:vAlign w:val="center"/>
            <w:hideMark/>
          </w:tcPr>
          <w:p w14:paraId="0A734272"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1 302 171,34 </w:t>
            </w:r>
          </w:p>
        </w:tc>
        <w:tc>
          <w:tcPr>
            <w:tcW w:w="2126" w:type="dxa"/>
          </w:tcPr>
          <w:p w14:paraId="44D8A0C1"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02C8C478" w14:textId="0C94D5BE"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1 302 171,34 </w:t>
            </w:r>
          </w:p>
        </w:tc>
      </w:tr>
      <w:tr w:rsidR="00CF527E" w:rsidRPr="00033E65" w14:paraId="10BF9236" w14:textId="77777777" w:rsidTr="00A90544">
        <w:trPr>
          <w:gridAfter w:val="1"/>
          <w:wAfter w:w="772" w:type="dxa"/>
          <w:trHeight w:val="334"/>
          <w:jc w:val="center"/>
        </w:trPr>
        <w:tc>
          <w:tcPr>
            <w:tcW w:w="2410" w:type="dxa"/>
            <w:gridSpan w:val="2"/>
            <w:shd w:val="clear" w:color="auto" w:fill="auto"/>
            <w:vAlign w:val="center"/>
            <w:hideMark/>
          </w:tcPr>
          <w:p w14:paraId="253A9599"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Uniformes (2 pantalones y 3 camisas)</w:t>
            </w:r>
          </w:p>
        </w:tc>
        <w:tc>
          <w:tcPr>
            <w:tcW w:w="2126" w:type="dxa"/>
            <w:shd w:val="clear" w:color="auto" w:fill="auto"/>
            <w:vAlign w:val="center"/>
            <w:hideMark/>
          </w:tcPr>
          <w:p w14:paraId="5389D563"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377 708,40 </w:t>
            </w:r>
          </w:p>
        </w:tc>
        <w:tc>
          <w:tcPr>
            <w:tcW w:w="2127" w:type="dxa"/>
            <w:shd w:val="clear" w:color="auto" w:fill="auto"/>
            <w:noWrap/>
            <w:vAlign w:val="center"/>
            <w:hideMark/>
          </w:tcPr>
          <w:p w14:paraId="69CC29C1"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0D868A08"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586AB571" w14:textId="4D108336"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377 708,40 </w:t>
            </w:r>
          </w:p>
        </w:tc>
      </w:tr>
      <w:tr w:rsidR="00CF527E" w:rsidRPr="00033E65" w14:paraId="09410FB4" w14:textId="77777777" w:rsidTr="00A90544">
        <w:trPr>
          <w:gridAfter w:val="1"/>
          <w:wAfter w:w="772" w:type="dxa"/>
          <w:trHeight w:val="334"/>
          <w:jc w:val="center"/>
        </w:trPr>
        <w:tc>
          <w:tcPr>
            <w:tcW w:w="2410" w:type="dxa"/>
            <w:gridSpan w:val="2"/>
            <w:shd w:val="clear" w:color="auto" w:fill="auto"/>
            <w:vAlign w:val="center"/>
            <w:hideMark/>
          </w:tcPr>
          <w:p w14:paraId="2058D326"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Capa</w:t>
            </w:r>
          </w:p>
        </w:tc>
        <w:tc>
          <w:tcPr>
            <w:tcW w:w="2126" w:type="dxa"/>
            <w:shd w:val="clear" w:color="auto" w:fill="auto"/>
            <w:vAlign w:val="center"/>
            <w:hideMark/>
          </w:tcPr>
          <w:p w14:paraId="0AA90EC2"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168 000,00 </w:t>
            </w:r>
          </w:p>
        </w:tc>
        <w:tc>
          <w:tcPr>
            <w:tcW w:w="2127" w:type="dxa"/>
            <w:shd w:val="clear" w:color="auto" w:fill="auto"/>
            <w:noWrap/>
            <w:vAlign w:val="center"/>
            <w:hideMark/>
          </w:tcPr>
          <w:p w14:paraId="12A7D390"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186833C9"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4B6BFFCC" w14:textId="6E1AE24A"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168 000,00 </w:t>
            </w:r>
          </w:p>
        </w:tc>
      </w:tr>
      <w:tr w:rsidR="00CF527E" w:rsidRPr="00033E65" w14:paraId="65B9DD08" w14:textId="77777777" w:rsidTr="00A90544">
        <w:trPr>
          <w:gridAfter w:val="1"/>
          <w:wAfter w:w="772" w:type="dxa"/>
          <w:trHeight w:val="334"/>
          <w:jc w:val="center"/>
        </w:trPr>
        <w:tc>
          <w:tcPr>
            <w:tcW w:w="2410" w:type="dxa"/>
            <w:gridSpan w:val="2"/>
            <w:shd w:val="clear" w:color="auto" w:fill="auto"/>
            <w:vAlign w:val="center"/>
            <w:hideMark/>
          </w:tcPr>
          <w:p w14:paraId="200410A8"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Bota de hule</w:t>
            </w:r>
          </w:p>
        </w:tc>
        <w:tc>
          <w:tcPr>
            <w:tcW w:w="2126" w:type="dxa"/>
            <w:shd w:val="clear" w:color="auto" w:fill="auto"/>
            <w:vAlign w:val="center"/>
            <w:hideMark/>
          </w:tcPr>
          <w:p w14:paraId="56FFD393"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72 000,00 </w:t>
            </w:r>
          </w:p>
        </w:tc>
        <w:tc>
          <w:tcPr>
            <w:tcW w:w="2127" w:type="dxa"/>
            <w:shd w:val="clear" w:color="auto" w:fill="auto"/>
            <w:noWrap/>
            <w:vAlign w:val="center"/>
            <w:hideMark/>
          </w:tcPr>
          <w:p w14:paraId="2F648060"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28D494F7"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3D9DB1C6" w14:textId="18B3125F"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72 000,00 </w:t>
            </w:r>
          </w:p>
        </w:tc>
      </w:tr>
      <w:tr w:rsidR="00CF527E" w:rsidRPr="00033E65" w14:paraId="06CCA693" w14:textId="77777777" w:rsidTr="00A90544">
        <w:trPr>
          <w:gridAfter w:val="1"/>
          <w:wAfter w:w="772" w:type="dxa"/>
          <w:trHeight w:val="334"/>
          <w:jc w:val="center"/>
        </w:trPr>
        <w:tc>
          <w:tcPr>
            <w:tcW w:w="2410" w:type="dxa"/>
            <w:gridSpan w:val="2"/>
            <w:shd w:val="clear" w:color="auto" w:fill="auto"/>
            <w:noWrap/>
            <w:vAlign w:val="center"/>
            <w:hideMark/>
          </w:tcPr>
          <w:p w14:paraId="26616F86"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Viáticos (solo chofer)</w:t>
            </w:r>
          </w:p>
        </w:tc>
        <w:tc>
          <w:tcPr>
            <w:tcW w:w="2126" w:type="dxa"/>
            <w:shd w:val="clear" w:color="auto" w:fill="auto"/>
            <w:vAlign w:val="center"/>
            <w:hideMark/>
          </w:tcPr>
          <w:p w14:paraId="03002593"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6 104 750,00 </w:t>
            </w:r>
          </w:p>
        </w:tc>
        <w:tc>
          <w:tcPr>
            <w:tcW w:w="2127" w:type="dxa"/>
            <w:shd w:val="clear" w:color="auto" w:fill="auto"/>
            <w:noWrap/>
            <w:vAlign w:val="center"/>
            <w:hideMark/>
          </w:tcPr>
          <w:p w14:paraId="37AE2D3A"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3B326DF5"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3009E616" w14:textId="2C790E9D"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6 104 750,00 </w:t>
            </w:r>
          </w:p>
        </w:tc>
      </w:tr>
      <w:tr w:rsidR="00CF527E" w:rsidRPr="00033E65" w14:paraId="3E009AC2" w14:textId="77777777" w:rsidTr="00A90544">
        <w:trPr>
          <w:gridAfter w:val="1"/>
          <w:wAfter w:w="772" w:type="dxa"/>
          <w:trHeight w:val="458"/>
          <w:jc w:val="center"/>
        </w:trPr>
        <w:tc>
          <w:tcPr>
            <w:tcW w:w="2410" w:type="dxa"/>
            <w:gridSpan w:val="2"/>
            <w:shd w:val="clear" w:color="auto" w:fill="auto"/>
            <w:vAlign w:val="center"/>
            <w:hideMark/>
          </w:tcPr>
          <w:p w14:paraId="741EFAF0" w14:textId="229A7644"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Mantenimiento preventivo de vehículo (incluyen los cambios de aceite)</w:t>
            </w:r>
          </w:p>
        </w:tc>
        <w:tc>
          <w:tcPr>
            <w:tcW w:w="2126" w:type="dxa"/>
            <w:shd w:val="clear" w:color="auto" w:fill="auto"/>
            <w:vAlign w:val="center"/>
            <w:hideMark/>
          </w:tcPr>
          <w:p w14:paraId="638DC976"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3 390 000,00 </w:t>
            </w:r>
          </w:p>
        </w:tc>
        <w:tc>
          <w:tcPr>
            <w:tcW w:w="2127" w:type="dxa"/>
            <w:shd w:val="clear" w:color="auto" w:fill="auto"/>
            <w:noWrap/>
            <w:vAlign w:val="center"/>
            <w:hideMark/>
          </w:tcPr>
          <w:p w14:paraId="5176B2DF"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79975EA9"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51B8EA48" w14:textId="5D2F45D8"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3 390 000,00 </w:t>
            </w:r>
          </w:p>
        </w:tc>
      </w:tr>
      <w:tr w:rsidR="00CF527E" w:rsidRPr="00033E65" w14:paraId="6443B21C" w14:textId="77777777" w:rsidTr="00A90544">
        <w:trPr>
          <w:gridAfter w:val="1"/>
          <w:wAfter w:w="772" w:type="dxa"/>
          <w:trHeight w:val="334"/>
          <w:jc w:val="center"/>
        </w:trPr>
        <w:tc>
          <w:tcPr>
            <w:tcW w:w="2410" w:type="dxa"/>
            <w:gridSpan w:val="2"/>
            <w:shd w:val="clear" w:color="auto" w:fill="auto"/>
            <w:vAlign w:val="center"/>
            <w:hideMark/>
          </w:tcPr>
          <w:p w14:paraId="383DCCB5"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Llantas</w:t>
            </w:r>
          </w:p>
        </w:tc>
        <w:tc>
          <w:tcPr>
            <w:tcW w:w="2126" w:type="dxa"/>
            <w:shd w:val="clear" w:color="auto" w:fill="auto"/>
            <w:vAlign w:val="center"/>
            <w:hideMark/>
          </w:tcPr>
          <w:p w14:paraId="35E3197D"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2 300 485,27 </w:t>
            </w:r>
          </w:p>
        </w:tc>
        <w:tc>
          <w:tcPr>
            <w:tcW w:w="2127" w:type="dxa"/>
            <w:shd w:val="clear" w:color="auto" w:fill="auto"/>
            <w:noWrap/>
            <w:vAlign w:val="center"/>
            <w:hideMark/>
          </w:tcPr>
          <w:p w14:paraId="6455B32A"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4C0C1F40"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46C73B88" w14:textId="337C8BCE"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2 300 485,27 </w:t>
            </w:r>
          </w:p>
        </w:tc>
      </w:tr>
      <w:tr w:rsidR="00CF527E" w:rsidRPr="00033E65" w14:paraId="48CD2660" w14:textId="77777777" w:rsidTr="00A90544">
        <w:trPr>
          <w:gridAfter w:val="1"/>
          <w:wAfter w:w="772" w:type="dxa"/>
          <w:trHeight w:val="334"/>
          <w:jc w:val="center"/>
        </w:trPr>
        <w:tc>
          <w:tcPr>
            <w:tcW w:w="2410" w:type="dxa"/>
            <w:gridSpan w:val="2"/>
            <w:shd w:val="clear" w:color="auto" w:fill="auto"/>
            <w:vAlign w:val="center"/>
            <w:hideMark/>
          </w:tcPr>
          <w:p w14:paraId="1414D6FB"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Repuestos</w:t>
            </w:r>
          </w:p>
        </w:tc>
        <w:tc>
          <w:tcPr>
            <w:tcW w:w="2126" w:type="dxa"/>
            <w:shd w:val="clear" w:color="auto" w:fill="auto"/>
            <w:vAlign w:val="center"/>
            <w:hideMark/>
          </w:tcPr>
          <w:p w14:paraId="7E8829DB"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3 390 000,00 </w:t>
            </w:r>
          </w:p>
        </w:tc>
        <w:tc>
          <w:tcPr>
            <w:tcW w:w="2127" w:type="dxa"/>
            <w:shd w:val="clear" w:color="auto" w:fill="auto"/>
            <w:noWrap/>
            <w:vAlign w:val="center"/>
            <w:hideMark/>
          </w:tcPr>
          <w:p w14:paraId="48BAAC1F"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0C43208D"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3C69FAF4" w14:textId="10619FFB"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3 390 000,00 </w:t>
            </w:r>
          </w:p>
        </w:tc>
      </w:tr>
      <w:tr w:rsidR="00CF527E" w:rsidRPr="00033E65" w14:paraId="6647B96E" w14:textId="77777777" w:rsidTr="00A90544">
        <w:trPr>
          <w:gridAfter w:val="1"/>
          <w:wAfter w:w="772" w:type="dxa"/>
          <w:trHeight w:val="334"/>
          <w:jc w:val="center"/>
        </w:trPr>
        <w:tc>
          <w:tcPr>
            <w:tcW w:w="2410" w:type="dxa"/>
            <w:gridSpan w:val="2"/>
            <w:shd w:val="clear" w:color="auto" w:fill="auto"/>
            <w:vAlign w:val="center"/>
            <w:hideMark/>
          </w:tcPr>
          <w:p w14:paraId="01461283"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Mantenimiento Correctivo</w:t>
            </w:r>
          </w:p>
        </w:tc>
        <w:tc>
          <w:tcPr>
            <w:tcW w:w="2126" w:type="dxa"/>
            <w:shd w:val="clear" w:color="auto" w:fill="auto"/>
            <w:vAlign w:val="center"/>
            <w:hideMark/>
          </w:tcPr>
          <w:p w14:paraId="7840D2B3"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2 034 000,00 </w:t>
            </w:r>
          </w:p>
        </w:tc>
        <w:tc>
          <w:tcPr>
            <w:tcW w:w="2127" w:type="dxa"/>
            <w:shd w:val="clear" w:color="auto" w:fill="auto"/>
            <w:noWrap/>
            <w:vAlign w:val="center"/>
            <w:hideMark/>
          </w:tcPr>
          <w:p w14:paraId="69E0162F"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35B10E24"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54C009E0" w14:textId="526988C7"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2 034 000,00 </w:t>
            </w:r>
          </w:p>
        </w:tc>
      </w:tr>
      <w:tr w:rsidR="00CF527E" w:rsidRPr="00033E65" w14:paraId="38A6A16A" w14:textId="77777777" w:rsidTr="00A90544">
        <w:trPr>
          <w:gridAfter w:val="1"/>
          <w:wAfter w:w="772" w:type="dxa"/>
          <w:trHeight w:val="334"/>
          <w:jc w:val="center"/>
        </w:trPr>
        <w:tc>
          <w:tcPr>
            <w:tcW w:w="2410" w:type="dxa"/>
            <w:gridSpan w:val="2"/>
            <w:shd w:val="clear" w:color="auto" w:fill="auto"/>
            <w:vAlign w:val="center"/>
            <w:hideMark/>
          </w:tcPr>
          <w:p w14:paraId="68A18FBE"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Batería para carro</w:t>
            </w:r>
          </w:p>
        </w:tc>
        <w:tc>
          <w:tcPr>
            <w:tcW w:w="2126" w:type="dxa"/>
            <w:shd w:val="clear" w:color="auto" w:fill="auto"/>
            <w:vAlign w:val="center"/>
            <w:hideMark/>
          </w:tcPr>
          <w:p w14:paraId="1914639D"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406 800,00 </w:t>
            </w:r>
          </w:p>
        </w:tc>
        <w:tc>
          <w:tcPr>
            <w:tcW w:w="2127" w:type="dxa"/>
            <w:shd w:val="clear" w:color="auto" w:fill="auto"/>
            <w:noWrap/>
            <w:vAlign w:val="center"/>
            <w:hideMark/>
          </w:tcPr>
          <w:p w14:paraId="3E3E2D9D"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67FC1EEF"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7268C6FC" w14:textId="628A200B"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406 800,00 </w:t>
            </w:r>
          </w:p>
        </w:tc>
      </w:tr>
      <w:tr w:rsidR="00CF527E" w:rsidRPr="00033E65" w14:paraId="2A436185" w14:textId="77777777" w:rsidTr="00A90544">
        <w:trPr>
          <w:gridAfter w:val="1"/>
          <w:wAfter w:w="772" w:type="dxa"/>
          <w:trHeight w:val="334"/>
          <w:jc w:val="center"/>
        </w:trPr>
        <w:tc>
          <w:tcPr>
            <w:tcW w:w="2410" w:type="dxa"/>
            <w:gridSpan w:val="2"/>
            <w:shd w:val="clear" w:color="auto" w:fill="auto"/>
            <w:vAlign w:val="center"/>
            <w:hideMark/>
          </w:tcPr>
          <w:p w14:paraId="6B8B40B0"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Lavado</w:t>
            </w:r>
          </w:p>
        </w:tc>
        <w:tc>
          <w:tcPr>
            <w:tcW w:w="2126" w:type="dxa"/>
            <w:shd w:val="clear" w:color="auto" w:fill="auto"/>
            <w:vAlign w:val="center"/>
            <w:hideMark/>
          </w:tcPr>
          <w:p w14:paraId="583D9054"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813 600,00 </w:t>
            </w:r>
          </w:p>
        </w:tc>
        <w:tc>
          <w:tcPr>
            <w:tcW w:w="2127" w:type="dxa"/>
            <w:shd w:val="clear" w:color="auto" w:fill="auto"/>
            <w:noWrap/>
            <w:vAlign w:val="center"/>
            <w:hideMark/>
          </w:tcPr>
          <w:p w14:paraId="4CD6D20A"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1C2F4DFC"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68449635" w14:textId="74C74858"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813 600,00 </w:t>
            </w:r>
          </w:p>
        </w:tc>
      </w:tr>
      <w:tr w:rsidR="00CF527E" w:rsidRPr="00033E65" w14:paraId="4E23DD9D" w14:textId="77777777" w:rsidTr="00A90544">
        <w:trPr>
          <w:gridAfter w:val="1"/>
          <w:wAfter w:w="772" w:type="dxa"/>
          <w:trHeight w:val="334"/>
          <w:jc w:val="center"/>
        </w:trPr>
        <w:tc>
          <w:tcPr>
            <w:tcW w:w="2410" w:type="dxa"/>
            <w:gridSpan w:val="2"/>
            <w:shd w:val="clear" w:color="auto" w:fill="auto"/>
            <w:vAlign w:val="center"/>
            <w:hideMark/>
          </w:tcPr>
          <w:p w14:paraId="7601053A"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Reparación de llantas</w:t>
            </w:r>
          </w:p>
        </w:tc>
        <w:tc>
          <w:tcPr>
            <w:tcW w:w="2126" w:type="dxa"/>
            <w:shd w:val="clear" w:color="auto" w:fill="auto"/>
            <w:vAlign w:val="center"/>
            <w:hideMark/>
          </w:tcPr>
          <w:p w14:paraId="20328113"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203 400,00 </w:t>
            </w:r>
          </w:p>
        </w:tc>
        <w:tc>
          <w:tcPr>
            <w:tcW w:w="2127" w:type="dxa"/>
            <w:shd w:val="clear" w:color="auto" w:fill="auto"/>
            <w:noWrap/>
            <w:vAlign w:val="center"/>
            <w:hideMark/>
          </w:tcPr>
          <w:p w14:paraId="4C8E8B3F"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68CEE4B6"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1380C575" w14:textId="49FC22C6"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203 400,00 </w:t>
            </w:r>
          </w:p>
        </w:tc>
      </w:tr>
      <w:tr w:rsidR="00CF527E" w:rsidRPr="00033E65" w14:paraId="5551129B" w14:textId="77777777" w:rsidTr="00A90544">
        <w:trPr>
          <w:gridAfter w:val="1"/>
          <w:wAfter w:w="772" w:type="dxa"/>
          <w:trHeight w:val="334"/>
          <w:jc w:val="center"/>
        </w:trPr>
        <w:tc>
          <w:tcPr>
            <w:tcW w:w="2410" w:type="dxa"/>
            <w:gridSpan w:val="2"/>
            <w:shd w:val="clear" w:color="auto" w:fill="auto"/>
            <w:vAlign w:val="center"/>
            <w:hideMark/>
          </w:tcPr>
          <w:p w14:paraId="50F9AE25"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Bloqueador solar</w:t>
            </w:r>
          </w:p>
        </w:tc>
        <w:tc>
          <w:tcPr>
            <w:tcW w:w="2126" w:type="dxa"/>
            <w:shd w:val="clear" w:color="auto" w:fill="auto"/>
            <w:vAlign w:val="center"/>
            <w:hideMark/>
          </w:tcPr>
          <w:p w14:paraId="159AA0AE"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90 000,00 </w:t>
            </w:r>
          </w:p>
        </w:tc>
        <w:tc>
          <w:tcPr>
            <w:tcW w:w="2127" w:type="dxa"/>
            <w:shd w:val="clear" w:color="auto" w:fill="auto"/>
            <w:noWrap/>
            <w:vAlign w:val="center"/>
            <w:hideMark/>
          </w:tcPr>
          <w:p w14:paraId="6812E184"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75D8C7E1"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37626889" w14:textId="06152FD6"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90 000,00 </w:t>
            </w:r>
          </w:p>
        </w:tc>
      </w:tr>
      <w:tr w:rsidR="00CF527E" w:rsidRPr="00033E65" w14:paraId="0573CE27" w14:textId="77777777" w:rsidTr="00A90544">
        <w:trPr>
          <w:gridAfter w:val="1"/>
          <w:wAfter w:w="772" w:type="dxa"/>
          <w:trHeight w:val="334"/>
          <w:jc w:val="center"/>
        </w:trPr>
        <w:tc>
          <w:tcPr>
            <w:tcW w:w="2410" w:type="dxa"/>
            <w:gridSpan w:val="2"/>
            <w:shd w:val="clear" w:color="auto" w:fill="auto"/>
            <w:vAlign w:val="center"/>
            <w:hideMark/>
          </w:tcPr>
          <w:p w14:paraId="22439F0D"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Mangas protectoras</w:t>
            </w:r>
          </w:p>
        </w:tc>
        <w:tc>
          <w:tcPr>
            <w:tcW w:w="2126" w:type="dxa"/>
            <w:shd w:val="clear" w:color="auto" w:fill="auto"/>
            <w:vAlign w:val="center"/>
            <w:hideMark/>
          </w:tcPr>
          <w:p w14:paraId="173967ED"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36 000,00 </w:t>
            </w:r>
          </w:p>
        </w:tc>
        <w:tc>
          <w:tcPr>
            <w:tcW w:w="2127" w:type="dxa"/>
            <w:shd w:val="clear" w:color="auto" w:fill="auto"/>
            <w:noWrap/>
            <w:vAlign w:val="center"/>
            <w:hideMark/>
          </w:tcPr>
          <w:p w14:paraId="1054BD67"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5363F620"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1DF2C4C7" w14:textId="1380E87E"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36 000,00 </w:t>
            </w:r>
          </w:p>
        </w:tc>
      </w:tr>
      <w:tr w:rsidR="00CF527E" w:rsidRPr="00033E65" w14:paraId="1B78B2F0" w14:textId="77777777" w:rsidTr="00A90544">
        <w:trPr>
          <w:gridAfter w:val="1"/>
          <w:wAfter w:w="772" w:type="dxa"/>
          <w:trHeight w:val="334"/>
          <w:jc w:val="center"/>
        </w:trPr>
        <w:tc>
          <w:tcPr>
            <w:tcW w:w="2410" w:type="dxa"/>
            <w:gridSpan w:val="2"/>
            <w:shd w:val="clear" w:color="auto" w:fill="auto"/>
            <w:vAlign w:val="center"/>
            <w:hideMark/>
          </w:tcPr>
          <w:p w14:paraId="46B86910" w14:textId="77777777" w:rsidR="00CF527E" w:rsidRPr="00033E65" w:rsidRDefault="00CF527E">
            <w:pPr>
              <w:spacing w:before="0" w:after="0"/>
              <w:jc w:val="left"/>
              <w:rPr>
                <w:rFonts w:cs="Calibri"/>
                <w:color w:val="000000"/>
                <w:szCs w:val="22"/>
                <w:lang w:eastAsia="es-CR"/>
              </w:rPr>
            </w:pPr>
            <w:r w:rsidRPr="00033E65">
              <w:rPr>
                <w:rFonts w:cs="Calibri"/>
                <w:color w:val="000000"/>
                <w:szCs w:val="22"/>
                <w:lang w:eastAsia="es-CR"/>
              </w:rPr>
              <w:t>Repelente</w:t>
            </w:r>
          </w:p>
        </w:tc>
        <w:tc>
          <w:tcPr>
            <w:tcW w:w="2126" w:type="dxa"/>
            <w:shd w:val="clear" w:color="auto" w:fill="auto"/>
            <w:vAlign w:val="center"/>
            <w:hideMark/>
          </w:tcPr>
          <w:p w14:paraId="2BA35BD0" w14:textId="77777777" w:rsidR="00CF527E" w:rsidRPr="00033E65" w:rsidRDefault="00CF527E">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36 000,00 </w:t>
            </w:r>
          </w:p>
        </w:tc>
        <w:tc>
          <w:tcPr>
            <w:tcW w:w="2127" w:type="dxa"/>
            <w:shd w:val="clear" w:color="auto" w:fill="auto"/>
            <w:noWrap/>
            <w:vAlign w:val="center"/>
            <w:hideMark/>
          </w:tcPr>
          <w:p w14:paraId="3505FB9A" w14:textId="77777777" w:rsidR="00CF527E" w:rsidRPr="00033E65" w:rsidRDefault="00CF527E">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4377FE74" w14:textId="77777777" w:rsidR="005305BF" w:rsidRPr="00033E65" w:rsidRDefault="005305BF">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41920FE6" w14:textId="1EB2912C"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36 000,00 </w:t>
            </w:r>
          </w:p>
        </w:tc>
      </w:tr>
      <w:tr w:rsidR="00054296" w:rsidRPr="00033E65" w14:paraId="25EA6AC0" w14:textId="77777777" w:rsidTr="00A90544">
        <w:trPr>
          <w:gridAfter w:val="1"/>
          <w:wAfter w:w="772" w:type="dxa"/>
          <w:trHeight w:val="334"/>
          <w:jc w:val="center"/>
        </w:trPr>
        <w:tc>
          <w:tcPr>
            <w:tcW w:w="2410" w:type="dxa"/>
            <w:gridSpan w:val="2"/>
            <w:shd w:val="clear" w:color="auto" w:fill="auto"/>
            <w:vAlign w:val="bottom"/>
          </w:tcPr>
          <w:p w14:paraId="0ABB61C2" w14:textId="561171DC" w:rsidR="00054296" w:rsidRPr="00033E65" w:rsidRDefault="00054296" w:rsidP="00054296">
            <w:pPr>
              <w:spacing w:before="0" w:after="0"/>
              <w:jc w:val="left"/>
              <w:rPr>
                <w:rFonts w:cs="Calibri"/>
                <w:color w:val="000000"/>
                <w:szCs w:val="22"/>
                <w:lang w:eastAsia="es-CR"/>
              </w:rPr>
            </w:pPr>
            <w:r w:rsidRPr="00624403">
              <w:rPr>
                <w:rFonts w:cs="Arial"/>
                <w:szCs w:val="22"/>
                <w:lang w:eastAsia="es-CR"/>
              </w:rPr>
              <w:t>Computadora</w:t>
            </w:r>
          </w:p>
        </w:tc>
        <w:tc>
          <w:tcPr>
            <w:tcW w:w="2126" w:type="dxa"/>
            <w:shd w:val="clear" w:color="auto" w:fill="auto"/>
            <w:vAlign w:val="center"/>
          </w:tcPr>
          <w:p w14:paraId="51A21156" w14:textId="77777777" w:rsidR="00054296" w:rsidRPr="00033E65" w:rsidRDefault="00054296" w:rsidP="00054296">
            <w:pPr>
              <w:spacing w:before="0" w:after="0"/>
              <w:jc w:val="center"/>
              <w:rPr>
                <w:rFonts w:ascii="Times New Roman" w:hAnsi="Times New Roman"/>
                <w:color w:val="000000"/>
                <w:szCs w:val="22"/>
                <w:lang w:eastAsia="es-CR"/>
              </w:rPr>
            </w:pPr>
          </w:p>
        </w:tc>
        <w:tc>
          <w:tcPr>
            <w:tcW w:w="2127" w:type="dxa"/>
            <w:shd w:val="clear" w:color="auto" w:fill="auto"/>
            <w:noWrap/>
            <w:vAlign w:val="center"/>
          </w:tcPr>
          <w:p w14:paraId="5180037B" w14:textId="77777777" w:rsidR="00054296" w:rsidRPr="00033E65" w:rsidRDefault="00054296" w:rsidP="00054296">
            <w:pPr>
              <w:spacing w:before="0" w:after="0"/>
              <w:rPr>
                <w:rFonts w:ascii="Times New Roman" w:hAnsi="Times New Roman"/>
                <w:color w:val="000000"/>
                <w:szCs w:val="22"/>
                <w:lang w:eastAsia="es-CR"/>
              </w:rPr>
            </w:pPr>
          </w:p>
        </w:tc>
        <w:tc>
          <w:tcPr>
            <w:tcW w:w="2126" w:type="dxa"/>
            <w:vAlign w:val="center"/>
          </w:tcPr>
          <w:p w14:paraId="37126D76" w14:textId="7649EAF9" w:rsidR="00054296" w:rsidRPr="00033E65" w:rsidRDefault="00054296" w:rsidP="00054296">
            <w:pPr>
              <w:spacing w:before="0" w:after="0"/>
              <w:jc w:val="center"/>
              <w:rPr>
                <w:rFonts w:ascii="Times New Roman" w:hAnsi="Times New Roman"/>
                <w:b/>
                <w:bCs/>
                <w:color w:val="000000"/>
                <w:szCs w:val="22"/>
                <w:lang w:eastAsia="es-CR"/>
              </w:rPr>
            </w:pPr>
            <w:r w:rsidRPr="00624403">
              <w:rPr>
                <w:rFonts w:cs="Arial"/>
                <w:b/>
                <w:bCs/>
                <w:szCs w:val="22"/>
                <w:lang w:eastAsia="es-CR"/>
              </w:rPr>
              <w:t>823 610</w:t>
            </w:r>
          </w:p>
        </w:tc>
        <w:tc>
          <w:tcPr>
            <w:tcW w:w="2126" w:type="dxa"/>
            <w:shd w:val="clear" w:color="auto" w:fill="auto"/>
            <w:noWrap/>
            <w:vAlign w:val="center"/>
          </w:tcPr>
          <w:p w14:paraId="58FE114C" w14:textId="77777777" w:rsidR="00054296" w:rsidRPr="00033E65" w:rsidRDefault="00054296" w:rsidP="00054296">
            <w:pPr>
              <w:spacing w:before="0" w:after="0"/>
              <w:jc w:val="center"/>
              <w:rPr>
                <w:rFonts w:ascii="Times New Roman" w:hAnsi="Times New Roman"/>
                <w:b/>
                <w:bCs/>
                <w:color w:val="000000"/>
                <w:szCs w:val="22"/>
                <w:lang w:eastAsia="es-CR"/>
              </w:rPr>
            </w:pPr>
          </w:p>
        </w:tc>
      </w:tr>
      <w:tr w:rsidR="00054296" w:rsidRPr="00033E65" w14:paraId="78D6A48F" w14:textId="77777777" w:rsidTr="00A90544">
        <w:trPr>
          <w:gridAfter w:val="1"/>
          <w:wAfter w:w="772" w:type="dxa"/>
          <w:trHeight w:val="334"/>
          <w:jc w:val="center"/>
        </w:trPr>
        <w:tc>
          <w:tcPr>
            <w:tcW w:w="2410" w:type="dxa"/>
            <w:gridSpan w:val="2"/>
            <w:shd w:val="clear" w:color="auto" w:fill="auto"/>
            <w:vAlign w:val="bottom"/>
          </w:tcPr>
          <w:p w14:paraId="34881899" w14:textId="0CC83B6F" w:rsidR="00054296" w:rsidRPr="00033E65" w:rsidRDefault="00054296" w:rsidP="00054296">
            <w:pPr>
              <w:spacing w:before="0" w:after="0"/>
              <w:jc w:val="left"/>
              <w:rPr>
                <w:rFonts w:cs="Calibri"/>
                <w:color w:val="000000"/>
                <w:szCs w:val="22"/>
                <w:lang w:eastAsia="es-CR"/>
              </w:rPr>
            </w:pPr>
            <w:r w:rsidRPr="00624403">
              <w:rPr>
                <w:rFonts w:cs="Arial"/>
                <w:szCs w:val="22"/>
                <w:lang w:eastAsia="es-CR"/>
              </w:rPr>
              <w:t>Estación de servicio con aditamiento para mouse</w:t>
            </w:r>
          </w:p>
        </w:tc>
        <w:tc>
          <w:tcPr>
            <w:tcW w:w="2126" w:type="dxa"/>
            <w:shd w:val="clear" w:color="auto" w:fill="auto"/>
            <w:vAlign w:val="center"/>
          </w:tcPr>
          <w:p w14:paraId="64246FE9" w14:textId="77777777" w:rsidR="00054296" w:rsidRPr="00033E65" w:rsidRDefault="00054296" w:rsidP="00054296">
            <w:pPr>
              <w:spacing w:before="0" w:after="0"/>
              <w:jc w:val="center"/>
              <w:rPr>
                <w:rFonts w:ascii="Times New Roman" w:hAnsi="Times New Roman"/>
                <w:color w:val="000000"/>
                <w:szCs w:val="22"/>
                <w:lang w:eastAsia="es-CR"/>
              </w:rPr>
            </w:pPr>
          </w:p>
        </w:tc>
        <w:tc>
          <w:tcPr>
            <w:tcW w:w="2127" w:type="dxa"/>
            <w:shd w:val="clear" w:color="auto" w:fill="auto"/>
            <w:noWrap/>
            <w:vAlign w:val="center"/>
          </w:tcPr>
          <w:p w14:paraId="64E61EAD" w14:textId="77777777" w:rsidR="00054296" w:rsidRPr="00033E65" w:rsidRDefault="00054296" w:rsidP="00054296">
            <w:pPr>
              <w:spacing w:before="0" w:after="0"/>
              <w:rPr>
                <w:rFonts w:ascii="Times New Roman" w:hAnsi="Times New Roman"/>
                <w:color w:val="000000"/>
                <w:szCs w:val="22"/>
                <w:lang w:eastAsia="es-CR"/>
              </w:rPr>
            </w:pPr>
          </w:p>
        </w:tc>
        <w:tc>
          <w:tcPr>
            <w:tcW w:w="2126" w:type="dxa"/>
            <w:vAlign w:val="center"/>
          </w:tcPr>
          <w:p w14:paraId="6B33B54D" w14:textId="789CD73B" w:rsidR="00054296" w:rsidRPr="00033E65" w:rsidRDefault="00054296" w:rsidP="00054296">
            <w:pPr>
              <w:spacing w:before="0" w:after="0"/>
              <w:jc w:val="center"/>
              <w:rPr>
                <w:rFonts w:ascii="Times New Roman" w:hAnsi="Times New Roman"/>
                <w:b/>
                <w:bCs/>
                <w:color w:val="000000"/>
                <w:szCs w:val="22"/>
                <w:lang w:eastAsia="es-CR"/>
              </w:rPr>
            </w:pPr>
            <w:r w:rsidRPr="00624403">
              <w:rPr>
                <w:rFonts w:cs="Arial"/>
                <w:b/>
                <w:bCs/>
                <w:szCs w:val="22"/>
                <w:lang w:eastAsia="es-CR"/>
              </w:rPr>
              <w:t>153 950</w:t>
            </w:r>
          </w:p>
        </w:tc>
        <w:tc>
          <w:tcPr>
            <w:tcW w:w="2126" w:type="dxa"/>
            <w:shd w:val="clear" w:color="auto" w:fill="auto"/>
            <w:noWrap/>
            <w:vAlign w:val="center"/>
          </w:tcPr>
          <w:p w14:paraId="39BF3EBD" w14:textId="77777777" w:rsidR="00054296" w:rsidRPr="00033E65" w:rsidRDefault="00054296" w:rsidP="00054296">
            <w:pPr>
              <w:spacing w:before="0" w:after="0"/>
              <w:jc w:val="center"/>
              <w:rPr>
                <w:rFonts w:ascii="Times New Roman" w:hAnsi="Times New Roman"/>
                <w:b/>
                <w:bCs/>
                <w:color w:val="000000"/>
                <w:szCs w:val="22"/>
                <w:lang w:eastAsia="es-CR"/>
              </w:rPr>
            </w:pPr>
          </w:p>
        </w:tc>
      </w:tr>
      <w:tr w:rsidR="00054296" w:rsidRPr="00033E65" w14:paraId="7F25508F" w14:textId="77777777" w:rsidTr="00A90544">
        <w:trPr>
          <w:gridAfter w:val="1"/>
          <w:wAfter w:w="772" w:type="dxa"/>
          <w:trHeight w:val="334"/>
          <w:jc w:val="center"/>
        </w:trPr>
        <w:tc>
          <w:tcPr>
            <w:tcW w:w="2410" w:type="dxa"/>
            <w:gridSpan w:val="2"/>
            <w:shd w:val="clear" w:color="auto" w:fill="auto"/>
            <w:vAlign w:val="bottom"/>
          </w:tcPr>
          <w:p w14:paraId="3808D23C" w14:textId="33F9DE55" w:rsidR="00054296" w:rsidRPr="00033E65" w:rsidRDefault="00054296" w:rsidP="00054296">
            <w:pPr>
              <w:spacing w:before="0" w:after="0"/>
              <w:jc w:val="left"/>
              <w:rPr>
                <w:rFonts w:cs="Calibri"/>
                <w:color w:val="000000"/>
                <w:szCs w:val="22"/>
                <w:lang w:eastAsia="es-CR"/>
              </w:rPr>
            </w:pPr>
            <w:r w:rsidRPr="00624403">
              <w:rPr>
                <w:rFonts w:cs="Arial"/>
                <w:szCs w:val="22"/>
                <w:lang w:eastAsia="es-CR"/>
              </w:rPr>
              <w:t>Silla giratoria secretarial (ergonómica)</w:t>
            </w:r>
          </w:p>
        </w:tc>
        <w:tc>
          <w:tcPr>
            <w:tcW w:w="2126" w:type="dxa"/>
            <w:shd w:val="clear" w:color="auto" w:fill="auto"/>
            <w:vAlign w:val="center"/>
          </w:tcPr>
          <w:p w14:paraId="45760CE1" w14:textId="77777777" w:rsidR="00054296" w:rsidRPr="00033E65" w:rsidRDefault="00054296" w:rsidP="00054296">
            <w:pPr>
              <w:spacing w:before="0" w:after="0"/>
              <w:jc w:val="center"/>
              <w:rPr>
                <w:rFonts w:ascii="Times New Roman" w:hAnsi="Times New Roman"/>
                <w:color w:val="000000"/>
                <w:szCs w:val="22"/>
                <w:lang w:eastAsia="es-CR"/>
              </w:rPr>
            </w:pPr>
          </w:p>
        </w:tc>
        <w:tc>
          <w:tcPr>
            <w:tcW w:w="2127" w:type="dxa"/>
            <w:shd w:val="clear" w:color="auto" w:fill="auto"/>
            <w:noWrap/>
            <w:vAlign w:val="center"/>
          </w:tcPr>
          <w:p w14:paraId="5CD8FFB5" w14:textId="77777777" w:rsidR="00054296" w:rsidRPr="00033E65" w:rsidRDefault="00054296" w:rsidP="00054296">
            <w:pPr>
              <w:spacing w:before="0" w:after="0"/>
              <w:rPr>
                <w:rFonts w:ascii="Times New Roman" w:hAnsi="Times New Roman"/>
                <w:color w:val="000000"/>
                <w:szCs w:val="22"/>
                <w:lang w:eastAsia="es-CR"/>
              </w:rPr>
            </w:pPr>
          </w:p>
        </w:tc>
        <w:tc>
          <w:tcPr>
            <w:tcW w:w="2126" w:type="dxa"/>
            <w:vAlign w:val="center"/>
          </w:tcPr>
          <w:p w14:paraId="0BD6B925" w14:textId="13D32BF0" w:rsidR="00054296" w:rsidRPr="00033E65" w:rsidRDefault="00054296" w:rsidP="00054296">
            <w:pPr>
              <w:spacing w:before="0" w:after="0"/>
              <w:jc w:val="center"/>
              <w:rPr>
                <w:rFonts w:ascii="Times New Roman" w:hAnsi="Times New Roman"/>
                <w:b/>
                <w:bCs/>
                <w:color w:val="000000"/>
                <w:szCs w:val="22"/>
                <w:lang w:eastAsia="es-CR"/>
              </w:rPr>
            </w:pPr>
            <w:r w:rsidRPr="00624403">
              <w:rPr>
                <w:rFonts w:cs="Arial"/>
                <w:b/>
                <w:bCs/>
                <w:szCs w:val="22"/>
                <w:lang w:eastAsia="es-CR"/>
              </w:rPr>
              <w:t>81 360</w:t>
            </w:r>
          </w:p>
        </w:tc>
        <w:tc>
          <w:tcPr>
            <w:tcW w:w="2126" w:type="dxa"/>
            <w:shd w:val="clear" w:color="auto" w:fill="auto"/>
            <w:noWrap/>
            <w:vAlign w:val="center"/>
          </w:tcPr>
          <w:p w14:paraId="4789739E" w14:textId="77777777" w:rsidR="00054296" w:rsidRPr="00033E65" w:rsidRDefault="00054296" w:rsidP="00054296">
            <w:pPr>
              <w:spacing w:before="0" w:after="0"/>
              <w:jc w:val="center"/>
              <w:rPr>
                <w:rFonts w:ascii="Times New Roman" w:hAnsi="Times New Roman"/>
                <w:b/>
                <w:bCs/>
                <w:color w:val="000000"/>
                <w:szCs w:val="22"/>
                <w:lang w:eastAsia="es-CR"/>
              </w:rPr>
            </w:pPr>
          </w:p>
        </w:tc>
      </w:tr>
      <w:tr w:rsidR="00054296" w:rsidRPr="00033E65" w14:paraId="19D46D26" w14:textId="77777777" w:rsidTr="00A90544">
        <w:trPr>
          <w:gridAfter w:val="1"/>
          <w:wAfter w:w="772" w:type="dxa"/>
          <w:trHeight w:val="334"/>
          <w:jc w:val="center"/>
        </w:trPr>
        <w:tc>
          <w:tcPr>
            <w:tcW w:w="2410" w:type="dxa"/>
            <w:gridSpan w:val="2"/>
            <w:shd w:val="clear" w:color="auto" w:fill="auto"/>
            <w:vAlign w:val="center"/>
          </w:tcPr>
          <w:p w14:paraId="5ADB0E77" w14:textId="27494D7D" w:rsidR="00054296" w:rsidRPr="00033E65" w:rsidRDefault="00054296" w:rsidP="00054296">
            <w:pPr>
              <w:spacing w:before="0" w:after="0"/>
              <w:jc w:val="left"/>
              <w:rPr>
                <w:rFonts w:cs="Calibri"/>
                <w:color w:val="000000"/>
                <w:szCs w:val="22"/>
                <w:lang w:eastAsia="es-CR"/>
              </w:rPr>
            </w:pPr>
            <w:r w:rsidRPr="00624403">
              <w:rPr>
                <w:rFonts w:cs="Arial"/>
                <w:color w:val="000000"/>
                <w:szCs w:val="22"/>
              </w:rPr>
              <w:t xml:space="preserve">Licencias de software o </w:t>
            </w:r>
            <w:r>
              <w:rPr>
                <w:rFonts w:cs="Arial"/>
                <w:color w:val="000000"/>
                <w:szCs w:val="22"/>
              </w:rPr>
              <w:t>renovación (Licencia E3)</w:t>
            </w:r>
          </w:p>
        </w:tc>
        <w:tc>
          <w:tcPr>
            <w:tcW w:w="2126" w:type="dxa"/>
            <w:shd w:val="clear" w:color="auto" w:fill="auto"/>
            <w:vAlign w:val="center"/>
          </w:tcPr>
          <w:p w14:paraId="20C6D4A8" w14:textId="77777777" w:rsidR="00054296" w:rsidRPr="00033E65" w:rsidRDefault="00054296" w:rsidP="00054296">
            <w:pPr>
              <w:spacing w:before="0" w:after="0"/>
              <w:jc w:val="center"/>
              <w:rPr>
                <w:rFonts w:ascii="Times New Roman" w:hAnsi="Times New Roman"/>
                <w:color w:val="000000"/>
                <w:szCs w:val="22"/>
                <w:lang w:eastAsia="es-CR"/>
              </w:rPr>
            </w:pPr>
          </w:p>
        </w:tc>
        <w:tc>
          <w:tcPr>
            <w:tcW w:w="2127" w:type="dxa"/>
            <w:shd w:val="clear" w:color="auto" w:fill="auto"/>
            <w:noWrap/>
            <w:vAlign w:val="center"/>
          </w:tcPr>
          <w:p w14:paraId="06D8FA51" w14:textId="77777777" w:rsidR="00054296" w:rsidRPr="00033E65" w:rsidRDefault="00054296" w:rsidP="00054296">
            <w:pPr>
              <w:spacing w:before="0" w:after="0"/>
              <w:rPr>
                <w:rFonts w:ascii="Times New Roman" w:hAnsi="Times New Roman"/>
                <w:color w:val="000000"/>
                <w:szCs w:val="22"/>
                <w:lang w:eastAsia="es-CR"/>
              </w:rPr>
            </w:pPr>
          </w:p>
        </w:tc>
        <w:tc>
          <w:tcPr>
            <w:tcW w:w="2126" w:type="dxa"/>
            <w:vAlign w:val="center"/>
          </w:tcPr>
          <w:p w14:paraId="4D079B44" w14:textId="422E69D6" w:rsidR="00054296" w:rsidRPr="00033E65" w:rsidRDefault="00054296" w:rsidP="00054296">
            <w:pPr>
              <w:spacing w:before="0" w:after="0"/>
              <w:jc w:val="center"/>
              <w:rPr>
                <w:rFonts w:ascii="Times New Roman" w:hAnsi="Times New Roman"/>
                <w:b/>
                <w:bCs/>
                <w:color w:val="000000"/>
                <w:szCs w:val="22"/>
                <w:lang w:eastAsia="es-CR"/>
              </w:rPr>
            </w:pPr>
            <w:r w:rsidRPr="00624403">
              <w:rPr>
                <w:rFonts w:cs="Arial"/>
                <w:szCs w:val="22"/>
                <w:lang w:eastAsia="es-CR"/>
              </w:rPr>
              <w:t>114 337,92</w:t>
            </w:r>
          </w:p>
        </w:tc>
        <w:tc>
          <w:tcPr>
            <w:tcW w:w="2126" w:type="dxa"/>
            <w:shd w:val="clear" w:color="auto" w:fill="auto"/>
            <w:noWrap/>
            <w:vAlign w:val="center"/>
          </w:tcPr>
          <w:p w14:paraId="37DC4F21" w14:textId="77777777" w:rsidR="00054296" w:rsidRPr="00033E65" w:rsidRDefault="00054296" w:rsidP="00054296">
            <w:pPr>
              <w:spacing w:before="0" w:after="0"/>
              <w:jc w:val="center"/>
              <w:rPr>
                <w:rFonts w:ascii="Times New Roman" w:hAnsi="Times New Roman"/>
                <w:b/>
                <w:bCs/>
                <w:color w:val="000000"/>
                <w:szCs w:val="22"/>
                <w:lang w:eastAsia="es-CR"/>
              </w:rPr>
            </w:pPr>
          </w:p>
        </w:tc>
      </w:tr>
      <w:tr w:rsidR="001074AC" w:rsidRPr="00033E65" w14:paraId="3AB0496B" w14:textId="77777777" w:rsidTr="004E4646">
        <w:trPr>
          <w:gridAfter w:val="1"/>
          <w:wAfter w:w="772" w:type="dxa"/>
          <w:trHeight w:val="455"/>
          <w:jc w:val="center"/>
        </w:trPr>
        <w:tc>
          <w:tcPr>
            <w:tcW w:w="2410" w:type="dxa"/>
            <w:gridSpan w:val="2"/>
            <w:vMerge w:val="restart"/>
            <w:shd w:val="clear" w:color="000000" w:fill="DCE6F1"/>
            <w:noWrap/>
            <w:vAlign w:val="center"/>
            <w:hideMark/>
          </w:tcPr>
          <w:p w14:paraId="00756680" w14:textId="77777777" w:rsidR="00CF527E" w:rsidRPr="00033E65" w:rsidRDefault="00CF527E">
            <w:pPr>
              <w:spacing w:before="0" w:after="0"/>
              <w:jc w:val="right"/>
              <w:rPr>
                <w:rFonts w:cs="Calibri"/>
                <w:b/>
                <w:bCs/>
                <w:color w:val="000000"/>
                <w:szCs w:val="22"/>
                <w:lang w:eastAsia="es-CR"/>
              </w:rPr>
            </w:pPr>
            <w:r w:rsidRPr="00033E65">
              <w:rPr>
                <w:rFonts w:cs="Calibri"/>
                <w:b/>
                <w:bCs/>
                <w:color w:val="000000"/>
                <w:szCs w:val="22"/>
                <w:lang w:eastAsia="es-CR"/>
              </w:rPr>
              <w:t>Total por programa presupuestario</w:t>
            </w:r>
          </w:p>
        </w:tc>
        <w:tc>
          <w:tcPr>
            <w:tcW w:w="2126" w:type="dxa"/>
            <w:vMerge w:val="restart"/>
            <w:shd w:val="clear" w:color="000000" w:fill="DCE6F1"/>
            <w:noWrap/>
            <w:vAlign w:val="center"/>
            <w:hideMark/>
          </w:tcPr>
          <w:p w14:paraId="32E9F0A7" w14:textId="77777777"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181 986 743,67 </w:t>
            </w:r>
          </w:p>
        </w:tc>
        <w:tc>
          <w:tcPr>
            <w:tcW w:w="2127" w:type="dxa"/>
            <w:vMerge w:val="restart"/>
            <w:shd w:val="clear" w:color="000000" w:fill="DCE6F1"/>
            <w:noWrap/>
            <w:vAlign w:val="center"/>
            <w:hideMark/>
          </w:tcPr>
          <w:p w14:paraId="53C1FA54" w14:textId="77777777"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328 644 712,72 </w:t>
            </w:r>
          </w:p>
        </w:tc>
        <w:tc>
          <w:tcPr>
            <w:tcW w:w="2126" w:type="dxa"/>
            <w:vMerge w:val="restart"/>
            <w:shd w:val="clear" w:color="000000" w:fill="DCE6F1"/>
            <w:vAlign w:val="center"/>
          </w:tcPr>
          <w:p w14:paraId="6643CE6C" w14:textId="466C36B7" w:rsidR="004E4646" w:rsidRPr="004E4646" w:rsidRDefault="004E4646" w:rsidP="004E4646">
            <w:pPr>
              <w:spacing w:before="0" w:after="0"/>
              <w:jc w:val="center"/>
              <w:rPr>
                <w:rFonts w:ascii="Times New Roman" w:hAnsi="Times New Roman"/>
                <w:b/>
                <w:bCs/>
                <w:color w:val="000000" w:themeColor="text1"/>
                <w:szCs w:val="22"/>
                <w:lang w:eastAsia="es-CR"/>
              </w:rPr>
            </w:pPr>
            <w:r w:rsidRPr="004E4646">
              <w:rPr>
                <w:rFonts w:ascii="Times New Roman" w:hAnsi="Times New Roman"/>
                <w:b/>
                <w:bCs/>
                <w:color w:val="000000" w:themeColor="text1"/>
                <w:szCs w:val="22"/>
                <w:lang w:eastAsia="es-CR"/>
              </w:rPr>
              <w:t>27 086 257,92</w:t>
            </w:r>
          </w:p>
        </w:tc>
        <w:tc>
          <w:tcPr>
            <w:tcW w:w="2126" w:type="dxa"/>
            <w:vMerge w:val="restart"/>
            <w:shd w:val="clear" w:color="000000" w:fill="DCE6F1"/>
            <w:noWrap/>
            <w:vAlign w:val="center"/>
            <w:hideMark/>
          </w:tcPr>
          <w:p w14:paraId="53AD4EAE" w14:textId="7B2083B9" w:rsidR="00CF527E" w:rsidRPr="00033E65" w:rsidRDefault="00CF527E">
            <w:pPr>
              <w:spacing w:before="0" w:after="0"/>
              <w:jc w:val="center"/>
              <w:rPr>
                <w:rFonts w:ascii="Times New Roman" w:hAnsi="Times New Roman"/>
                <w:b/>
                <w:bCs/>
                <w:color w:val="000000"/>
                <w:szCs w:val="22"/>
                <w:lang w:eastAsia="es-CR"/>
              </w:rPr>
            </w:pPr>
            <w:r w:rsidRPr="00033E65">
              <w:rPr>
                <w:rFonts w:ascii="Times New Roman" w:hAnsi="Times New Roman"/>
                <w:b/>
                <w:bCs/>
                <w:color w:val="000000" w:themeColor="text1"/>
                <w:szCs w:val="22"/>
                <w:lang w:eastAsia="es-CR"/>
              </w:rPr>
              <w:t xml:space="preserve"> ₡     </w:t>
            </w:r>
            <w:r w:rsidR="00D62483" w:rsidRPr="00D62483">
              <w:rPr>
                <w:rFonts w:ascii="Times New Roman" w:hAnsi="Times New Roman"/>
                <w:b/>
                <w:bCs/>
                <w:color w:val="000000" w:themeColor="text1"/>
                <w:szCs w:val="22"/>
                <w:lang w:eastAsia="es-CR"/>
              </w:rPr>
              <w:t>537 717 715,31</w:t>
            </w:r>
          </w:p>
        </w:tc>
      </w:tr>
      <w:tr w:rsidR="00CF527E" w:rsidRPr="00033E65" w14:paraId="1B6F5B8A" w14:textId="77777777">
        <w:trPr>
          <w:trHeight w:val="162"/>
          <w:jc w:val="center"/>
        </w:trPr>
        <w:tc>
          <w:tcPr>
            <w:tcW w:w="2410" w:type="dxa"/>
            <w:gridSpan w:val="2"/>
            <w:vMerge/>
            <w:vAlign w:val="center"/>
            <w:hideMark/>
          </w:tcPr>
          <w:p w14:paraId="17FD7068" w14:textId="77777777" w:rsidR="00CF527E" w:rsidRPr="00033E65" w:rsidRDefault="00CF527E">
            <w:pPr>
              <w:spacing w:before="0" w:after="0"/>
              <w:jc w:val="left"/>
              <w:rPr>
                <w:rFonts w:cs="Calibri"/>
                <w:b/>
                <w:bCs/>
                <w:color w:val="000000"/>
                <w:szCs w:val="22"/>
                <w:lang w:eastAsia="es-CR"/>
              </w:rPr>
            </w:pPr>
          </w:p>
        </w:tc>
        <w:tc>
          <w:tcPr>
            <w:tcW w:w="2126" w:type="dxa"/>
            <w:vMerge/>
            <w:vAlign w:val="center"/>
            <w:hideMark/>
          </w:tcPr>
          <w:p w14:paraId="70CDF3C9" w14:textId="77777777" w:rsidR="00CF527E" w:rsidRPr="00033E65" w:rsidRDefault="00CF527E">
            <w:pPr>
              <w:spacing w:before="0" w:after="0"/>
              <w:jc w:val="left"/>
              <w:rPr>
                <w:rFonts w:ascii="Times New Roman" w:hAnsi="Times New Roman"/>
                <w:b/>
                <w:bCs/>
                <w:color w:val="000000"/>
                <w:szCs w:val="22"/>
                <w:lang w:eastAsia="es-CR"/>
              </w:rPr>
            </w:pPr>
          </w:p>
        </w:tc>
        <w:tc>
          <w:tcPr>
            <w:tcW w:w="2127" w:type="dxa"/>
            <w:vMerge/>
            <w:vAlign w:val="center"/>
            <w:hideMark/>
          </w:tcPr>
          <w:p w14:paraId="280E5417" w14:textId="77777777" w:rsidR="00CF527E" w:rsidRPr="00033E65" w:rsidRDefault="00CF527E">
            <w:pPr>
              <w:spacing w:before="0" w:after="0"/>
              <w:jc w:val="left"/>
              <w:rPr>
                <w:rFonts w:ascii="Times New Roman" w:hAnsi="Times New Roman"/>
                <w:b/>
                <w:bCs/>
                <w:color w:val="000000"/>
                <w:szCs w:val="22"/>
                <w:lang w:eastAsia="es-CR"/>
              </w:rPr>
            </w:pPr>
          </w:p>
        </w:tc>
        <w:tc>
          <w:tcPr>
            <w:tcW w:w="2126" w:type="dxa"/>
            <w:vMerge/>
          </w:tcPr>
          <w:p w14:paraId="05A44921" w14:textId="77777777" w:rsidR="00054296" w:rsidRPr="00033E65" w:rsidRDefault="00054296">
            <w:pPr>
              <w:spacing w:before="0" w:after="0"/>
              <w:jc w:val="left"/>
              <w:rPr>
                <w:rFonts w:ascii="Times New Roman" w:hAnsi="Times New Roman"/>
                <w:b/>
                <w:bCs/>
                <w:color w:val="000000"/>
                <w:szCs w:val="22"/>
                <w:lang w:eastAsia="es-CR"/>
              </w:rPr>
            </w:pPr>
          </w:p>
        </w:tc>
        <w:tc>
          <w:tcPr>
            <w:tcW w:w="2126" w:type="dxa"/>
            <w:vMerge/>
            <w:vAlign w:val="center"/>
            <w:hideMark/>
          </w:tcPr>
          <w:p w14:paraId="48BCC9C0" w14:textId="476EEDC4" w:rsidR="00CF527E" w:rsidRPr="00033E65" w:rsidRDefault="00CF527E">
            <w:pPr>
              <w:spacing w:before="0" w:after="0"/>
              <w:jc w:val="left"/>
              <w:rPr>
                <w:rFonts w:ascii="Times New Roman" w:hAnsi="Times New Roman"/>
                <w:b/>
                <w:bCs/>
                <w:color w:val="000000"/>
                <w:szCs w:val="22"/>
                <w:lang w:eastAsia="es-CR"/>
              </w:rPr>
            </w:pPr>
          </w:p>
        </w:tc>
        <w:tc>
          <w:tcPr>
            <w:tcW w:w="772" w:type="dxa"/>
            <w:shd w:val="clear" w:color="auto" w:fill="auto"/>
            <w:noWrap/>
            <w:vAlign w:val="bottom"/>
            <w:hideMark/>
          </w:tcPr>
          <w:p w14:paraId="0D94AAF6" w14:textId="77777777" w:rsidR="00CF527E" w:rsidRPr="00033E65" w:rsidRDefault="00CF527E">
            <w:pPr>
              <w:spacing w:before="0" w:after="0"/>
              <w:jc w:val="center"/>
              <w:rPr>
                <w:rFonts w:ascii="Times New Roman" w:hAnsi="Times New Roman"/>
                <w:b/>
                <w:bCs/>
                <w:color w:val="000000"/>
                <w:szCs w:val="22"/>
                <w:lang w:eastAsia="es-CR"/>
              </w:rPr>
            </w:pPr>
          </w:p>
        </w:tc>
      </w:tr>
    </w:tbl>
    <w:p w14:paraId="1A176B24" w14:textId="77777777" w:rsidR="00CF527E" w:rsidRPr="00033E65" w:rsidRDefault="00CF527E" w:rsidP="00CF527E">
      <w:pPr>
        <w:rPr>
          <w:b/>
          <w:i/>
          <w:sz w:val="18"/>
        </w:rPr>
      </w:pPr>
      <w:r w:rsidRPr="00033E65">
        <w:rPr>
          <w:rFonts w:eastAsiaTheme="majorEastAsia"/>
          <w:b/>
          <w:i/>
          <w:sz w:val="18"/>
        </w:rPr>
        <w:t>Fuente: Subproceso de Modernización Institucional, área No Penal según actualización de costos de la reforma agraria presupuesto 2024. Nota: Para el presupuesto del año 2024 se utiliza un tipo de cambio de 695,66 por US$1,00.</w:t>
      </w:r>
      <w:r w:rsidRPr="00033E65">
        <w:rPr>
          <w:b/>
          <w:i/>
          <w:sz w:val="18"/>
        </w:rPr>
        <w:t xml:space="preserve">          </w:t>
      </w:r>
    </w:p>
    <w:p w14:paraId="0F760BCA" w14:textId="77777777" w:rsidR="00CF527E" w:rsidRPr="00033E65" w:rsidRDefault="00CF527E" w:rsidP="00CF527E">
      <w:pPr>
        <w:ind w:left="-1560"/>
        <w:rPr>
          <w:b/>
          <w:i/>
          <w:szCs w:val="22"/>
        </w:rPr>
      </w:pPr>
    </w:p>
    <w:p w14:paraId="3EAEF157" w14:textId="66244D7E" w:rsidR="00CF527E" w:rsidRPr="00033E65" w:rsidRDefault="00CF527E" w:rsidP="00CF527E">
      <w:pPr>
        <w:pStyle w:val="Ttulo"/>
        <w:spacing w:line="240" w:lineRule="auto"/>
        <w:jc w:val="both"/>
        <w:rPr>
          <w:bCs/>
          <w:i/>
          <w:iCs/>
          <w:szCs w:val="22"/>
        </w:rPr>
      </w:pPr>
      <w:r w:rsidRPr="00033E65">
        <w:rPr>
          <w:rFonts w:eastAsia="Times New Roman" w:cs="Times New Roman"/>
          <w:bCs/>
          <w:i/>
          <w:iCs/>
          <w:color w:val="auto"/>
          <w:spacing w:val="0"/>
          <w:sz w:val="22"/>
          <w:szCs w:val="22"/>
          <w:lang w:val="es-CR" w:eastAsia="es-ES"/>
        </w:rPr>
        <w:t xml:space="preserve">Adicionalmente se tendrían los costos de vehículos asociados a </w:t>
      </w:r>
      <w:r w:rsidR="00B267FA" w:rsidRPr="00033E65">
        <w:rPr>
          <w:rFonts w:eastAsia="Times New Roman" w:cs="Times New Roman"/>
          <w:bCs/>
          <w:i/>
          <w:iCs/>
          <w:color w:val="auto"/>
          <w:spacing w:val="0"/>
          <w:sz w:val="22"/>
          <w:szCs w:val="22"/>
          <w:lang w:val="es-CR" w:eastAsia="es-ES"/>
        </w:rPr>
        <w:t>necesidad</w:t>
      </w:r>
      <w:r w:rsidRPr="00033E65">
        <w:rPr>
          <w:rFonts w:eastAsia="Times New Roman" w:cs="Times New Roman"/>
          <w:bCs/>
          <w:i/>
          <w:iCs/>
          <w:color w:val="auto"/>
          <w:spacing w:val="0"/>
          <w:sz w:val="22"/>
          <w:szCs w:val="22"/>
          <w:lang w:val="es-CR" w:eastAsia="es-ES"/>
        </w:rPr>
        <w:t>:</w:t>
      </w:r>
    </w:p>
    <w:p w14:paraId="586D6FD8" w14:textId="77777777" w:rsidR="00CF527E" w:rsidRPr="00033E65" w:rsidRDefault="00CF527E" w:rsidP="00CF527E">
      <w:pPr>
        <w:ind w:left="-1560"/>
        <w:rPr>
          <w:b/>
          <w:i/>
          <w:sz w:val="18"/>
        </w:rPr>
      </w:pPr>
    </w:p>
    <w:p w14:paraId="7968981E" w14:textId="77777777" w:rsidR="00CF527E" w:rsidRPr="00033E65" w:rsidRDefault="00CF527E" w:rsidP="00CF527E">
      <w:pPr>
        <w:pStyle w:val="Ttulo"/>
        <w:spacing w:before="0" w:after="0"/>
        <w:ind w:left="1080"/>
        <w:jc w:val="center"/>
        <w:rPr>
          <w:rFonts w:eastAsia="Times New Roman" w:cs="Arial"/>
          <w:iCs/>
          <w:spacing w:val="0"/>
          <w:szCs w:val="28"/>
          <w:lang w:val="es-CR" w:eastAsia="es-ES"/>
        </w:rPr>
      </w:pPr>
      <w:r w:rsidRPr="00033E65">
        <w:rPr>
          <w:rFonts w:eastAsia="Times New Roman" w:cs="Arial"/>
          <w:iCs/>
          <w:spacing w:val="0"/>
          <w:szCs w:val="28"/>
          <w:lang w:val="es-CR" w:eastAsia="es-ES"/>
        </w:rPr>
        <w:t>Cuadro 31</w:t>
      </w:r>
    </w:p>
    <w:p w14:paraId="3CA0B142" w14:textId="77777777" w:rsidR="00CF527E" w:rsidRPr="00033E65" w:rsidRDefault="00CF527E" w:rsidP="00CF527E">
      <w:pPr>
        <w:pStyle w:val="Ttulo"/>
        <w:spacing w:before="0" w:after="0"/>
        <w:ind w:left="1080"/>
        <w:jc w:val="center"/>
        <w:rPr>
          <w:b w:val="0"/>
        </w:rPr>
      </w:pPr>
      <w:r w:rsidRPr="00033E65">
        <w:rPr>
          <w:rFonts w:eastAsia="Times New Roman" w:cs="Arial"/>
          <w:iCs/>
          <w:spacing w:val="0"/>
          <w:szCs w:val="28"/>
          <w:lang w:val="es-CR" w:eastAsia="es-ES"/>
        </w:rPr>
        <w:t>Costo total para la Compra de Vehículos y Costos Asociados</w:t>
      </w:r>
    </w:p>
    <w:tbl>
      <w:tblPr>
        <w:tblpPr w:leftFromText="141" w:rightFromText="141" w:vertAnchor="text" w:horzAnchor="margin" w:tblpXSpec="center" w:tblpY="301"/>
        <w:tblW w:w="11317" w:type="dxa"/>
        <w:tblCellMar>
          <w:left w:w="70" w:type="dxa"/>
          <w:right w:w="70" w:type="dxa"/>
        </w:tblCellMar>
        <w:tblLook w:val="04A0" w:firstRow="1" w:lastRow="0" w:firstColumn="1" w:lastColumn="0" w:noHBand="0" w:noVBand="1"/>
      </w:tblPr>
      <w:tblGrid>
        <w:gridCol w:w="1518"/>
        <w:gridCol w:w="1389"/>
        <w:gridCol w:w="1392"/>
        <w:gridCol w:w="1348"/>
        <w:gridCol w:w="1418"/>
        <w:gridCol w:w="1417"/>
        <w:gridCol w:w="1370"/>
        <w:gridCol w:w="1465"/>
      </w:tblGrid>
      <w:tr w:rsidR="00CF527E" w:rsidRPr="00033E65" w14:paraId="5C51C516" w14:textId="77777777">
        <w:trPr>
          <w:trHeight w:val="851"/>
          <w:tblHeader/>
        </w:trPr>
        <w:tc>
          <w:tcPr>
            <w:tcW w:w="1518"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7BBCFC47" w14:textId="77777777" w:rsidR="00CF527E" w:rsidRPr="00033E65" w:rsidRDefault="00CF527E">
            <w:pPr>
              <w:spacing w:before="0" w:after="0"/>
              <w:jc w:val="center"/>
              <w:rPr>
                <w:rFonts w:cs="Calibri"/>
                <w:b/>
                <w:bCs/>
                <w:color w:val="FFFFFF"/>
                <w:sz w:val="20"/>
                <w:lang w:eastAsia="es-CR"/>
              </w:rPr>
            </w:pPr>
            <w:r w:rsidRPr="00033E65">
              <w:rPr>
                <w:rFonts w:cs="Calibri"/>
                <w:b/>
                <w:bCs/>
                <w:color w:val="FFFFFF"/>
                <w:sz w:val="20"/>
                <w:lang w:eastAsia="es-CR"/>
              </w:rPr>
              <w:t>Requerimiento</w:t>
            </w:r>
          </w:p>
        </w:tc>
        <w:tc>
          <w:tcPr>
            <w:tcW w:w="1389" w:type="dxa"/>
            <w:tcBorders>
              <w:top w:val="double" w:sz="6" w:space="0" w:color="366092"/>
              <w:left w:val="nil"/>
              <w:bottom w:val="double" w:sz="6" w:space="0" w:color="366092"/>
              <w:right w:val="double" w:sz="6" w:space="0" w:color="366092"/>
            </w:tcBorders>
            <w:shd w:val="clear" w:color="000000" w:fill="0673A5"/>
            <w:vAlign w:val="center"/>
            <w:hideMark/>
          </w:tcPr>
          <w:p w14:paraId="1C271EB0" w14:textId="77777777" w:rsidR="00CF527E" w:rsidRPr="00033E65" w:rsidRDefault="00CF527E">
            <w:pPr>
              <w:spacing w:before="0" w:after="0"/>
              <w:jc w:val="center"/>
              <w:rPr>
                <w:rFonts w:cs="Calibri"/>
                <w:b/>
                <w:bCs/>
                <w:color w:val="FFFFFF"/>
                <w:sz w:val="20"/>
                <w:lang w:eastAsia="es-CR"/>
              </w:rPr>
            </w:pPr>
            <w:r w:rsidRPr="00033E65">
              <w:rPr>
                <w:rFonts w:cs="Calibri"/>
                <w:b/>
                <w:bCs/>
                <w:color w:val="FFFFFF"/>
                <w:sz w:val="20"/>
                <w:lang w:eastAsia="es-CR"/>
              </w:rPr>
              <w:t>Código 793 Limón</w:t>
            </w:r>
          </w:p>
        </w:tc>
        <w:tc>
          <w:tcPr>
            <w:tcW w:w="1392" w:type="dxa"/>
            <w:tcBorders>
              <w:top w:val="double" w:sz="6" w:space="0" w:color="366092"/>
              <w:left w:val="nil"/>
              <w:bottom w:val="double" w:sz="6" w:space="0" w:color="366092"/>
              <w:right w:val="double" w:sz="6" w:space="0" w:color="366092"/>
            </w:tcBorders>
            <w:shd w:val="clear" w:color="000000" w:fill="0673A5"/>
            <w:vAlign w:val="center"/>
            <w:hideMark/>
          </w:tcPr>
          <w:p w14:paraId="23D1192F" w14:textId="77777777" w:rsidR="00CF527E" w:rsidRPr="00033E65" w:rsidRDefault="00CF527E">
            <w:pPr>
              <w:spacing w:before="0" w:after="0"/>
              <w:jc w:val="center"/>
              <w:rPr>
                <w:rFonts w:cs="Calibri"/>
                <w:b/>
                <w:bCs/>
                <w:color w:val="FFFFFF"/>
                <w:sz w:val="20"/>
                <w:lang w:eastAsia="es-CR"/>
              </w:rPr>
            </w:pPr>
            <w:r w:rsidRPr="00033E65">
              <w:rPr>
                <w:rFonts w:cs="Calibri"/>
                <w:b/>
                <w:bCs/>
                <w:color w:val="FFFFFF"/>
                <w:sz w:val="20"/>
                <w:lang w:eastAsia="es-CR"/>
              </w:rPr>
              <w:t>Código 987 Turrialba</w:t>
            </w:r>
          </w:p>
        </w:tc>
        <w:tc>
          <w:tcPr>
            <w:tcW w:w="1348" w:type="dxa"/>
            <w:tcBorders>
              <w:top w:val="double" w:sz="6" w:space="0" w:color="366092"/>
              <w:left w:val="nil"/>
              <w:bottom w:val="double" w:sz="6" w:space="0" w:color="366092"/>
              <w:right w:val="double" w:sz="6" w:space="0" w:color="366092"/>
            </w:tcBorders>
            <w:shd w:val="clear" w:color="000000" w:fill="0673A5"/>
            <w:vAlign w:val="center"/>
            <w:hideMark/>
          </w:tcPr>
          <w:p w14:paraId="27BFF259" w14:textId="77777777" w:rsidR="00CF527E" w:rsidRPr="00033E65" w:rsidRDefault="00CF527E">
            <w:pPr>
              <w:spacing w:before="0" w:after="0"/>
              <w:jc w:val="center"/>
              <w:rPr>
                <w:rFonts w:cs="Calibri"/>
                <w:b/>
                <w:bCs/>
                <w:color w:val="FFFFFF"/>
                <w:sz w:val="20"/>
                <w:lang w:eastAsia="es-CR"/>
              </w:rPr>
            </w:pPr>
            <w:r w:rsidRPr="00033E65">
              <w:rPr>
                <w:rFonts w:cs="Calibri"/>
                <w:b/>
                <w:bCs/>
                <w:color w:val="FFFFFF"/>
                <w:sz w:val="20"/>
                <w:lang w:eastAsia="es-CR"/>
              </w:rPr>
              <w:t>Código 861 Pérez Zeledón</w:t>
            </w:r>
          </w:p>
        </w:tc>
        <w:tc>
          <w:tcPr>
            <w:tcW w:w="1418" w:type="dxa"/>
            <w:tcBorders>
              <w:top w:val="double" w:sz="6" w:space="0" w:color="366092"/>
              <w:left w:val="nil"/>
              <w:bottom w:val="double" w:sz="6" w:space="0" w:color="366092"/>
              <w:right w:val="double" w:sz="6" w:space="0" w:color="366092"/>
            </w:tcBorders>
            <w:shd w:val="clear" w:color="000000" w:fill="0673A5"/>
            <w:vAlign w:val="center"/>
            <w:hideMark/>
          </w:tcPr>
          <w:p w14:paraId="09C104BF" w14:textId="77777777" w:rsidR="00CF527E" w:rsidRPr="00033E65" w:rsidRDefault="00CF527E">
            <w:pPr>
              <w:spacing w:before="0" w:after="0"/>
              <w:jc w:val="center"/>
              <w:rPr>
                <w:rFonts w:cs="Calibri"/>
                <w:b/>
                <w:bCs/>
                <w:color w:val="FFFFFF"/>
                <w:sz w:val="20"/>
                <w:lang w:eastAsia="es-CR"/>
              </w:rPr>
            </w:pPr>
            <w:r w:rsidRPr="00033E65">
              <w:rPr>
                <w:rFonts w:cs="Calibri"/>
                <w:b/>
                <w:bCs/>
                <w:color w:val="FFFFFF"/>
                <w:sz w:val="20"/>
                <w:lang w:eastAsia="es-CR"/>
              </w:rPr>
              <w:t>Código 863 San Carlos</w:t>
            </w:r>
          </w:p>
        </w:tc>
        <w:tc>
          <w:tcPr>
            <w:tcW w:w="1417" w:type="dxa"/>
            <w:tcBorders>
              <w:top w:val="double" w:sz="6" w:space="0" w:color="366092"/>
              <w:left w:val="nil"/>
              <w:bottom w:val="double" w:sz="6" w:space="0" w:color="366092"/>
              <w:right w:val="double" w:sz="6" w:space="0" w:color="366092"/>
            </w:tcBorders>
            <w:shd w:val="clear" w:color="000000" w:fill="0673A5"/>
            <w:vAlign w:val="center"/>
            <w:hideMark/>
          </w:tcPr>
          <w:p w14:paraId="4CDFC0A5" w14:textId="77777777" w:rsidR="00CF527E" w:rsidRPr="00033E65" w:rsidRDefault="00CF527E">
            <w:pPr>
              <w:spacing w:before="0" w:after="0"/>
              <w:jc w:val="center"/>
              <w:rPr>
                <w:rFonts w:cs="Calibri"/>
                <w:b/>
                <w:bCs/>
                <w:color w:val="FFFFFF"/>
                <w:sz w:val="20"/>
                <w:lang w:eastAsia="es-CR"/>
              </w:rPr>
            </w:pPr>
            <w:r w:rsidRPr="00033E65">
              <w:rPr>
                <w:rFonts w:cs="Calibri"/>
                <w:b/>
                <w:bCs/>
                <w:color w:val="FFFFFF"/>
                <w:sz w:val="20"/>
                <w:lang w:eastAsia="es-CR"/>
              </w:rPr>
              <w:t>Código 908 Pococí</w:t>
            </w:r>
          </w:p>
        </w:tc>
        <w:tc>
          <w:tcPr>
            <w:tcW w:w="1370" w:type="dxa"/>
            <w:tcBorders>
              <w:top w:val="double" w:sz="6" w:space="0" w:color="366092"/>
              <w:left w:val="nil"/>
              <w:bottom w:val="double" w:sz="6" w:space="0" w:color="366092"/>
              <w:right w:val="double" w:sz="6" w:space="0" w:color="366092"/>
            </w:tcBorders>
            <w:shd w:val="clear" w:color="000000" w:fill="0673A5"/>
            <w:vAlign w:val="center"/>
            <w:hideMark/>
          </w:tcPr>
          <w:p w14:paraId="3EEE48B1" w14:textId="77777777" w:rsidR="00CF527E" w:rsidRPr="00033E65" w:rsidRDefault="00CF527E">
            <w:pPr>
              <w:spacing w:before="0" w:after="0"/>
              <w:jc w:val="center"/>
              <w:rPr>
                <w:rFonts w:cs="Calibri"/>
                <w:b/>
                <w:bCs/>
                <w:color w:val="FFFFFF"/>
                <w:sz w:val="20"/>
                <w:lang w:eastAsia="es-CR"/>
              </w:rPr>
            </w:pPr>
            <w:r w:rsidRPr="00033E65">
              <w:rPr>
                <w:rFonts w:cs="Calibri"/>
                <w:b/>
                <w:bCs/>
                <w:color w:val="FFFFFF"/>
                <w:sz w:val="20"/>
                <w:lang w:eastAsia="es-CR"/>
              </w:rPr>
              <w:t>Código 907 Santa Cruz</w:t>
            </w:r>
          </w:p>
        </w:tc>
        <w:tc>
          <w:tcPr>
            <w:tcW w:w="1465" w:type="dxa"/>
            <w:tcBorders>
              <w:top w:val="double" w:sz="6" w:space="0" w:color="366092"/>
              <w:left w:val="nil"/>
              <w:bottom w:val="double" w:sz="6" w:space="0" w:color="366092"/>
              <w:right w:val="double" w:sz="6" w:space="0" w:color="366092"/>
            </w:tcBorders>
            <w:shd w:val="clear" w:color="000000" w:fill="0673A5"/>
            <w:vAlign w:val="center"/>
            <w:hideMark/>
          </w:tcPr>
          <w:p w14:paraId="56678478" w14:textId="77777777" w:rsidR="00CF527E" w:rsidRPr="00033E65" w:rsidRDefault="00CF527E">
            <w:pPr>
              <w:spacing w:before="0" w:after="0"/>
              <w:jc w:val="center"/>
              <w:rPr>
                <w:rFonts w:cs="Calibri"/>
                <w:b/>
                <w:bCs/>
                <w:color w:val="FFFFFF"/>
                <w:sz w:val="20"/>
                <w:lang w:eastAsia="es-CR"/>
              </w:rPr>
            </w:pPr>
            <w:r w:rsidRPr="00033E65">
              <w:rPr>
                <w:rFonts w:cs="Calibri"/>
                <w:b/>
                <w:bCs/>
                <w:color w:val="FFFFFF"/>
                <w:sz w:val="20"/>
                <w:lang w:eastAsia="es-CR"/>
              </w:rPr>
              <w:t>Total</w:t>
            </w:r>
          </w:p>
        </w:tc>
      </w:tr>
      <w:tr w:rsidR="00CF527E" w:rsidRPr="00033E65" w14:paraId="23E0444E" w14:textId="77777777">
        <w:trPr>
          <w:trHeight w:val="652"/>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4802C07F" w14:textId="77777777" w:rsidR="00CF527E" w:rsidRPr="00033E65" w:rsidRDefault="00CF527E">
            <w:pPr>
              <w:spacing w:before="0" w:after="0"/>
              <w:jc w:val="left"/>
              <w:rPr>
                <w:rFonts w:cs="Calibri"/>
                <w:color w:val="000000"/>
                <w:sz w:val="20"/>
                <w:lang w:eastAsia="es-CR"/>
              </w:rPr>
            </w:pPr>
            <w:r w:rsidRPr="00033E65">
              <w:rPr>
                <w:rFonts w:cs="Calibri"/>
                <w:color w:val="000000"/>
                <w:sz w:val="20"/>
                <w:lang w:eastAsia="es-CR"/>
              </w:rPr>
              <w:t>El costo del vehículo incluye kid de seguridad, herramientas y tapicería oscura</w:t>
            </w:r>
          </w:p>
        </w:tc>
        <w:tc>
          <w:tcPr>
            <w:tcW w:w="1389" w:type="dxa"/>
            <w:tcBorders>
              <w:top w:val="nil"/>
              <w:left w:val="nil"/>
              <w:bottom w:val="double" w:sz="6" w:space="0" w:color="1F497D"/>
              <w:right w:val="double" w:sz="6" w:space="0" w:color="1F497D"/>
            </w:tcBorders>
            <w:shd w:val="clear" w:color="auto" w:fill="auto"/>
            <w:noWrap/>
            <w:vAlign w:val="center"/>
            <w:hideMark/>
          </w:tcPr>
          <w:p w14:paraId="2C9FAA5F" w14:textId="77777777" w:rsidR="00CF527E" w:rsidRPr="00033E65" w:rsidRDefault="00CF527E">
            <w:pPr>
              <w:spacing w:before="0" w:after="0"/>
              <w:jc w:val="center"/>
              <w:rPr>
                <w:color w:val="000000"/>
                <w:sz w:val="18"/>
                <w:szCs w:val="18"/>
                <w:lang w:eastAsia="es-CR"/>
              </w:rPr>
            </w:pPr>
            <w:r w:rsidRPr="00033E65">
              <w:rPr>
                <w:rFonts w:ascii="Times New Roman" w:hAnsi="Times New Roman"/>
                <w:color w:val="000000"/>
                <w:sz w:val="18"/>
                <w:szCs w:val="18"/>
                <w:lang w:eastAsia="es-CR"/>
              </w:rPr>
              <w:t>₡</w:t>
            </w:r>
            <w:r w:rsidRPr="00033E65">
              <w:rPr>
                <w:color w:val="000000"/>
                <w:sz w:val="18"/>
                <w:szCs w:val="18"/>
                <w:lang w:eastAsia="es-CR"/>
              </w:rPr>
              <w:t>23 652 440, 00</w:t>
            </w:r>
          </w:p>
        </w:tc>
        <w:tc>
          <w:tcPr>
            <w:tcW w:w="1392" w:type="dxa"/>
            <w:tcBorders>
              <w:top w:val="nil"/>
              <w:left w:val="nil"/>
              <w:bottom w:val="double" w:sz="6" w:space="0" w:color="1F497D"/>
              <w:right w:val="double" w:sz="6" w:space="0" w:color="1F497D"/>
            </w:tcBorders>
            <w:shd w:val="clear" w:color="auto" w:fill="auto"/>
            <w:noWrap/>
            <w:vAlign w:val="center"/>
            <w:hideMark/>
          </w:tcPr>
          <w:p w14:paraId="0457B703" w14:textId="77777777" w:rsidR="00CF527E" w:rsidRPr="00033E65" w:rsidRDefault="00CF527E">
            <w:pPr>
              <w:spacing w:before="0" w:after="0"/>
              <w:jc w:val="center"/>
              <w:rPr>
                <w:color w:val="000000"/>
                <w:sz w:val="18"/>
                <w:szCs w:val="18"/>
                <w:lang w:eastAsia="es-CR"/>
              </w:rPr>
            </w:pPr>
            <w:r w:rsidRPr="00033E65">
              <w:rPr>
                <w:rFonts w:ascii="Times New Roman" w:hAnsi="Times New Roman"/>
                <w:color w:val="000000"/>
                <w:sz w:val="18"/>
                <w:szCs w:val="18"/>
                <w:lang w:eastAsia="es-CR"/>
              </w:rPr>
              <w:t>₡</w:t>
            </w:r>
            <w:r w:rsidRPr="00033E65">
              <w:rPr>
                <w:color w:val="000000"/>
                <w:sz w:val="18"/>
                <w:szCs w:val="18"/>
                <w:lang w:eastAsia="es-CR"/>
              </w:rPr>
              <w:t>23 652 440, 00</w:t>
            </w:r>
          </w:p>
        </w:tc>
        <w:tc>
          <w:tcPr>
            <w:tcW w:w="1348" w:type="dxa"/>
            <w:tcBorders>
              <w:top w:val="nil"/>
              <w:left w:val="nil"/>
              <w:bottom w:val="double" w:sz="6" w:space="0" w:color="1F497D"/>
              <w:right w:val="double" w:sz="6" w:space="0" w:color="1F497D"/>
            </w:tcBorders>
            <w:shd w:val="clear" w:color="auto" w:fill="auto"/>
            <w:noWrap/>
            <w:vAlign w:val="center"/>
            <w:hideMark/>
          </w:tcPr>
          <w:p w14:paraId="34149FEB" w14:textId="77777777" w:rsidR="00CF527E" w:rsidRPr="00033E65" w:rsidRDefault="00CF527E">
            <w:pPr>
              <w:spacing w:before="0" w:after="0"/>
              <w:jc w:val="center"/>
              <w:rPr>
                <w:color w:val="000000"/>
                <w:sz w:val="18"/>
                <w:szCs w:val="18"/>
                <w:lang w:eastAsia="es-CR"/>
              </w:rPr>
            </w:pPr>
            <w:r w:rsidRPr="00033E65">
              <w:rPr>
                <w:rFonts w:ascii="Times New Roman" w:hAnsi="Times New Roman"/>
                <w:color w:val="000000"/>
                <w:sz w:val="18"/>
                <w:szCs w:val="18"/>
                <w:lang w:eastAsia="es-CR"/>
              </w:rPr>
              <w:t>₡</w:t>
            </w:r>
            <w:r w:rsidRPr="00033E65">
              <w:rPr>
                <w:color w:val="000000"/>
                <w:sz w:val="18"/>
                <w:szCs w:val="18"/>
                <w:lang w:eastAsia="es-CR"/>
              </w:rPr>
              <w:t>23 652 440, 00</w:t>
            </w:r>
          </w:p>
        </w:tc>
        <w:tc>
          <w:tcPr>
            <w:tcW w:w="1418" w:type="dxa"/>
            <w:tcBorders>
              <w:top w:val="nil"/>
              <w:left w:val="nil"/>
              <w:bottom w:val="double" w:sz="6" w:space="0" w:color="1F497D"/>
              <w:right w:val="double" w:sz="6" w:space="0" w:color="1F497D"/>
            </w:tcBorders>
            <w:shd w:val="clear" w:color="auto" w:fill="auto"/>
            <w:noWrap/>
            <w:vAlign w:val="center"/>
            <w:hideMark/>
          </w:tcPr>
          <w:p w14:paraId="1647CC32" w14:textId="77777777" w:rsidR="00CF527E" w:rsidRPr="00033E65" w:rsidRDefault="00CF527E">
            <w:pPr>
              <w:spacing w:before="0" w:after="0"/>
              <w:jc w:val="center"/>
              <w:rPr>
                <w:color w:val="000000"/>
                <w:sz w:val="18"/>
                <w:szCs w:val="18"/>
                <w:lang w:eastAsia="es-CR"/>
              </w:rPr>
            </w:pPr>
            <w:r w:rsidRPr="00033E65">
              <w:rPr>
                <w:rFonts w:ascii="Times New Roman" w:hAnsi="Times New Roman"/>
                <w:color w:val="000000"/>
                <w:sz w:val="18"/>
                <w:szCs w:val="18"/>
                <w:lang w:eastAsia="es-CR"/>
              </w:rPr>
              <w:t>₡</w:t>
            </w:r>
            <w:r w:rsidRPr="00033E65">
              <w:rPr>
                <w:color w:val="000000"/>
                <w:sz w:val="18"/>
                <w:szCs w:val="18"/>
                <w:lang w:eastAsia="es-CR"/>
              </w:rPr>
              <w:t>23 652 440, 00</w:t>
            </w:r>
          </w:p>
        </w:tc>
        <w:tc>
          <w:tcPr>
            <w:tcW w:w="1417" w:type="dxa"/>
            <w:tcBorders>
              <w:top w:val="nil"/>
              <w:left w:val="nil"/>
              <w:bottom w:val="double" w:sz="6" w:space="0" w:color="1F497D"/>
              <w:right w:val="double" w:sz="6" w:space="0" w:color="1F497D"/>
            </w:tcBorders>
            <w:shd w:val="clear" w:color="auto" w:fill="auto"/>
            <w:noWrap/>
            <w:vAlign w:val="center"/>
            <w:hideMark/>
          </w:tcPr>
          <w:p w14:paraId="5B715B20" w14:textId="77777777" w:rsidR="00CF527E" w:rsidRPr="00033E65" w:rsidRDefault="00CF527E">
            <w:pPr>
              <w:spacing w:before="0" w:after="0"/>
              <w:jc w:val="center"/>
              <w:rPr>
                <w:color w:val="000000"/>
                <w:sz w:val="18"/>
                <w:szCs w:val="18"/>
                <w:lang w:eastAsia="es-CR"/>
              </w:rPr>
            </w:pPr>
            <w:r w:rsidRPr="00033E65">
              <w:rPr>
                <w:rFonts w:ascii="Times New Roman" w:hAnsi="Times New Roman"/>
                <w:color w:val="000000"/>
                <w:sz w:val="18"/>
                <w:szCs w:val="18"/>
                <w:lang w:eastAsia="es-CR"/>
              </w:rPr>
              <w:t>₡</w:t>
            </w:r>
            <w:r w:rsidRPr="00033E65">
              <w:rPr>
                <w:color w:val="000000"/>
                <w:sz w:val="18"/>
                <w:szCs w:val="18"/>
                <w:lang w:eastAsia="es-CR"/>
              </w:rPr>
              <w:t>23 652 440, 00</w:t>
            </w:r>
          </w:p>
        </w:tc>
        <w:tc>
          <w:tcPr>
            <w:tcW w:w="1370" w:type="dxa"/>
            <w:tcBorders>
              <w:top w:val="nil"/>
              <w:left w:val="nil"/>
              <w:bottom w:val="double" w:sz="6" w:space="0" w:color="1F497D"/>
              <w:right w:val="double" w:sz="6" w:space="0" w:color="1F497D"/>
            </w:tcBorders>
            <w:shd w:val="clear" w:color="auto" w:fill="auto"/>
            <w:noWrap/>
            <w:vAlign w:val="center"/>
            <w:hideMark/>
          </w:tcPr>
          <w:p w14:paraId="26C1C6F9" w14:textId="77777777" w:rsidR="00CF527E" w:rsidRPr="00033E65" w:rsidRDefault="00CF527E">
            <w:pPr>
              <w:spacing w:before="0" w:after="0"/>
              <w:jc w:val="center"/>
              <w:rPr>
                <w:color w:val="000000"/>
                <w:sz w:val="18"/>
                <w:szCs w:val="18"/>
                <w:lang w:eastAsia="es-CR"/>
              </w:rPr>
            </w:pPr>
            <w:r w:rsidRPr="00033E65">
              <w:rPr>
                <w:rFonts w:ascii="Times New Roman" w:hAnsi="Times New Roman"/>
                <w:color w:val="000000"/>
                <w:sz w:val="18"/>
                <w:szCs w:val="18"/>
                <w:lang w:eastAsia="es-CR"/>
              </w:rPr>
              <w:t>₡</w:t>
            </w:r>
            <w:r w:rsidRPr="00033E65">
              <w:rPr>
                <w:color w:val="000000"/>
                <w:sz w:val="18"/>
                <w:szCs w:val="18"/>
                <w:lang w:eastAsia="es-CR"/>
              </w:rPr>
              <w:t>23 652 440, 00</w:t>
            </w:r>
          </w:p>
        </w:tc>
        <w:tc>
          <w:tcPr>
            <w:tcW w:w="1465" w:type="dxa"/>
            <w:tcBorders>
              <w:top w:val="nil"/>
              <w:left w:val="nil"/>
              <w:bottom w:val="double" w:sz="6" w:space="0" w:color="1F497D"/>
              <w:right w:val="double" w:sz="6" w:space="0" w:color="1F497D"/>
            </w:tcBorders>
            <w:shd w:val="clear" w:color="auto" w:fill="auto"/>
            <w:noWrap/>
            <w:vAlign w:val="center"/>
            <w:hideMark/>
          </w:tcPr>
          <w:p w14:paraId="72FB0AF5" w14:textId="77777777" w:rsidR="00CF527E" w:rsidRPr="00033E65" w:rsidRDefault="00CF527E">
            <w:pPr>
              <w:spacing w:before="0" w:after="0"/>
              <w:jc w:val="center"/>
              <w:rPr>
                <w:color w:val="000000"/>
                <w:sz w:val="18"/>
                <w:szCs w:val="18"/>
                <w:lang w:eastAsia="es-CR"/>
              </w:rPr>
            </w:pPr>
            <w:r w:rsidRPr="00033E65">
              <w:rPr>
                <w:rFonts w:ascii="Times New Roman" w:hAnsi="Times New Roman"/>
                <w:color w:val="000000"/>
                <w:sz w:val="18"/>
                <w:szCs w:val="18"/>
                <w:lang w:eastAsia="es-CR"/>
              </w:rPr>
              <w:t>₡</w:t>
            </w:r>
            <w:r w:rsidRPr="00033E65">
              <w:rPr>
                <w:color w:val="000000"/>
                <w:sz w:val="18"/>
                <w:szCs w:val="18"/>
                <w:lang w:eastAsia="es-CR"/>
              </w:rPr>
              <w:t>141 914 640, 00</w:t>
            </w:r>
          </w:p>
        </w:tc>
      </w:tr>
      <w:tr w:rsidR="00CF527E" w:rsidRPr="00033E65" w14:paraId="5348E318"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6DA91C01" w14:textId="77777777" w:rsidR="00CF527E" w:rsidRPr="00033E65" w:rsidRDefault="00CF527E">
            <w:pPr>
              <w:spacing w:before="0" w:after="0"/>
              <w:jc w:val="left"/>
              <w:rPr>
                <w:rFonts w:cs="Calibri"/>
                <w:color w:val="000000"/>
                <w:sz w:val="20"/>
                <w:lang w:eastAsia="es-CR"/>
              </w:rPr>
            </w:pPr>
            <w:r w:rsidRPr="00033E65">
              <w:rPr>
                <w:rFonts w:cs="Calibri"/>
                <w:color w:val="000000"/>
                <w:sz w:val="20"/>
                <w:lang w:eastAsia="es-CR"/>
              </w:rPr>
              <w:t>Lona</w:t>
            </w:r>
          </w:p>
        </w:tc>
        <w:tc>
          <w:tcPr>
            <w:tcW w:w="1389" w:type="dxa"/>
            <w:tcBorders>
              <w:top w:val="nil"/>
              <w:left w:val="nil"/>
              <w:bottom w:val="double" w:sz="6" w:space="0" w:color="1F497D"/>
              <w:right w:val="double" w:sz="6" w:space="0" w:color="1F497D"/>
            </w:tcBorders>
            <w:shd w:val="clear" w:color="auto" w:fill="auto"/>
            <w:noWrap/>
            <w:vAlign w:val="center"/>
            <w:hideMark/>
          </w:tcPr>
          <w:p w14:paraId="0BA450FF"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113 000, 00</w:t>
            </w:r>
          </w:p>
        </w:tc>
        <w:tc>
          <w:tcPr>
            <w:tcW w:w="1392" w:type="dxa"/>
            <w:tcBorders>
              <w:top w:val="nil"/>
              <w:left w:val="nil"/>
              <w:bottom w:val="double" w:sz="6" w:space="0" w:color="1F497D"/>
              <w:right w:val="double" w:sz="6" w:space="0" w:color="1F497D"/>
            </w:tcBorders>
            <w:shd w:val="clear" w:color="auto" w:fill="auto"/>
            <w:noWrap/>
            <w:vAlign w:val="center"/>
            <w:hideMark/>
          </w:tcPr>
          <w:p w14:paraId="39C3F937"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113 000, 00</w:t>
            </w:r>
          </w:p>
        </w:tc>
        <w:tc>
          <w:tcPr>
            <w:tcW w:w="1348" w:type="dxa"/>
            <w:tcBorders>
              <w:top w:val="nil"/>
              <w:left w:val="nil"/>
              <w:bottom w:val="double" w:sz="6" w:space="0" w:color="1F497D"/>
              <w:right w:val="double" w:sz="6" w:space="0" w:color="1F497D"/>
            </w:tcBorders>
            <w:shd w:val="clear" w:color="auto" w:fill="auto"/>
            <w:noWrap/>
            <w:vAlign w:val="center"/>
            <w:hideMark/>
          </w:tcPr>
          <w:p w14:paraId="2E3C7DC3"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113 000, 00</w:t>
            </w:r>
          </w:p>
        </w:tc>
        <w:tc>
          <w:tcPr>
            <w:tcW w:w="1418" w:type="dxa"/>
            <w:tcBorders>
              <w:top w:val="nil"/>
              <w:left w:val="nil"/>
              <w:bottom w:val="double" w:sz="6" w:space="0" w:color="1F497D"/>
              <w:right w:val="double" w:sz="6" w:space="0" w:color="1F497D"/>
            </w:tcBorders>
            <w:shd w:val="clear" w:color="auto" w:fill="auto"/>
            <w:noWrap/>
            <w:vAlign w:val="center"/>
            <w:hideMark/>
          </w:tcPr>
          <w:p w14:paraId="61B15FF4"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113 000, 00</w:t>
            </w:r>
          </w:p>
        </w:tc>
        <w:tc>
          <w:tcPr>
            <w:tcW w:w="1417" w:type="dxa"/>
            <w:tcBorders>
              <w:top w:val="nil"/>
              <w:left w:val="nil"/>
              <w:bottom w:val="double" w:sz="6" w:space="0" w:color="1F497D"/>
              <w:right w:val="double" w:sz="6" w:space="0" w:color="1F497D"/>
            </w:tcBorders>
            <w:shd w:val="clear" w:color="auto" w:fill="auto"/>
            <w:noWrap/>
            <w:vAlign w:val="center"/>
            <w:hideMark/>
          </w:tcPr>
          <w:p w14:paraId="6CBB03BB"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113 000, 00</w:t>
            </w:r>
          </w:p>
        </w:tc>
        <w:tc>
          <w:tcPr>
            <w:tcW w:w="1370" w:type="dxa"/>
            <w:tcBorders>
              <w:top w:val="nil"/>
              <w:left w:val="nil"/>
              <w:bottom w:val="double" w:sz="6" w:space="0" w:color="1F497D"/>
              <w:right w:val="double" w:sz="6" w:space="0" w:color="1F497D"/>
            </w:tcBorders>
            <w:shd w:val="clear" w:color="auto" w:fill="auto"/>
            <w:noWrap/>
            <w:vAlign w:val="center"/>
            <w:hideMark/>
          </w:tcPr>
          <w:p w14:paraId="5D8B12F2"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113 000, 00</w:t>
            </w:r>
          </w:p>
        </w:tc>
        <w:tc>
          <w:tcPr>
            <w:tcW w:w="1465" w:type="dxa"/>
            <w:tcBorders>
              <w:top w:val="nil"/>
              <w:left w:val="nil"/>
              <w:bottom w:val="double" w:sz="6" w:space="0" w:color="1F497D"/>
              <w:right w:val="double" w:sz="6" w:space="0" w:color="1F497D"/>
            </w:tcBorders>
            <w:shd w:val="clear" w:color="auto" w:fill="auto"/>
            <w:noWrap/>
            <w:vAlign w:val="center"/>
            <w:hideMark/>
          </w:tcPr>
          <w:p w14:paraId="3B62AB0D"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678 000,00</w:t>
            </w:r>
          </w:p>
        </w:tc>
      </w:tr>
      <w:tr w:rsidR="00CF527E" w:rsidRPr="00033E65" w14:paraId="7427DB2C"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2E3CF399" w14:textId="77777777" w:rsidR="00CF527E" w:rsidRPr="00033E65" w:rsidRDefault="00CF527E">
            <w:pPr>
              <w:spacing w:before="0" w:after="0"/>
              <w:jc w:val="left"/>
              <w:rPr>
                <w:rFonts w:cs="Calibri"/>
                <w:color w:val="000000"/>
                <w:sz w:val="20"/>
                <w:lang w:eastAsia="es-CR"/>
              </w:rPr>
            </w:pPr>
            <w:r w:rsidRPr="00033E65">
              <w:rPr>
                <w:rFonts w:cs="Calibri"/>
                <w:color w:val="000000"/>
                <w:sz w:val="20"/>
                <w:lang w:eastAsia="es-CR"/>
              </w:rPr>
              <w:t>Winch</w:t>
            </w:r>
          </w:p>
        </w:tc>
        <w:tc>
          <w:tcPr>
            <w:tcW w:w="1389" w:type="dxa"/>
            <w:tcBorders>
              <w:top w:val="nil"/>
              <w:left w:val="nil"/>
              <w:bottom w:val="double" w:sz="6" w:space="0" w:color="1F497D"/>
              <w:right w:val="double" w:sz="6" w:space="0" w:color="1F497D"/>
            </w:tcBorders>
            <w:shd w:val="clear" w:color="auto" w:fill="auto"/>
            <w:noWrap/>
            <w:vAlign w:val="center"/>
            <w:hideMark/>
          </w:tcPr>
          <w:p w14:paraId="735A134A"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500 000, 00</w:t>
            </w:r>
          </w:p>
        </w:tc>
        <w:tc>
          <w:tcPr>
            <w:tcW w:w="1392" w:type="dxa"/>
            <w:tcBorders>
              <w:top w:val="nil"/>
              <w:left w:val="nil"/>
              <w:bottom w:val="double" w:sz="6" w:space="0" w:color="1F497D"/>
              <w:right w:val="double" w:sz="6" w:space="0" w:color="1F497D"/>
            </w:tcBorders>
            <w:shd w:val="clear" w:color="auto" w:fill="auto"/>
            <w:noWrap/>
            <w:vAlign w:val="center"/>
            <w:hideMark/>
          </w:tcPr>
          <w:p w14:paraId="61A2EE80"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500 000, 00</w:t>
            </w:r>
          </w:p>
        </w:tc>
        <w:tc>
          <w:tcPr>
            <w:tcW w:w="1348" w:type="dxa"/>
            <w:tcBorders>
              <w:top w:val="nil"/>
              <w:left w:val="nil"/>
              <w:bottom w:val="double" w:sz="6" w:space="0" w:color="1F497D"/>
              <w:right w:val="double" w:sz="6" w:space="0" w:color="1F497D"/>
            </w:tcBorders>
            <w:shd w:val="clear" w:color="auto" w:fill="auto"/>
            <w:noWrap/>
            <w:vAlign w:val="center"/>
            <w:hideMark/>
          </w:tcPr>
          <w:p w14:paraId="42A47EA4"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500 000, 00</w:t>
            </w:r>
          </w:p>
        </w:tc>
        <w:tc>
          <w:tcPr>
            <w:tcW w:w="1418" w:type="dxa"/>
            <w:tcBorders>
              <w:top w:val="nil"/>
              <w:left w:val="nil"/>
              <w:bottom w:val="double" w:sz="6" w:space="0" w:color="1F497D"/>
              <w:right w:val="double" w:sz="6" w:space="0" w:color="1F497D"/>
            </w:tcBorders>
            <w:shd w:val="clear" w:color="auto" w:fill="auto"/>
            <w:noWrap/>
            <w:vAlign w:val="center"/>
            <w:hideMark/>
          </w:tcPr>
          <w:p w14:paraId="3B9B20C3"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500 000, 00</w:t>
            </w:r>
          </w:p>
        </w:tc>
        <w:tc>
          <w:tcPr>
            <w:tcW w:w="1417" w:type="dxa"/>
            <w:tcBorders>
              <w:top w:val="nil"/>
              <w:left w:val="nil"/>
              <w:bottom w:val="double" w:sz="6" w:space="0" w:color="1F497D"/>
              <w:right w:val="double" w:sz="6" w:space="0" w:color="1F497D"/>
            </w:tcBorders>
            <w:shd w:val="clear" w:color="auto" w:fill="auto"/>
            <w:noWrap/>
            <w:vAlign w:val="center"/>
            <w:hideMark/>
          </w:tcPr>
          <w:p w14:paraId="4944A1BF"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500 000, 00</w:t>
            </w:r>
          </w:p>
        </w:tc>
        <w:tc>
          <w:tcPr>
            <w:tcW w:w="1370" w:type="dxa"/>
            <w:tcBorders>
              <w:top w:val="nil"/>
              <w:left w:val="nil"/>
              <w:bottom w:val="double" w:sz="6" w:space="0" w:color="1F497D"/>
              <w:right w:val="double" w:sz="6" w:space="0" w:color="1F497D"/>
            </w:tcBorders>
            <w:shd w:val="clear" w:color="auto" w:fill="auto"/>
            <w:noWrap/>
            <w:vAlign w:val="center"/>
            <w:hideMark/>
          </w:tcPr>
          <w:p w14:paraId="68FDEC1C"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500 000, 00</w:t>
            </w:r>
          </w:p>
        </w:tc>
        <w:tc>
          <w:tcPr>
            <w:tcW w:w="1465" w:type="dxa"/>
            <w:tcBorders>
              <w:top w:val="nil"/>
              <w:left w:val="nil"/>
              <w:bottom w:val="double" w:sz="6" w:space="0" w:color="1F497D"/>
              <w:right w:val="double" w:sz="6" w:space="0" w:color="1F497D"/>
            </w:tcBorders>
            <w:shd w:val="clear" w:color="auto" w:fill="auto"/>
            <w:noWrap/>
            <w:vAlign w:val="center"/>
            <w:hideMark/>
          </w:tcPr>
          <w:p w14:paraId="7057D233"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3 000 000,00</w:t>
            </w:r>
          </w:p>
        </w:tc>
      </w:tr>
      <w:tr w:rsidR="00CF527E" w:rsidRPr="00033E65" w14:paraId="7957EE6B"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38100F83" w14:textId="77777777" w:rsidR="00CF527E" w:rsidRPr="00033E65" w:rsidRDefault="00CF527E">
            <w:pPr>
              <w:spacing w:before="0" w:after="0"/>
              <w:jc w:val="left"/>
              <w:rPr>
                <w:rFonts w:cs="Calibri"/>
                <w:color w:val="000000"/>
                <w:sz w:val="20"/>
                <w:lang w:eastAsia="es-CR"/>
              </w:rPr>
            </w:pPr>
            <w:r w:rsidRPr="00033E65">
              <w:rPr>
                <w:rFonts w:cs="Calibri"/>
                <w:color w:val="000000"/>
                <w:sz w:val="20"/>
                <w:lang w:eastAsia="es-CR"/>
              </w:rPr>
              <w:t>Instalación del winch</w:t>
            </w:r>
          </w:p>
        </w:tc>
        <w:tc>
          <w:tcPr>
            <w:tcW w:w="1389" w:type="dxa"/>
            <w:tcBorders>
              <w:top w:val="nil"/>
              <w:left w:val="nil"/>
              <w:bottom w:val="double" w:sz="6" w:space="0" w:color="1F497D"/>
              <w:right w:val="double" w:sz="6" w:space="0" w:color="1F497D"/>
            </w:tcBorders>
            <w:shd w:val="clear" w:color="auto" w:fill="auto"/>
            <w:noWrap/>
            <w:vAlign w:val="center"/>
            <w:hideMark/>
          </w:tcPr>
          <w:p w14:paraId="5B2FD70D"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339 000, 00</w:t>
            </w:r>
          </w:p>
        </w:tc>
        <w:tc>
          <w:tcPr>
            <w:tcW w:w="1392" w:type="dxa"/>
            <w:tcBorders>
              <w:top w:val="nil"/>
              <w:left w:val="nil"/>
              <w:bottom w:val="double" w:sz="6" w:space="0" w:color="1F497D"/>
              <w:right w:val="double" w:sz="6" w:space="0" w:color="1F497D"/>
            </w:tcBorders>
            <w:shd w:val="clear" w:color="auto" w:fill="auto"/>
            <w:noWrap/>
            <w:vAlign w:val="center"/>
            <w:hideMark/>
          </w:tcPr>
          <w:p w14:paraId="5559EBFB"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339 000, 00</w:t>
            </w:r>
          </w:p>
        </w:tc>
        <w:tc>
          <w:tcPr>
            <w:tcW w:w="1348" w:type="dxa"/>
            <w:tcBorders>
              <w:top w:val="nil"/>
              <w:left w:val="nil"/>
              <w:bottom w:val="double" w:sz="6" w:space="0" w:color="1F497D"/>
              <w:right w:val="double" w:sz="6" w:space="0" w:color="1F497D"/>
            </w:tcBorders>
            <w:shd w:val="clear" w:color="auto" w:fill="auto"/>
            <w:noWrap/>
            <w:vAlign w:val="center"/>
            <w:hideMark/>
          </w:tcPr>
          <w:p w14:paraId="75BEE95A"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339 000, 00</w:t>
            </w:r>
          </w:p>
        </w:tc>
        <w:tc>
          <w:tcPr>
            <w:tcW w:w="1418" w:type="dxa"/>
            <w:tcBorders>
              <w:top w:val="nil"/>
              <w:left w:val="nil"/>
              <w:bottom w:val="double" w:sz="6" w:space="0" w:color="1F497D"/>
              <w:right w:val="double" w:sz="6" w:space="0" w:color="1F497D"/>
            </w:tcBorders>
            <w:shd w:val="clear" w:color="auto" w:fill="auto"/>
            <w:noWrap/>
            <w:vAlign w:val="center"/>
            <w:hideMark/>
          </w:tcPr>
          <w:p w14:paraId="380B147C"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339 000, 00</w:t>
            </w:r>
          </w:p>
        </w:tc>
        <w:tc>
          <w:tcPr>
            <w:tcW w:w="1417" w:type="dxa"/>
            <w:tcBorders>
              <w:top w:val="nil"/>
              <w:left w:val="nil"/>
              <w:bottom w:val="double" w:sz="6" w:space="0" w:color="1F497D"/>
              <w:right w:val="double" w:sz="6" w:space="0" w:color="1F497D"/>
            </w:tcBorders>
            <w:shd w:val="clear" w:color="auto" w:fill="auto"/>
            <w:noWrap/>
            <w:vAlign w:val="center"/>
            <w:hideMark/>
          </w:tcPr>
          <w:p w14:paraId="1C1DBD61"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339 000, 00</w:t>
            </w:r>
          </w:p>
        </w:tc>
        <w:tc>
          <w:tcPr>
            <w:tcW w:w="1370" w:type="dxa"/>
            <w:tcBorders>
              <w:top w:val="nil"/>
              <w:left w:val="nil"/>
              <w:bottom w:val="double" w:sz="6" w:space="0" w:color="1F497D"/>
              <w:right w:val="double" w:sz="6" w:space="0" w:color="1F497D"/>
            </w:tcBorders>
            <w:shd w:val="clear" w:color="auto" w:fill="auto"/>
            <w:noWrap/>
            <w:vAlign w:val="center"/>
            <w:hideMark/>
          </w:tcPr>
          <w:p w14:paraId="3BF6EE08"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339 000, 00</w:t>
            </w:r>
          </w:p>
        </w:tc>
        <w:tc>
          <w:tcPr>
            <w:tcW w:w="1465" w:type="dxa"/>
            <w:tcBorders>
              <w:top w:val="nil"/>
              <w:left w:val="nil"/>
              <w:bottom w:val="double" w:sz="6" w:space="0" w:color="1F497D"/>
              <w:right w:val="double" w:sz="6" w:space="0" w:color="1F497D"/>
            </w:tcBorders>
            <w:shd w:val="clear" w:color="auto" w:fill="auto"/>
            <w:noWrap/>
            <w:vAlign w:val="center"/>
            <w:hideMark/>
          </w:tcPr>
          <w:p w14:paraId="0B1680CD"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2 034 000,00</w:t>
            </w:r>
          </w:p>
        </w:tc>
      </w:tr>
      <w:tr w:rsidR="00CF527E" w:rsidRPr="00033E65" w14:paraId="413ADAF1"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3D6276AF" w14:textId="77777777" w:rsidR="00CF527E" w:rsidRPr="00033E65" w:rsidRDefault="00CF527E">
            <w:pPr>
              <w:spacing w:before="0" w:after="0"/>
              <w:jc w:val="left"/>
              <w:rPr>
                <w:rFonts w:cs="Calibri"/>
                <w:color w:val="000000"/>
                <w:sz w:val="20"/>
                <w:lang w:eastAsia="es-CR"/>
              </w:rPr>
            </w:pPr>
            <w:r w:rsidRPr="00033E65">
              <w:rPr>
                <w:rFonts w:cs="Calibri"/>
                <w:color w:val="000000"/>
                <w:sz w:val="20"/>
                <w:lang w:eastAsia="es-CR"/>
              </w:rPr>
              <w:t>Cadenas para las llantas de vehículos</w:t>
            </w:r>
          </w:p>
        </w:tc>
        <w:tc>
          <w:tcPr>
            <w:tcW w:w="1389" w:type="dxa"/>
            <w:tcBorders>
              <w:top w:val="nil"/>
              <w:left w:val="nil"/>
              <w:bottom w:val="double" w:sz="6" w:space="0" w:color="1F497D"/>
              <w:right w:val="double" w:sz="6" w:space="0" w:color="1F497D"/>
            </w:tcBorders>
            <w:shd w:val="clear" w:color="auto" w:fill="auto"/>
            <w:noWrap/>
            <w:vAlign w:val="center"/>
            <w:hideMark/>
          </w:tcPr>
          <w:p w14:paraId="056FDC23"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287 924, 00</w:t>
            </w:r>
          </w:p>
        </w:tc>
        <w:tc>
          <w:tcPr>
            <w:tcW w:w="1392" w:type="dxa"/>
            <w:tcBorders>
              <w:top w:val="nil"/>
              <w:left w:val="nil"/>
              <w:bottom w:val="double" w:sz="6" w:space="0" w:color="1F497D"/>
              <w:right w:val="double" w:sz="6" w:space="0" w:color="1F497D"/>
            </w:tcBorders>
            <w:shd w:val="clear" w:color="auto" w:fill="auto"/>
            <w:noWrap/>
            <w:vAlign w:val="center"/>
            <w:hideMark/>
          </w:tcPr>
          <w:p w14:paraId="2F5CE5E9"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287 924, 00</w:t>
            </w:r>
          </w:p>
        </w:tc>
        <w:tc>
          <w:tcPr>
            <w:tcW w:w="1348" w:type="dxa"/>
            <w:tcBorders>
              <w:top w:val="nil"/>
              <w:left w:val="nil"/>
              <w:bottom w:val="double" w:sz="6" w:space="0" w:color="1F497D"/>
              <w:right w:val="double" w:sz="6" w:space="0" w:color="1F497D"/>
            </w:tcBorders>
            <w:shd w:val="clear" w:color="auto" w:fill="auto"/>
            <w:noWrap/>
            <w:vAlign w:val="center"/>
            <w:hideMark/>
          </w:tcPr>
          <w:p w14:paraId="19ECE228"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18" w:type="dxa"/>
            <w:tcBorders>
              <w:top w:val="nil"/>
              <w:left w:val="nil"/>
              <w:bottom w:val="double" w:sz="6" w:space="0" w:color="1F497D"/>
              <w:right w:val="double" w:sz="6" w:space="0" w:color="1F497D"/>
            </w:tcBorders>
            <w:shd w:val="clear" w:color="auto" w:fill="auto"/>
            <w:noWrap/>
            <w:vAlign w:val="center"/>
            <w:hideMark/>
          </w:tcPr>
          <w:p w14:paraId="2FACC916"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17" w:type="dxa"/>
            <w:tcBorders>
              <w:top w:val="nil"/>
              <w:left w:val="nil"/>
              <w:bottom w:val="double" w:sz="6" w:space="0" w:color="1F497D"/>
              <w:right w:val="double" w:sz="6" w:space="0" w:color="1F497D"/>
            </w:tcBorders>
            <w:shd w:val="clear" w:color="auto" w:fill="auto"/>
            <w:noWrap/>
            <w:vAlign w:val="center"/>
            <w:hideMark/>
          </w:tcPr>
          <w:p w14:paraId="12AB1F72"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287 924, 00</w:t>
            </w:r>
          </w:p>
        </w:tc>
        <w:tc>
          <w:tcPr>
            <w:tcW w:w="1370" w:type="dxa"/>
            <w:tcBorders>
              <w:top w:val="nil"/>
              <w:left w:val="nil"/>
              <w:bottom w:val="double" w:sz="6" w:space="0" w:color="1F497D"/>
              <w:right w:val="double" w:sz="6" w:space="0" w:color="1F497D"/>
            </w:tcBorders>
            <w:shd w:val="clear" w:color="auto" w:fill="auto"/>
            <w:noWrap/>
            <w:vAlign w:val="center"/>
            <w:hideMark/>
          </w:tcPr>
          <w:p w14:paraId="49E212B5"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287 924, 00</w:t>
            </w:r>
          </w:p>
        </w:tc>
        <w:tc>
          <w:tcPr>
            <w:tcW w:w="1465" w:type="dxa"/>
            <w:tcBorders>
              <w:top w:val="nil"/>
              <w:left w:val="nil"/>
              <w:bottom w:val="double" w:sz="6" w:space="0" w:color="1F497D"/>
              <w:right w:val="double" w:sz="6" w:space="0" w:color="1F497D"/>
            </w:tcBorders>
            <w:shd w:val="clear" w:color="auto" w:fill="auto"/>
            <w:noWrap/>
            <w:vAlign w:val="center"/>
            <w:hideMark/>
          </w:tcPr>
          <w:p w14:paraId="00F48FBC"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1 151 696,00</w:t>
            </w:r>
          </w:p>
        </w:tc>
      </w:tr>
      <w:tr w:rsidR="00CF527E" w:rsidRPr="00033E65" w14:paraId="5596EFA6"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09EE1983" w14:textId="77777777" w:rsidR="00CF527E" w:rsidRPr="00033E65" w:rsidRDefault="00CF527E">
            <w:pPr>
              <w:spacing w:before="0" w:after="0"/>
              <w:jc w:val="left"/>
              <w:rPr>
                <w:rFonts w:cs="Calibri"/>
                <w:color w:val="000000"/>
                <w:sz w:val="20"/>
                <w:lang w:eastAsia="es-CR"/>
              </w:rPr>
            </w:pPr>
            <w:r w:rsidRPr="00033E65">
              <w:rPr>
                <w:rFonts w:cs="Calibri"/>
                <w:color w:val="000000"/>
                <w:sz w:val="20"/>
                <w:lang w:eastAsia="es-CR"/>
              </w:rPr>
              <w:t>Combustible (Diesel Flota 2.0) (a)</w:t>
            </w:r>
          </w:p>
        </w:tc>
        <w:tc>
          <w:tcPr>
            <w:tcW w:w="1389" w:type="dxa"/>
            <w:tcBorders>
              <w:top w:val="nil"/>
              <w:left w:val="nil"/>
              <w:bottom w:val="double" w:sz="6" w:space="0" w:color="1F497D"/>
              <w:right w:val="double" w:sz="6" w:space="0" w:color="1F497D"/>
            </w:tcBorders>
            <w:shd w:val="clear" w:color="auto" w:fill="auto"/>
            <w:noWrap/>
            <w:vAlign w:val="center"/>
            <w:hideMark/>
          </w:tcPr>
          <w:p w14:paraId="0E5559E2"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2 608 333, 80</w:t>
            </w:r>
          </w:p>
        </w:tc>
        <w:tc>
          <w:tcPr>
            <w:tcW w:w="1392" w:type="dxa"/>
            <w:tcBorders>
              <w:top w:val="nil"/>
              <w:left w:val="nil"/>
              <w:bottom w:val="double" w:sz="6" w:space="0" w:color="1F497D"/>
              <w:right w:val="double" w:sz="6" w:space="0" w:color="1F497D"/>
            </w:tcBorders>
            <w:shd w:val="clear" w:color="auto" w:fill="auto"/>
            <w:noWrap/>
            <w:vAlign w:val="center"/>
            <w:hideMark/>
          </w:tcPr>
          <w:p w14:paraId="7B65FBC7"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2 847 600, 00</w:t>
            </w:r>
          </w:p>
        </w:tc>
        <w:tc>
          <w:tcPr>
            <w:tcW w:w="1348" w:type="dxa"/>
            <w:tcBorders>
              <w:top w:val="nil"/>
              <w:left w:val="nil"/>
              <w:bottom w:val="double" w:sz="6" w:space="0" w:color="1F497D"/>
              <w:right w:val="double" w:sz="6" w:space="0" w:color="1F497D"/>
            </w:tcBorders>
            <w:shd w:val="clear" w:color="auto" w:fill="auto"/>
            <w:noWrap/>
            <w:vAlign w:val="center"/>
            <w:hideMark/>
          </w:tcPr>
          <w:p w14:paraId="127908D7"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1 356 000, 00</w:t>
            </w:r>
          </w:p>
        </w:tc>
        <w:tc>
          <w:tcPr>
            <w:tcW w:w="1418" w:type="dxa"/>
            <w:tcBorders>
              <w:top w:val="nil"/>
              <w:left w:val="nil"/>
              <w:bottom w:val="double" w:sz="6" w:space="0" w:color="1F497D"/>
              <w:right w:val="double" w:sz="6" w:space="0" w:color="1F497D"/>
            </w:tcBorders>
            <w:shd w:val="clear" w:color="auto" w:fill="auto"/>
            <w:noWrap/>
            <w:vAlign w:val="center"/>
            <w:hideMark/>
          </w:tcPr>
          <w:p w14:paraId="4854EA36"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1 485 950, 00</w:t>
            </w:r>
          </w:p>
        </w:tc>
        <w:tc>
          <w:tcPr>
            <w:tcW w:w="1417" w:type="dxa"/>
            <w:tcBorders>
              <w:top w:val="nil"/>
              <w:left w:val="nil"/>
              <w:bottom w:val="double" w:sz="6" w:space="0" w:color="1F497D"/>
              <w:right w:val="double" w:sz="6" w:space="0" w:color="1F497D"/>
            </w:tcBorders>
            <w:shd w:val="clear" w:color="auto" w:fill="auto"/>
            <w:noWrap/>
            <w:vAlign w:val="center"/>
            <w:hideMark/>
          </w:tcPr>
          <w:p w14:paraId="7CA9E5BE"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1 485 950,00</w:t>
            </w:r>
          </w:p>
        </w:tc>
        <w:tc>
          <w:tcPr>
            <w:tcW w:w="1370" w:type="dxa"/>
            <w:tcBorders>
              <w:top w:val="nil"/>
              <w:left w:val="nil"/>
              <w:bottom w:val="double" w:sz="6" w:space="0" w:color="1F497D"/>
              <w:right w:val="double" w:sz="6" w:space="0" w:color="1F497D"/>
            </w:tcBorders>
            <w:shd w:val="clear" w:color="auto" w:fill="auto"/>
            <w:noWrap/>
            <w:vAlign w:val="center"/>
            <w:hideMark/>
          </w:tcPr>
          <w:p w14:paraId="1CDF98D8"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1 485 950,00</w:t>
            </w:r>
          </w:p>
        </w:tc>
        <w:tc>
          <w:tcPr>
            <w:tcW w:w="1465" w:type="dxa"/>
            <w:tcBorders>
              <w:top w:val="nil"/>
              <w:left w:val="nil"/>
              <w:bottom w:val="double" w:sz="6" w:space="0" w:color="1F497D"/>
              <w:right w:val="double" w:sz="6" w:space="0" w:color="1F497D"/>
            </w:tcBorders>
            <w:shd w:val="clear" w:color="auto" w:fill="auto"/>
            <w:noWrap/>
            <w:vAlign w:val="center"/>
            <w:hideMark/>
          </w:tcPr>
          <w:p w14:paraId="48F762D2"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11 269 783,80</w:t>
            </w:r>
          </w:p>
        </w:tc>
      </w:tr>
      <w:tr w:rsidR="00CF527E" w:rsidRPr="00033E65" w14:paraId="4188C322"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1A749996" w14:textId="77777777" w:rsidR="00CF527E" w:rsidRPr="00033E65" w:rsidRDefault="00CF527E">
            <w:pPr>
              <w:spacing w:before="0" w:after="0"/>
              <w:jc w:val="left"/>
              <w:rPr>
                <w:rFonts w:cs="Calibri"/>
                <w:color w:val="000000"/>
                <w:sz w:val="20"/>
                <w:lang w:eastAsia="es-CR"/>
              </w:rPr>
            </w:pPr>
            <w:r w:rsidRPr="00033E65">
              <w:rPr>
                <w:rFonts w:cs="Calibri"/>
                <w:color w:val="000000"/>
                <w:sz w:val="20"/>
                <w:lang w:eastAsia="es-CR"/>
              </w:rPr>
              <w:t>Linga</w:t>
            </w:r>
          </w:p>
        </w:tc>
        <w:tc>
          <w:tcPr>
            <w:tcW w:w="1389" w:type="dxa"/>
            <w:tcBorders>
              <w:top w:val="nil"/>
              <w:left w:val="nil"/>
              <w:bottom w:val="double" w:sz="6" w:space="0" w:color="1F497D"/>
              <w:right w:val="double" w:sz="6" w:space="0" w:color="1F497D"/>
            </w:tcBorders>
            <w:shd w:val="clear" w:color="auto" w:fill="auto"/>
            <w:noWrap/>
            <w:vAlign w:val="center"/>
            <w:hideMark/>
          </w:tcPr>
          <w:p w14:paraId="0634C0A6"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17 000, 00</w:t>
            </w:r>
          </w:p>
        </w:tc>
        <w:tc>
          <w:tcPr>
            <w:tcW w:w="1392" w:type="dxa"/>
            <w:tcBorders>
              <w:top w:val="nil"/>
              <w:left w:val="nil"/>
              <w:bottom w:val="double" w:sz="6" w:space="0" w:color="1F497D"/>
              <w:right w:val="double" w:sz="6" w:space="0" w:color="1F497D"/>
            </w:tcBorders>
            <w:shd w:val="clear" w:color="auto" w:fill="auto"/>
            <w:noWrap/>
            <w:vAlign w:val="center"/>
            <w:hideMark/>
          </w:tcPr>
          <w:p w14:paraId="30CF59C7"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17 000, 00</w:t>
            </w:r>
          </w:p>
        </w:tc>
        <w:tc>
          <w:tcPr>
            <w:tcW w:w="1348" w:type="dxa"/>
            <w:tcBorders>
              <w:top w:val="nil"/>
              <w:left w:val="nil"/>
              <w:bottom w:val="double" w:sz="6" w:space="0" w:color="1F497D"/>
              <w:right w:val="double" w:sz="6" w:space="0" w:color="1F497D"/>
            </w:tcBorders>
            <w:shd w:val="clear" w:color="auto" w:fill="auto"/>
            <w:noWrap/>
            <w:vAlign w:val="center"/>
            <w:hideMark/>
          </w:tcPr>
          <w:p w14:paraId="1DB3E6FC"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17 000, 00</w:t>
            </w:r>
          </w:p>
        </w:tc>
        <w:tc>
          <w:tcPr>
            <w:tcW w:w="1418" w:type="dxa"/>
            <w:tcBorders>
              <w:top w:val="nil"/>
              <w:left w:val="nil"/>
              <w:bottom w:val="double" w:sz="6" w:space="0" w:color="1F497D"/>
              <w:right w:val="double" w:sz="6" w:space="0" w:color="1F497D"/>
            </w:tcBorders>
            <w:shd w:val="clear" w:color="auto" w:fill="auto"/>
            <w:noWrap/>
            <w:vAlign w:val="center"/>
            <w:hideMark/>
          </w:tcPr>
          <w:p w14:paraId="19B11429"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17 000, 00</w:t>
            </w:r>
          </w:p>
        </w:tc>
        <w:tc>
          <w:tcPr>
            <w:tcW w:w="1417" w:type="dxa"/>
            <w:tcBorders>
              <w:top w:val="nil"/>
              <w:left w:val="nil"/>
              <w:bottom w:val="double" w:sz="6" w:space="0" w:color="1F497D"/>
              <w:right w:val="double" w:sz="6" w:space="0" w:color="1F497D"/>
            </w:tcBorders>
            <w:shd w:val="clear" w:color="auto" w:fill="auto"/>
            <w:noWrap/>
            <w:vAlign w:val="center"/>
            <w:hideMark/>
          </w:tcPr>
          <w:p w14:paraId="395F2EBA"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17 000, 00</w:t>
            </w:r>
          </w:p>
        </w:tc>
        <w:tc>
          <w:tcPr>
            <w:tcW w:w="1370" w:type="dxa"/>
            <w:tcBorders>
              <w:top w:val="nil"/>
              <w:left w:val="nil"/>
              <w:bottom w:val="double" w:sz="6" w:space="0" w:color="1F497D"/>
              <w:right w:val="double" w:sz="6" w:space="0" w:color="1F497D"/>
            </w:tcBorders>
            <w:shd w:val="clear" w:color="auto" w:fill="auto"/>
            <w:noWrap/>
            <w:vAlign w:val="center"/>
            <w:hideMark/>
          </w:tcPr>
          <w:p w14:paraId="13907A80"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17 000, 00</w:t>
            </w:r>
          </w:p>
        </w:tc>
        <w:tc>
          <w:tcPr>
            <w:tcW w:w="1465" w:type="dxa"/>
            <w:tcBorders>
              <w:top w:val="nil"/>
              <w:left w:val="nil"/>
              <w:bottom w:val="double" w:sz="6" w:space="0" w:color="1F497D"/>
              <w:right w:val="double" w:sz="6" w:space="0" w:color="1F497D"/>
            </w:tcBorders>
            <w:shd w:val="clear" w:color="auto" w:fill="auto"/>
            <w:noWrap/>
            <w:vAlign w:val="center"/>
            <w:hideMark/>
          </w:tcPr>
          <w:p w14:paraId="28B84DAE"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102 000,00</w:t>
            </w:r>
          </w:p>
        </w:tc>
      </w:tr>
      <w:tr w:rsidR="00CF527E" w:rsidRPr="00033E65" w14:paraId="70099585"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36B2CEA9" w14:textId="77777777" w:rsidR="00CF527E" w:rsidRPr="00033E65" w:rsidRDefault="00CF527E">
            <w:pPr>
              <w:spacing w:before="0" w:after="0"/>
              <w:jc w:val="left"/>
              <w:rPr>
                <w:rFonts w:cs="Calibri"/>
                <w:color w:val="000000"/>
                <w:sz w:val="20"/>
                <w:lang w:eastAsia="es-CR"/>
              </w:rPr>
            </w:pPr>
            <w:r w:rsidRPr="00033E65">
              <w:rPr>
                <w:rFonts w:cs="Calibri"/>
                <w:color w:val="000000"/>
                <w:sz w:val="20"/>
                <w:lang w:eastAsia="es-CR"/>
              </w:rPr>
              <w:t>Servicio de Monitoreo por GPS</w:t>
            </w:r>
          </w:p>
        </w:tc>
        <w:tc>
          <w:tcPr>
            <w:tcW w:w="1389" w:type="dxa"/>
            <w:tcBorders>
              <w:top w:val="nil"/>
              <w:left w:val="nil"/>
              <w:bottom w:val="double" w:sz="6" w:space="0" w:color="1F497D"/>
              <w:right w:val="double" w:sz="6" w:space="0" w:color="1F497D"/>
            </w:tcBorders>
            <w:shd w:val="clear" w:color="auto" w:fill="auto"/>
            <w:noWrap/>
            <w:vAlign w:val="center"/>
            <w:hideMark/>
          </w:tcPr>
          <w:p w14:paraId="04AF0509"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164 474, 79</w:t>
            </w:r>
          </w:p>
        </w:tc>
        <w:tc>
          <w:tcPr>
            <w:tcW w:w="1392" w:type="dxa"/>
            <w:tcBorders>
              <w:top w:val="nil"/>
              <w:left w:val="nil"/>
              <w:bottom w:val="double" w:sz="6" w:space="0" w:color="1F497D"/>
              <w:right w:val="double" w:sz="6" w:space="0" w:color="1F497D"/>
            </w:tcBorders>
            <w:shd w:val="clear" w:color="auto" w:fill="auto"/>
            <w:noWrap/>
            <w:vAlign w:val="center"/>
            <w:hideMark/>
          </w:tcPr>
          <w:p w14:paraId="4960E35D"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164 474, 79</w:t>
            </w:r>
          </w:p>
        </w:tc>
        <w:tc>
          <w:tcPr>
            <w:tcW w:w="1348" w:type="dxa"/>
            <w:tcBorders>
              <w:top w:val="nil"/>
              <w:left w:val="nil"/>
              <w:bottom w:val="double" w:sz="6" w:space="0" w:color="1F497D"/>
              <w:right w:val="double" w:sz="6" w:space="0" w:color="1F497D"/>
            </w:tcBorders>
            <w:shd w:val="clear" w:color="auto" w:fill="auto"/>
            <w:noWrap/>
            <w:vAlign w:val="center"/>
            <w:hideMark/>
          </w:tcPr>
          <w:p w14:paraId="24FF505C"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164 474, 79</w:t>
            </w:r>
          </w:p>
        </w:tc>
        <w:tc>
          <w:tcPr>
            <w:tcW w:w="1418" w:type="dxa"/>
            <w:tcBorders>
              <w:top w:val="nil"/>
              <w:left w:val="nil"/>
              <w:bottom w:val="double" w:sz="6" w:space="0" w:color="1F497D"/>
              <w:right w:val="double" w:sz="6" w:space="0" w:color="1F497D"/>
            </w:tcBorders>
            <w:shd w:val="clear" w:color="auto" w:fill="auto"/>
            <w:noWrap/>
            <w:vAlign w:val="center"/>
            <w:hideMark/>
          </w:tcPr>
          <w:p w14:paraId="71BAB0A3"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164 474, 79</w:t>
            </w:r>
          </w:p>
        </w:tc>
        <w:tc>
          <w:tcPr>
            <w:tcW w:w="1417" w:type="dxa"/>
            <w:tcBorders>
              <w:top w:val="nil"/>
              <w:left w:val="nil"/>
              <w:bottom w:val="double" w:sz="6" w:space="0" w:color="1F497D"/>
              <w:right w:val="double" w:sz="6" w:space="0" w:color="1F497D"/>
            </w:tcBorders>
            <w:shd w:val="clear" w:color="auto" w:fill="auto"/>
            <w:noWrap/>
            <w:vAlign w:val="center"/>
            <w:hideMark/>
          </w:tcPr>
          <w:p w14:paraId="2217478A"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164 474, 79</w:t>
            </w:r>
          </w:p>
        </w:tc>
        <w:tc>
          <w:tcPr>
            <w:tcW w:w="1370" w:type="dxa"/>
            <w:tcBorders>
              <w:top w:val="nil"/>
              <w:left w:val="nil"/>
              <w:bottom w:val="double" w:sz="6" w:space="0" w:color="1F497D"/>
              <w:right w:val="double" w:sz="6" w:space="0" w:color="1F497D"/>
            </w:tcBorders>
            <w:shd w:val="clear" w:color="auto" w:fill="auto"/>
            <w:noWrap/>
            <w:vAlign w:val="center"/>
            <w:hideMark/>
          </w:tcPr>
          <w:p w14:paraId="72204961"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164 474, 79</w:t>
            </w:r>
          </w:p>
        </w:tc>
        <w:tc>
          <w:tcPr>
            <w:tcW w:w="1465" w:type="dxa"/>
            <w:tcBorders>
              <w:top w:val="nil"/>
              <w:left w:val="nil"/>
              <w:bottom w:val="double" w:sz="6" w:space="0" w:color="1F497D"/>
              <w:right w:val="double" w:sz="6" w:space="0" w:color="1F497D"/>
            </w:tcBorders>
            <w:shd w:val="clear" w:color="auto" w:fill="auto"/>
            <w:noWrap/>
            <w:vAlign w:val="center"/>
            <w:hideMark/>
          </w:tcPr>
          <w:p w14:paraId="5BABFCAE"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986 848,74</w:t>
            </w:r>
          </w:p>
        </w:tc>
      </w:tr>
      <w:tr w:rsidR="00CF527E" w:rsidRPr="00033E65" w14:paraId="35500687"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3ABA0840" w14:textId="77777777" w:rsidR="00CF527E" w:rsidRPr="00033E65" w:rsidRDefault="00CF527E">
            <w:pPr>
              <w:spacing w:before="0" w:after="0"/>
              <w:jc w:val="left"/>
              <w:rPr>
                <w:rFonts w:cs="Calibri"/>
                <w:color w:val="000000"/>
                <w:sz w:val="20"/>
                <w:lang w:eastAsia="es-CR"/>
              </w:rPr>
            </w:pPr>
            <w:r w:rsidRPr="00033E65">
              <w:rPr>
                <w:rFonts w:cs="Calibri"/>
                <w:color w:val="000000"/>
                <w:sz w:val="20"/>
                <w:lang w:eastAsia="es-CR"/>
              </w:rPr>
              <w:t>Dispositivo de Peaje Electrónico (Quick pass)</w:t>
            </w:r>
          </w:p>
        </w:tc>
        <w:tc>
          <w:tcPr>
            <w:tcW w:w="1389" w:type="dxa"/>
            <w:tcBorders>
              <w:top w:val="nil"/>
              <w:left w:val="nil"/>
              <w:bottom w:val="double" w:sz="6" w:space="0" w:color="1F497D"/>
              <w:right w:val="double" w:sz="6" w:space="0" w:color="1F497D"/>
            </w:tcBorders>
            <w:shd w:val="clear" w:color="auto" w:fill="auto"/>
            <w:noWrap/>
            <w:vAlign w:val="center"/>
            <w:hideMark/>
          </w:tcPr>
          <w:p w14:paraId="0DDB5FB0"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28 250, 00</w:t>
            </w:r>
          </w:p>
        </w:tc>
        <w:tc>
          <w:tcPr>
            <w:tcW w:w="1392" w:type="dxa"/>
            <w:tcBorders>
              <w:top w:val="nil"/>
              <w:left w:val="nil"/>
              <w:bottom w:val="double" w:sz="6" w:space="0" w:color="1F497D"/>
              <w:right w:val="double" w:sz="6" w:space="0" w:color="1F497D"/>
            </w:tcBorders>
            <w:shd w:val="clear" w:color="auto" w:fill="auto"/>
            <w:noWrap/>
            <w:vAlign w:val="center"/>
            <w:hideMark/>
          </w:tcPr>
          <w:p w14:paraId="33F28DA6"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48" w:type="dxa"/>
            <w:tcBorders>
              <w:top w:val="nil"/>
              <w:left w:val="nil"/>
              <w:bottom w:val="double" w:sz="6" w:space="0" w:color="1F497D"/>
              <w:right w:val="double" w:sz="6" w:space="0" w:color="1F497D"/>
            </w:tcBorders>
            <w:shd w:val="clear" w:color="auto" w:fill="auto"/>
            <w:noWrap/>
            <w:vAlign w:val="center"/>
            <w:hideMark/>
          </w:tcPr>
          <w:p w14:paraId="7B30E14F"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28 250, 00</w:t>
            </w:r>
          </w:p>
        </w:tc>
        <w:tc>
          <w:tcPr>
            <w:tcW w:w="1418" w:type="dxa"/>
            <w:tcBorders>
              <w:top w:val="nil"/>
              <w:left w:val="nil"/>
              <w:bottom w:val="double" w:sz="6" w:space="0" w:color="1F497D"/>
              <w:right w:val="double" w:sz="6" w:space="0" w:color="1F497D"/>
            </w:tcBorders>
            <w:shd w:val="clear" w:color="auto" w:fill="auto"/>
            <w:noWrap/>
            <w:vAlign w:val="center"/>
            <w:hideMark/>
          </w:tcPr>
          <w:p w14:paraId="1D4082E5"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17" w:type="dxa"/>
            <w:tcBorders>
              <w:top w:val="nil"/>
              <w:left w:val="nil"/>
              <w:bottom w:val="double" w:sz="6" w:space="0" w:color="1F497D"/>
              <w:right w:val="double" w:sz="6" w:space="0" w:color="1F497D"/>
            </w:tcBorders>
            <w:shd w:val="clear" w:color="auto" w:fill="auto"/>
            <w:noWrap/>
            <w:vAlign w:val="center"/>
            <w:hideMark/>
          </w:tcPr>
          <w:p w14:paraId="4EEA53F2"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70" w:type="dxa"/>
            <w:tcBorders>
              <w:top w:val="nil"/>
              <w:left w:val="nil"/>
              <w:bottom w:val="double" w:sz="6" w:space="0" w:color="1F497D"/>
              <w:right w:val="double" w:sz="6" w:space="0" w:color="1F497D"/>
            </w:tcBorders>
            <w:shd w:val="clear" w:color="auto" w:fill="auto"/>
            <w:noWrap/>
            <w:vAlign w:val="center"/>
            <w:hideMark/>
          </w:tcPr>
          <w:p w14:paraId="0EA35311"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65" w:type="dxa"/>
            <w:tcBorders>
              <w:top w:val="nil"/>
              <w:left w:val="nil"/>
              <w:bottom w:val="double" w:sz="6" w:space="0" w:color="1F497D"/>
              <w:right w:val="double" w:sz="6" w:space="0" w:color="1F497D"/>
            </w:tcBorders>
            <w:shd w:val="clear" w:color="auto" w:fill="auto"/>
            <w:noWrap/>
            <w:vAlign w:val="center"/>
            <w:hideMark/>
          </w:tcPr>
          <w:p w14:paraId="2AB67916"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56 500,00</w:t>
            </w:r>
          </w:p>
        </w:tc>
      </w:tr>
      <w:tr w:rsidR="00CF527E" w:rsidRPr="00033E65" w14:paraId="046371D9"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5A173219" w14:textId="77777777" w:rsidR="00CF527E" w:rsidRPr="00033E65" w:rsidRDefault="00CF527E">
            <w:pPr>
              <w:spacing w:before="0" w:after="0"/>
              <w:jc w:val="left"/>
              <w:rPr>
                <w:rFonts w:cs="Calibri"/>
                <w:color w:val="000000"/>
                <w:sz w:val="20"/>
                <w:lang w:eastAsia="es-CR"/>
              </w:rPr>
            </w:pPr>
            <w:r w:rsidRPr="00033E65">
              <w:rPr>
                <w:rFonts w:cs="Calibri"/>
                <w:color w:val="000000"/>
                <w:sz w:val="20"/>
                <w:lang w:eastAsia="es-CR"/>
              </w:rPr>
              <w:t>Mantenimiento Dispositivo para Peaje Automático (Quick Pass) (b)</w:t>
            </w:r>
          </w:p>
        </w:tc>
        <w:tc>
          <w:tcPr>
            <w:tcW w:w="1389" w:type="dxa"/>
            <w:tcBorders>
              <w:top w:val="nil"/>
              <w:left w:val="nil"/>
              <w:bottom w:val="double" w:sz="6" w:space="0" w:color="1F497D"/>
              <w:right w:val="double" w:sz="6" w:space="0" w:color="1F497D"/>
            </w:tcBorders>
            <w:shd w:val="clear" w:color="auto" w:fill="auto"/>
            <w:noWrap/>
            <w:vAlign w:val="center"/>
            <w:hideMark/>
          </w:tcPr>
          <w:p w14:paraId="46E9C6BE"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113 000, 00</w:t>
            </w:r>
          </w:p>
        </w:tc>
        <w:tc>
          <w:tcPr>
            <w:tcW w:w="1392" w:type="dxa"/>
            <w:tcBorders>
              <w:top w:val="nil"/>
              <w:left w:val="nil"/>
              <w:bottom w:val="double" w:sz="6" w:space="0" w:color="1F497D"/>
              <w:right w:val="double" w:sz="6" w:space="0" w:color="1F497D"/>
            </w:tcBorders>
            <w:shd w:val="clear" w:color="auto" w:fill="auto"/>
            <w:noWrap/>
            <w:vAlign w:val="center"/>
            <w:hideMark/>
          </w:tcPr>
          <w:p w14:paraId="117A42D0"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48" w:type="dxa"/>
            <w:tcBorders>
              <w:top w:val="nil"/>
              <w:left w:val="nil"/>
              <w:bottom w:val="double" w:sz="6" w:space="0" w:color="1F497D"/>
              <w:right w:val="double" w:sz="6" w:space="0" w:color="1F497D"/>
            </w:tcBorders>
            <w:shd w:val="clear" w:color="auto" w:fill="auto"/>
            <w:noWrap/>
            <w:vAlign w:val="center"/>
            <w:hideMark/>
          </w:tcPr>
          <w:p w14:paraId="1A61EC99"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56 500, 00</w:t>
            </w:r>
          </w:p>
        </w:tc>
        <w:tc>
          <w:tcPr>
            <w:tcW w:w="1418" w:type="dxa"/>
            <w:tcBorders>
              <w:top w:val="nil"/>
              <w:left w:val="nil"/>
              <w:bottom w:val="double" w:sz="6" w:space="0" w:color="1F497D"/>
              <w:right w:val="double" w:sz="6" w:space="0" w:color="1F497D"/>
            </w:tcBorders>
            <w:shd w:val="clear" w:color="auto" w:fill="auto"/>
            <w:noWrap/>
            <w:vAlign w:val="center"/>
            <w:hideMark/>
          </w:tcPr>
          <w:p w14:paraId="39BE648D"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17" w:type="dxa"/>
            <w:tcBorders>
              <w:top w:val="nil"/>
              <w:left w:val="nil"/>
              <w:bottom w:val="double" w:sz="6" w:space="0" w:color="1F497D"/>
              <w:right w:val="double" w:sz="6" w:space="0" w:color="1F497D"/>
            </w:tcBorders>
            <w:shd w:val="clear" w:color="auto" w:fill="auto"/>
            <w:noWrap/>
            <w:vAlign w:val="center"/>
            <w:hideMark/>
          </w:tcPr>
          <w:p w14:paraId="58244D30"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70" w:type="dxa"/>
            <w:tcBorders>
              <w:top w:val="nil"/>
              <w:left w:val="nil"/>
              <w:bottom w:val="double" w:sz="6" w:space="0" w:color="1F497D"/>
              <w:right w:val="double" w:sz="6" w:space="0" w:color="1F497D"/>
            </w:tcBorders>
            <w:shd w:val="clear" w:color="auto" w:fill="auto"/>
            <w:noWrap/>
            <w:vAlign w:val="center"/>
            <w:hideMark/>
          </w:tcPr>
          <w:p w14:paraId="03B20DB9"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65" w:type="dxa"/>
            <w:tcBorders>
              <w:top w:val="nil"/>
              <w:left w:val="nil"/>
              <w:bottom w:val="double" w:sz="6" w:space="0" w:color="1F497D"/>
              <w:right w:val="double" w:sz="6" w:space="0" w:color="1F497D"/>
            </w:tcBorders>
            <w:shd w:val="clear" w:color="auto" w:fill="auto"/>
            <w:noWrap/>
            <w:vAlign w:val="center"/>
            <w:hideMark/>
          </w:tcPr>
          <w:p w14:paraId="60C5192B"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₡1</w:t>
            </w:r>
            <w:r w:rsidRPr="00033E65">
              <w:rPr>
                <w:color w:val="000000"/>
                <w:sz w:val="20"/>
                <w:lang w:eastAsia="es-CR"/>
              </w:rPr>
              <w:t>69 500,00</w:t>
            </w:r>
          </w:p>
        </w:tc>
      </w:tr>
      <w:tr w:rsidR="00CF527E" w:rsidRPr="00033E65" w14:paraId="6E4F6086"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76134288" w14:textId="77777777" w:rsidR="00CF527E" w:rsidRPr="00033E65" w:rsidRDefault="00CF527E">
            <w:pPr>
              <w:spacing w:before="0" w:after="0"/>
              <w:jc w:val="left"/>
              <w:rPr>
                <w:rFonts w:cs="Calibri"/>
                <w:color w:val="000000"/>
                <w:sz w:val="20"/>
                <w:lang w:eastAsia="es-CR"/>
              </w:rPr>
            </w:pPr>
            <w:r w:rsidRPr="00033E65">
              <w:rPr>
                <w:rFonts w:cs="Calibri"/>
                <w:color w:val="000000"/>
                <w:sz w:val="20"/>
                <w:lang w:eastAsia="es-CR"/>
              </w:rPr>
              <w:t>Transporte Dentro del País</w:t>
            </w:r>
          </w:p>
        </w:tc>
        <w:tc>
          <w:tcPr>
            <w:tcW w:w="1389" w:type="dxa"/>
            <w:tcBorders>
              <w:top w:val="nil"/>
              <w:left w:val="nil"/>
              <w:bottom w:val="double" w:sz="6" w:space="0" w:color="1F497D"/>
              <w:right w:val="double" w:sz="6" w:space="0" w:color="1F497D"/>
            </w:tcBorders>
            <w:shd w:val="clear" w:color="auto" w:fill="auto"/>
            <w:noWrap/>
            <w:vAlign w:val="center"/>
            <w:hideMark/>
          </w:tcPr>
          <w:p w14:paraId="5BEC5E28"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28 250, 00</w:t>
            </w:r>
          </w:p>
        </w:tc>
        <w:tc>
          <w:tcPr>
            <w:tcW w:w="1392" w:type="dxa"/>
            <w:tcBorders>
              <w:top w:val="nil"/>
              <w:left w:val="nil"/>
              <w:bottom w:val="double" w:sz="6" w:space="0" w:color="1F497D"/>
              <w:right w:val="double" w:sz="6" w:space="0" w:color="1F497D"/>
            </w:tcBorders>
            <w:shd w:val="clear" w:color="auto" w:fill="auto"/>
            <w:noWrap/>
            <w:vAlign w:val="center"/>
            <w:hideMark/>
          </w:tcPr>
          <w:p w14:paraId="15E4FD06"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48" w:type="dxa"/>
            <w:tcBorders>
              <w:top w:val="nil"/>
              <w:left w:val="nil"/>
              <w:bottom w:val="double" w:sz="6" w:space="0" w:color="1F497D"/>
              <w:right w:val="double" w:sz="6" w:space="0" w:color="1F497D"/>
            </w:tcBorders>
            <w:shd w:val="clear" w:color="auto" w:fill="auto"/>
            <w:noWrap/>
            <w:vAlign w:val="center"/>
            <w:hideMark/>
          </w:tcPr>
          <w:p w14:paraId="0CCB9684"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28 250, 00</w:t>
            </w:r>
          </w:p>
        </w:tc>
        <w:tc>
          <w:tcPr>
            <w:tcW w:w="1418" w:type="dxa"/>
            <w:tcBorders>
              <w:top w:val="nil"/>
              <w:left w:val="nil"/>
              <w:bottom w:val="double" w:sz="6" w:space="0" w:color="1F497D"/>
              <w:right w:val="double" w:sz="6" w:space="0" w:color="1F497D"/>
            </w:tcBorders>
            <w:shd w:val="clear" w:color="auto" w:fill="auto"/>
            <w:noWrap/>
            <w:vAlign w:val="center"/>
            <w:hideMark/>
          </w:tcPr>
          <w:p w14:paraId="7959F66E"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17" w:type="dxa"/>
            <w:tcBorders>
              <w:top w:val="nil"/>
              <w:left w:val="nil"/>
              <w:bottom w:val="double" w:sz="6" w:space="0" w:color="1F497D"/>
              <w:right w:val="double" w:sz="6" w:space="0" w:color="1F497D"/>
            </w:tcBorders>
            <w:shd w:val="clear" w:color="auto" w:fill="auto"/>
            <w:noWrap/>
            <w:vAlign w:val="center"/>
            <w:hideMark/>
          </w:tcPr>
          <w:p w14:paraId="0B4FC7CF"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70" w:type="dxa"/>
            <w:tcBorders>
              <w:top w:val="nil"/>
              <w:left w:val="nil"/>
              <w:bottom w:val="double" w:sz="6" w:space="0" w:color="1F497D"/>
              <w:right w:val="double" w:sz="6" w:space="0" w:color="1F497D"/>
            </w:tcBorders>
            <w:shd w:val="clear" w:color="auto" w:fill="auto"/>
            <w:noWrap/>
            <w:vAlign w:val="center"/>
            <w:hideMark/>
          </w:tcPr>
          <w:p w14:paraId="0EB10EC5"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65" w:type="dxa"/>
            <w:tcBorders>
              <w:top w:val="nil"/>
              <w:left w:val="nil"/>
              <w:bottom w:val="double" w:sz="6" w:space="0" w:color="1F497D"/>
              <w:right w:val="double" w:sz="6" w:space="0" w:color="1F497D"/>
            </w:tcBorders>
            <w:shd w:val="clear" w:color="auto" w:fill="auto"/>
            <w:noWrap/>
            <w:vAlign w:val="center"/>
            <w:hideMark/>
          </w:tcPr>
          <w:p w14:paraId="39904261"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56 500,00</w:t>
            </w:r>
          </w:p>
        </w:tc>
      </w:tr>
      <w:tr w:rsidR="00CF527E" w:rsidRPr="00033E65" w14:paraId="59922577"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7636D3FC" w14:textId="77777777" w:rsidR="00CF527E" w:rsidRPr="00033E65" w:rsidRDefault="00CF527E">
            <w:pPr>
              <w:spacing w:before="0" w:after="0"/>
              <w:jc w:val="left"/>
              <w:rPr>
                <w:rFonts w:cs="Calibri"/>
                <w:color w:val="000000"/>
                <w:sz w:val="20"/>
                <w:lang w:eastAsia="es-CR"/>
              </w:rPr>
            </w:pPr>
            <w:r w:rsidRPr="00033E65">
              <w:rPr>
                <w:rFonts w:cs="Calibri"/>
                <w:color w:val="000000"/>
                <w:sz w:val="20"/>
                <w:lang w:eastAsia="es-CR"/>
              </w:rPr>
              <w:t>Cubre asientos para automóvil</w:t>
            </w:r>
          </w:p>
        </w:tc>
        <w:tc>
          <w:tcPr>
            <w:tcW w:w="1389" w:type="dxa"/>
            <w:tcBorders>
              <w:top w:val="nil"/>
              <w:left w:val="nil"/>
              <w:bottom w:val="double" w:sz="6" w:space="0" w:color="1F497D"/>
              <w:right w:val="double" w:sz="6" w:space="0" w:color="1F497D"/>
            </w:tcBorders>
            <w:shd w:val="clear" w:color="auto" w:fill="auto"/>
            <w:noWrap/>
            <w:vAlign w:val="center"/>
            <w:hideMark/>
          </w:tcPr>
          <w:p w14:paraId="306F6C8C"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100 000, 00</w:t>
            </w:r>
          </w:p>
        </w:tc>
        <w:tc>
          <w:tcPr>
            <w:tcW w:w="1392" w:type="dxa"/>
            <w:tcBorders>
              <w:top w:val="nil"/>
              <w:left w:val="nil"/>
              <w:bottom w:val="double" w:sz="6" w:space="0" w:color="1F497D"/>
              <w:right w:val="double" w:sz="6" w:space="0" w:color="1F497D"/>
            </w:tcBorders>
            <w:shd w:val="clear" w:color="auto" w:fill="auto"/>
            <w:noWrap/>
            <w:vAlign w:val="center"/>
            <w:hideMark/>
          </w:tcPr>
          <w:p w14:paraId="3DA41665"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100 000, 00</w:t>
            </w:r>
          </w:p>
        </w:tc>
        <w:tc>
          <w:tcPr>
            <w:tcW w:w="1348" w:type="dxa"/>
            <w:tcBorders>
              <w:top w:val="nil"/>
              <w:left w:val="nil"/>
              <w:bottom w:val="double" w:sz="6" w:space="0" w:color="1F497D"/>
              <w:right w:val="double" w:sz="6" w:space="0" w:color="1F497D"/>
            </w:tcBorders>
            <w:shd w:val="clear" w:color="auto" w:fill="auto"/>
            <w:noWrap/>
            <w:vAlign w:val="center"/>
            <w:hideMark/>
          </w:tcPr>
          <w:p w14:paraId="5AFBEADE"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100 000, 00</w:t>
            </w:r>
          </w:p>
        </w:tc>
        <w:tc>
          <w:tcPr>
            <w:tcW w:w="1418" w:type="dxa"/>
            <w:tcBorders>
              <w:top w:val="nil"/>
              <w:left w:val="nil"/>
              <w:bottom w:val="double" w:sz="6" w:space="0" w:color="1F497D"/>
              <w:right w:val="double" w:sz="6" w:space="0" w:color="1F497D"/>
            </w:tcBorders>
            <w:shd w:val="clear" w:color="auto" w:fill="auto"/>
            <w:noWrap/>
            <w:vAlign w:val="center"/>
            <w:hideMark/>
          </w:tcPr>
          <w:p w14:paraId="0D6E401C"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100 000, 00</w:t>
            </w:r>
          </w:p>
        </w:tc>
        <w:tc>
          <w:tcPr>
            <w:tcW w:w="1417" w:type="dxa"/>
            <w:tcBorders>
              <w:top w:val="nil"/>
              <w:left w:val="nil"/>
              <w:bottom w:val="double" w:sz="6" w:space="0" w:color="1F497D"/>
              <w:right w:val="double" w:sz="6" w:space="0" w:color="1F497D"/>
            </w:tcBorders>
            <w:shd w:val="clear" w:color="auto" w:fill="auto"/>
            <w:noWrap/>
            <w:vAlign w:val="center"/>
            <w:hideMark/>
          </w:tcPr>
          <w:p w14:paraId="599E3681"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100 000, 00</w:t>
            </w:r>
          </w:p>
        </w:tc>
        <w:tc>
          <w:tcPr>
            <w:tcW w:w="1370" w:type="dxa"/>
            <w:tcBorders>
              <w:top w:val="nil"/>
              <w:left w:val="nil"/>
              <w:bottom w:val="double" w:sz="6" w:space="0" w:color="1F497D"/>
              <w:right w:val="double" w:sz="6" w:space="0" w:color="1F497D"/>
            </w:tcBorders>
            <w:shd w:val="clear" w:color="auto" w:fill="auto"/>
            <w:noWrap/>
            <w:vAlign w:val="center"/>
            <w:hideMark/>
          </w:tcPr>
          <w:p w14:paraId="259DE5E1"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100 000, 00</w:t>
            </w:r>
          </w:p>
        </w:tc>
        <w:tc>
          <w:tcPr>
            <w:tcW w:w="1465" w:type="dxa"/>
            <w:tcBorders>
              <w:top w:val="nil"/>
              <w:left w:val="nil"/>
              <w:bottom w:val="double" w:sz="6" w:space="0" w:color="1F497D"/>
              <w:right w:val="double" w:sz="6" w:space="0" w:color="1F497D"/>
            </w:tcBorders>
            <w:shd w:val="clear" w:color="auto" w:fill="auto"/>
            <w:noWrap/>
            <w:vAlign w:val="center"/>
            <w:hideMark/>
          </w:tcPr>
          <w:p w14:paraId="3588BB9C"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600 000,00</w:t>
            </w:r>
          </w:p>
        </w:tc>
      </w:tr>
      <w:tr w:rsidR="00CF527E" w:rsidRPr="00033E65" w14:paraId="3F471756"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56B41F3F" w14:textId="77777777" w:rsidR="00CF527E" w:rsidRPr="00033E65" w:rsidRDefault="00CF527E">
            <w:pPr>
              <w:spacing w:before="0" w:after="0"/>
              <w:jc w:val="left"/>
              <w:rPr>
                <w:rFonts w:cs="Calibri"/>
                <w:color w:val="000000"/>
                <w:sz w:val="20"/>
                <w:lang w:eastAsia="es-CR"/>
              </w:rPr>
            </w:pPr>
            <w:r w:rsidRPr="00033E65">
              <w:rPr>
                <w:rFonts w:cs="Calibri"/>
                <w:color w:val="000000"/>
                <w:sz w:val="20"/>
                <w:lang w:eastAsia="es-CR"/>
              </w:rPr>
              <w:t>Servicio de parqueo</w:t>
            </w:r>
          </w:p>
        </w:tc>
        <w:tc>
          <w:tcPr>
            <w:tcW w:w="1389" w:type="dxa"/>
            <w:tcBorders>
              <w:top w:val="nil"/>
              <w:left w:val="nil"/>
              <w:bottom w:val="double" w:sz="6" w:space="0" w:color="1F497D"/>
              <w:right w:val="double" w:sz="6" w:space="0" w:color="1F497D"/>
            </w:tcBorders>
            <w:shd w:val="clear" w:color="auto" w:fill="auto"/>
            <w:noWrap/>
            <w:vAlign w:val="center"/>
            <w:hideMark/>
          </w:tcPr>
          <w:p w14:paraId="571F85A2"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92" w:type="dxa"/>
            <w:tcBorders>
              <w:top w:val="nil"/>
              <w:left w:val="nil"/>
              <w:bottom w:val="double" w:sz="6" w:space="0" w:color="1F497D"/>
              <w:right w:val="double" w:sz="6" w:space="0" w:color="1F497D"/>
            </w:tcBorders>
            <w:shd w:val="clear" w:color="auto" w:fill="auto"/>
            <w:noWrap/>
            <w:vAlign w:val="center"/>
            <w:hideMark/>
          </w:tcPr>
          <w:p w14:paraId="6F567835"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48" w:type="dxa"/>
            <w:tcBorders>
              <w:top w:val="nil"/>
              <w:left w:val="nil"/>
              <w:bottom w:val="double" w:sz="6" w:space="0" w:color="1F497D"/>
              <w:right w:val="double" w:sz="6" w:space="0" w:color="1F497D"/>
            </w:tcBorders>
            <w:shd w:val="clear" w:color="auto" w:fill="auto"/>
            <w:noWrap/>
            <w:vAlign w:val="center"/>
            <w:hideMark/>
          </w:tcPr>
          <w:p w14:paraId="634E79B8"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18" w:type="dxa"/>
            <w:tcBorders>
              <w:top w:val="nil"/>
              <w:left w:val="nil"/>
              <w:bottom w:val="double" w:sz="6" w:space="0" w:color="1F497D"/>
              <w:right w:val="double" w:sz="6" w:space="0" w:color="1F497D"/>
            </w:tcBorders>
            <w:shd w:val="clear" w:color="auto" w:fill="auto"/>
            <w:noWrap/>
            <w:vAlign w:val="center"/>
            <w:hideMark/>
          </w:tcPr>
          <w:p w14:paraId="54A07A68"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17" w:type="dxa"/>
            <w:tcBorders>
              <w:top w:val="nil"/>
              <w:left w:val="nil"/>
              <w:bottom w:val="double" w:sz="6" w:space="0" w:color="1F497D"/>
              <w:right w:val="double" w:sz="6" w:space="0" w:color="1F497D"/>
            </w:tcBorders>
            <w:shd w:val="clear" w:color="auto" w:fill="auto"/>
            <w:noWrap/>
            <w:vAlign w:val="center"/>
            <w:hideMark/>
          </w:tcPr>
          <w:p w14:paraId="2B84DD92"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70" w:type="dxa"/>
            <w:tcBorders>
              <w:top w:val="nil"/>
              <w:left w:val="nil"/>
              <w:bottom w:val="double" w:sz="6" w:space="0" w:color="1F497D"/>
              <w:right w:val="double" w:sz="6" w:space="0" w:color="1F497D"/>
            </w:tcBorders>
            <w:shd w:val="clear" w:color="auto" w:fill="auto"/>
            <w:noWrap/>
            <w:vAlign w:val="center"/>
            <w:hideMark/>
          </w:tcPr>
          <w:p w14:paraId="2334F232"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65" w:type="dxa"/>
            <w:tcBorders>
              <w:top w:val="nil"/>
              <w:left w:val="nil"/>
              <w:bottom w:val="double" w:sz="6" w:space="0" w:color="1F497D"/>
              <w:right w:val="double" w:sz="6" w:space="0" w:color="1F497D"/>
            </w:tcBorders>
            <w:shd w:val="clear" w:color="auto" w:fill="auto"/>
            <w:noWrap/>
            <w:vAlign w:val="center"/>
            <w:hideMark/>
          </w:tcPr>
          <w:p w14:paraId="413C3EEE" w14:textId="77777777" w:rsidR="00CF527E" w:rsidRPr="00033E65" w:rsidRDefault="00CF527E">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r>
      <w:tr w:rsidR="00CF527E" w:rsidRPr="00033E65" w14:paraId="7165CECF" w14:textId="77777777">
        <w:trPr>
          <w:trHeight w:val="441"/>
        </w:trPr>
        <w:tc>
          <w:tcPr>
            <w:tcW w:w="1518" w:type="dxa"/>
            <w:tcBorders>
              <w:top w:val="nil"/>
              <w:left w:val="double" w:sz="6" w:space="0" w:color="0673A5"/>
              <w:bottom w:val="double" w:sz="6" w:space="0" w:color="0673A5"/>
              <w:right w:val="double" w:sz="6" w:space="0" w:color="0673A5"/>
            </w:tcBorders>
            <w:shd w:val="clear" w:color="000000" w:fill="DCE6F1"/>
            <w:noWrap/>
            <w:vAlign w:val="center"/>
            <w:hideMark/>
          </w:tcPr>
          <w:p w14:paraId="25572725" w14:textId="77777777" w:rsidR="00CF527E" w:rsidRPr="00033E65" w:rsidRDefault="00CF527E">
            <w:pPr>
              <w:spacing w:before="0" w:after="0"/>
              <w:jc w:val="center"/>
              <w:rPr>
                <w:rFonts w:cs="Calibri"/>
                <w:b/>
                <w:bCs/>
                <w:color w:val="000000"/>
                <w:sz w:val="20"/>
                <w:lang w:eastAsia="es-CR"/>
              </w:rPr>
            </w:pPr>
            <w:r w:rsidRPr="00033E65">
              <w:rPr>
                <w:rFonts w:cs="Calibri"/>
                <w:b/>
                <w:bCs/>
                <w:color w:val="000000"/>
                <w:sz w:val="20"/>
                <w:lang w:eastAsia="es-CR"/>
              </w:rPr>
              <w:t>Sub-total</w:t>
            </w:r>
          </w:p>
        </w:tc>
        <w:tc>
          <w:tcPr>
            <w:tcW w:w="1389" w:type="dxa"/>
            <w:tcBorders>
              <w:top w:val="nil"/>
              <w:left w:val="nil"/>
              <w:bottom w:val="double" w:sz="6" w:space="0" w:color="1F497D"/>
              <w:right w:val="double" w:sz="6" w:space="0" w:color="1F497D"/>
            </w:tcBorders>
            <w:shd w:val="clear" w:color="auto" w:fill="auto"/>
            <w:noWrap/>
            <w:vAlign w:val="center"/>
            <w:hideMark/>
          </w:tcPr>
          <w:p w14:paraId="1B85754F" w14:textId="77777777" w:rsidR="00CF527E" w:rsidRPr="00033E65" w:rsidRDefault="00CF527E">
            <w:pPr>
              <w:spacing w:before="0" w:after="0"/>
              <w:jc w:val="center"/>
              <w:rPr>
                <w:b/>
                <w:bCs/>
                <w:color w:val="000000"/>
                <w:sz w:val="18"/>
                <w:szCs w:val="18"/>
                <w:lang w:eastAsia="es-CR"/>
              </w:rPr>
            </w:pPr>
            <w:r w:rsidRPr="00033E65">
              <w:rPr>
                <w:rFonts w:ascii="Times New Roman" w:hAnsi="Times New Roman"/>
                <w:b/>
                <w:bCs/>
                <w:color w:val="000000"/>
                <w:sz w:val="18"/>
                <w:szCs w:val="18"/>
                <w:lang w:eastAsia="es-CR"/>
              </w:rPr>
              <w:t>₡</w:t>
            </w:r>
            <w:r w:rsidRPr="00033E65">
              <w:rPr>
                <w:b/>
                <w:bCs/>
                <w:color w:val="000000"/>
                <w:sz w:val="18"/>
                <w:szCs w:val="18"/>
                <w:lang w:eastAsia="es-CR"/>
              </w:rPr>
              <w:t>27 951 672, 59</w:t>
            </w:r>
          </w:p>
        </w:tc>
        <w:tc>
          <w:tcPr>
            <w:tcW w:w="1392" w:type="dxa"/>
            <w:tcBorders>
              <w:top w:val="nil"/>
              <w:left w:val="nil"/>
              <w:bottom w:val="double" w:sz="6" w:space="0" w:color="1F497D"/>
              <w:right w:val="double" w:sz="6" w:space="0" w:color="1F497D"/>
            </w:tcBorders>
            <w:shd w:val="clear" w:color="auto" w:fill="auto"/>
            <w:noWrap/>
            <w:vAlign w:val="center"/>
            <w:hideMark/>
          </w:tcPr>
          <w:p w14:paraId="69F21A62" w14:textId="77777777" w:rsidR="00CF527E" w:rsidRPr="00033E65" w:rsidRDefault="00CF527E">
            <w:pPr>
              <w:spacing w:before="0" w:after="0"/>
              <w:jc w:val="center"/>
              <w:rPr>
                <w:b/>
                <w:bCs/>
                <w:color w:val="000000"/>
                <w:sz w:val="18"/>
                <w:szCs w:val="18"/>
                <w:lang w:eastAsia="es-CR"/>
              </w:rPr>
            </w:pPr>
            <w:r w:rsidRPr="00033E65">
              <w:rPr>
                <w:rFonts w:ascii="Times New Roman" w:hAnsi="Times New Roman"/>
                <w:b/>
                <w:bCs/>
                <w:color w:val="000000"/>
                <w:sz w:val="18"/>
                <w:szCs w:val="18"/>
                <w:lang w:eastAsia="es-CR"/>
              </w:rPr>
              <w:t>₡</w:t>
            </w:r>
            <w:r w:rsidRPr="00033E65">
              <w:rPr>
                <w:b/>
                <w:bCs/>
                <w:color w:val="000000"/>
                <w:sz w:val="18"/>
                <w:szCs w:val="18"/>
                <w:lang w:eastAsia="es-CR"/>
              </w:rPr>
              <w:t>28 021 438, 79</w:t>
            </w:r>
          </w:p>
        </w:tc>
        <w:tc>
          <w:tcPr>
            <w:tcW w:w="1348" w:type="dxa"/>
            <w:tcBorders>
              <w:top w:val="nil"/>
              <w:left w:val="nil"/>
              <w:bottom w:val="double" w:sz="6" w:space="0" w:color="1F497D"/>
              <w:right w:val="double" w:sz="6" w:space="0" w:color="1F497D"/>
            </w:tcBorders>
            <w:shd w:val="clear" w:color="auto" w:fill="auto"/>
            <w:noWrap/>
            <w:vAlign w:val="center"/>
            <w:hideMark/>
          </w:tcPr>
          <w:p w14:paraId="07EB14C5" w14:textId="77777777" w:rsidR="00CF527E" w:rsidRPr="00033E65" w:rsidRDefault="00CF527E">
            <w:pPr>
              <w:spacing w:before="0" w:after="0"/>
              <w:jc w:val="center"/>
              <w:rPr>
                <w:b/>
                <w:bCs/>
                <w:color w:val="000000"/>
                <w:sz w:val="18"/>
                <w:szCs w:val="18"/>
                <w:lang w:eastAsia="es-CR"/>
              </w:rPr>
            </w:pPr>
            <w:r w:rsidRPr="00033E65">
              <w:rPr>
                <w:rFonts w:ascii="Times New Roman" w:hAnsi="Times New Roman"/>
                <w:b/>
                <w:bCs/>
                <w:color w:val="000000"/>
                <w:sz w:val="18"/>
                <w:szCs w:val="18"/>
                <w:lang w:eastAsia="es-CR"/>
              </w:rPr>
              <w:t>₡</w:t>
            </w:r>
            <w:r w:rsidRPr="00033E65">
              <w:rPr>
                <w:b/>
                <w:bCs/>
                <w:color w:val="000000"/>
                <w:sz w:val="18"/>
                <w:szCs w:val="18"/>
                <w:lang w:eastAsia="es-CR"/>
              </w:rPr>
              <w:t>26 354 914, 79</w:t>
            </w:r>
          </w:p>
        </w:tc>
        <w:tc>
          <w:tcPr>
            <w:tcW w:w="1418" w:type="dxa"/>
            <w:tcBorders>
              <w:top w:val="nil"/>
              <w:left w:val="nil"/>
              <w:bottom w:val="double" w:sz="6" w:space="0" w:color="1F497D"/>
              <w:right w:val="double" w:sz="6" w:space="0" w:color="1F497D"/>
            </w:tcBorders>
            <w:shd w:val="clear" w:color="auto" w:fill="auto"/>
            <w:noWrap/>
            <w:vAlign w:val="center"/>
            <w:hideMark/>
          </w:tcPr>
          <w:p w14:paraId="60888402" w14:textId="77777777" w:rsidR="00CF527E" w:rsidRPr="00033E65" w:rsidRDefault="00CF527E">
            <w:pPr>
              <w:spacing w:before="0" w:after="0"/>
              <w:jc w:val="center"/>
              <w:rPr>
                <w:b/>
                <w:bCs/>
                <w:color w:val="000000"/>
                <w:sz w:val="18"/>
                <w:szCs w:val="18"/>
                <w:lang w:eastAsia="es-CR"/>
              </w:rPr>
            </w:pPr>
            <w:r w:rsidRPr="00033E65">
              <w:rPr>
                <w:rFonts w:ascii="Times New Roman" w:hAnsi="Times New Roman"/>
                <w:b/>
                <w:bCs/>
                <w:color w:val="000000"/>
                <w:sz w:val="18"/>
                <w:szCs w:val="18"/>
                <w:lang w:eastAsia="es-CR"/>
              </w:rPr>
              <w:t>₡</w:t>
            </w:r>
            <w:r w:rsidRPr="00033E65">
              <w:rPr>
                <w:b/>
                <w:bCs/>
                <w:color w:val="000000"/>
                <w:sz w:val="18"/>
                <w:szCs w:val="18"/>
                <w:lang w:eastAsia="es-CR"/>
              </w:rPr>
              <w:t>26 371 864, 79</w:t>
            </w:r>
          </w:p>
        </w:tc>
        <w:tc>
          <w:tcPr>
            <w:tcW w:w="1417" w:type="dxa"/>
            <w:tcBorders>
              <w:top w:val="nil"/>
              <w:left w:val="nil"/>
              <w:bottom w:val="double" w:sz="6" w:space="0" w:color="1F497D"/>
              <w:right w:val="double" w:sz="6" w:space="0" w:color="1F497D"/>
            </w:tcBorders>
            <w:shd w:val="clear" w:color="auto" w:fill="auto"/>
            <w:noWrap/>
            <w:vAlign w:val="center"/>
            <w:hideMark/>
          </w:tcPr>
          <w:p w14:paraId="703D34A3" w14:textId="77777777" w:rsidR="00CF527E" w:rsidRPr="00033E65" w:rsidRDefault="00CF527E">
            <w:pPr>
              <w:spacing w:before="0" w:after="0"/>
              <w:jc w:val="center"/>
              <w:rPr>
                <w:b/>
                <w:bCs/>
                <w:color w:val="000000"/>
                <w:sz w:val="18"/>
                <w:szCs w:val="18"/>
                <w:lang w:eastAsia="es-CR"/>
              </w:rPr>
            </w:pPr>
            <w:r w:rsidRPr="00033E65">
              <w:rPr>
                <w:rFonts w:ascii="Times New Roman" w:hAnsi="Times New Roman"/>
                <w:b/>
                <w:bCs/>
                <w:color w:val="000000"/>
                <w:sz w:val="18"/>
                <w:szCs w:val="18"/>
                <w:lang w:eastAsia="es-CR"/>
              </w:rPr>
              <w:t>₡</w:t>
            </w:r>
            <w:r w:rsidRPr="00033E65">
              <w:rPr>
                <w:b/>
                <w:bCs/>
                <w:color w:val="000000"/>
                <w:sz w:val="18"/>
                <w:szCs w:val="18"/>
                <w:lang w:eastAsia="es-CR"/>
              </w:rPr>
              <w:t>26 659 788,79</w:t>
            </w:r>
          </w:p>
        </w:tc>
        <w:tc>
          <w:tcPr>
            <w:tcW w:w="1370" w:type="dxa"/>
            <w:tcBorders>
              <w:top w:val="nil"/>
              <w:left w:val="nil"/>
              <w:bottom w:val="double" w:sz="6" w:space="0" w:color="1F497D"/>
              <w:right w:val="double" w:sz="6" w:space="0" w:color="1F497D"/>
            </w:tcBorders>
            <w:shd w:val="clear" w:color="auto" w:fill="auto"/>
            <w:noWrap/>
            <w:vAlign w:val="center"/>
            <w:hideMark/>
          </w:tcPr>
          <w:p w14:paraId="77195157" w14:textId="77777777" w:rsidR="00CF527E" w:rsidRPr="00033E65" w:rsidRDefault="00CF527E">
            <w:pPr>
              <w:spacing w:before="0" w:after="0"/>
              <w:jc w:val="center"/>
              <w:rPr>
                <w:b/>
                <w:bCs/>
                <w:color w:val="000000"/>
                <w:sz w:val="18"/>
                <w:szCs w:val="18"/>
                <w:lang w:eastAsia="es-CR"/>
              </w:rPr>
            </w:pPr>
            <w:r w:rsidRPr="00033E65">
              <w:rPr>
                <w:rFonts w:ascii="Times New Roman" w:hAnsi="Times New Roman"/>
                <w:b/>
                <w:bCs/>
                <w:color w:val="000000"/>
                <w:sz w:val="18"/>
                <w:szCs w:val="18"/>
                <w:lang w:eastAsia="es-CR"/>
              </w:rPr>
              <w:t>₡</w:t>
            </w:r>
            <w:r w:rsidRPr="00033E65">
              <w:rPr>
                <w:b/>
                <w:bCs/>
                <w:color w:val="000000"/>
                <w:sz w:val="18"/>
                <w:szCs w:val="18"/>
                <w:lang w:eastAsia="es-CR"/>
              </w:rPr>
              <w:t>26 659 788,79</w:t>
            </w:r>
          </w:p>
        </w:tc>
        <w:tc>
          <w:tcPr>
            <w:tcW w:w="1465" w:type="dxa"/>
            <w:tcBorders>
              <w:top w:val="nil"/>
              <w:left w:val="nil"/>
              <w:bottom w:val="double" w:sz="6" w:space="0" w:color="1F497D"/>
              <w:right w:val="double" w:sz="6" w:space="0" w:color="1F497D"/>
            </w:tcBorders>
            <w:shd w:val="clear" w:color="auto" w:fill="auto"/>
            <w:noWrap/>
            <w:vAlign w:val="center"/>
            <w:hideMark/>
          </w:tcPr>
          <w:p w14:paraId="215267D3" w14:textId="77777777" w:rsidR="00CF527E" w:rsidRPr="00033E65" w:rsidRDefault="00CF527E">
            <w:pPr>
              <w:spacing w:before="0" w:after="0"/>
              <w:jc w:val="center"/>
              <w:rPr>
                <w:b/>
                <w:bCs/>
                <w:color w:val="000000"/>
                <w:sz w:val="18"/>
                <w:szCs w:val="18"/>
                <w:lang w:eastAsia="es-CR"/>
              </w:rPr>
            </w:pPr>
            <w:r w:rsidRPr="00033E65">
              <w:rPr>
                <w:rFonts w:ascii="Times New Roman" w:hAnsi="Times New Roman"/>
                <w:b/>
                <w:bCs/>
                <w:color w:val="000000"/>
                <w:sz w:val="18"/>
                <w:szCs w:val="18"/>
                <w:lang w:eastAsia="es-CR"/>
              </w:rPr>
              <w:t>₡</w:t>
            </w:r>
            <w:r w:rsidRPr="00033E65">
              <w:rPr>
                <w:b/>
                <w:bCs/>
                <w:color w:val="000000"/>
                <w:sz w:val="18"/>
                <w:szCs w:val="18"/>
                <w:lang w:eastAsia="es-CR"/>
              </w:rPr>
              <w:t>162 019 468,54</w:t>
            </w:r>
          </w:p>
        </w:tc>
      </w:tr>
    </w:tbl>
    <w:p w14:paraId="69BBCE23" w14:textId="77777777" w:rsidR="00CF527E" w:rsidRPr="00033E65" w:rsidRDefault="00CF527E" w:rsidP="00CF527E">
      <w:pPr>
        <w:pStyle w:val="Ttulo"/>
        <w:spacing w:before="0" w:after="0"/>
        <w:rPr>
          <w:rFonts w:eastAsia="Times New Roman" w:cs="Arial"/>
          <w:b w:val="0"/>
          <w:bCs/>
          <w:i/>
          <w:iCs/>
          <w:color w:val="auto"/>
          <w:spacing w:val="0"/>
          <w:sz w:val="18"/>
          <w:szCs w:val="18"/>
          <w:lang w:val="es-CR" w:eastAsia="es-ES"/>
        </w:rPr>
      </w:pPr>
      <w:r w:rsidRPr="00033E65">
        <w:rPr>
          <w:rFonts w:eastAsia="Times New Roman" w:cs="Arial"/>
          <w:b w:val="0"/>
          <w:bCs/>
          <w:i/>
          <w:iCs/>
          <w:color w:val="auto"/>
          <w:spacing w:val="0"/>
          <w:sz w:val="18"/>
          <w:szCs w:val="18"/>
          <w:lang w:val="es-CR" w:eastAsia="es-ES"/>
        </w:rPr>
        <w:t xml:space="preserve">Fuente: Costos por Administración Regional según datos suministrados por la Dirección Ejecutiva, según actualización de costos de la reforma agraria presupuesto 2024. </w:t>
      </w:r>
    </w:p>
    <w:p w14:paraId="64E00721" w14:textId="77777777" w:rsidR="00CF527E" w:rsidRPr="00033E65" w:rsidRDefault="00CF527E" w:rsidP="00CF527E">
      <w:pPr>
        <w:pStyle w:val="Ttulo"/>
        <w:spacing w:before="0" w:after="0"/>
        <w:ind w:left="1080"/>
        <w:jc w:val="center"/>
        <w:rPr>
          <w:rFonts w:eastAsia="Times New Roman" w:cs="Arial"/>
          <w:iCs/>
          <w:spacing w:val="0"/>
          <w:szCs w:val="28"/>
          <w:lang w:val="es-CR" w:eastAsia="es-ES"/>
        </w:rPr>
      </w:pPr>
    </w:p>
    <w:p w14:paraId="017E64D8" w14:textId="70142D06" w:rsidR="00CF527E" w:rsidRPr="00033E65" w:rsidRDefault="00CF527E" w:rsidP="00CF527E">
      <w:pPr>
        <w:rPr>
          <w:b/>
          <w:bCs/>
          <w:sz w:val="24"/>
          <w:szCs w:val="24"/>
          <w:u w:val="single"/>
        </w:rPr>
      </w:pPr>
      <w:r w:rsidRPr="00033E65">
        <w:rPr>
          <w:b/>
          <w:bCs/>
          <w:sz w:val="24"/>
          <w:szCs w:val="24"/>
          <w:u w:val="single"/>
        </w:rPr>
        <w:t xml:space="preserve">El costo total </w:t>
      </w:r>
      <w:r w:rsidR="00EB6F04">
        <w:rPr>
          <w:b/>
          <w:bCs/>
          <w:sz w:val="24"/>
          <w:szCs w:val="24"/>
          <w:u w:val="single"/>
        </w:rPr>
        <w:t xml:space="preserve">estimado </w:t>
      </w:r>
      <w:r w:rsidRPr="00033E65">
        <w:rPr>
          <w:b/>
          <w:bCs/>
          <w:sz w:val="24"/>
          <w:szCs w:val="24"/>
          <w:u w:val="single"/>
        </w:rPr>
        <w:t xml:space="preserve">de </w:t>
      </w:r>
      <w:r w:rsidR="00B267FA" w:rsidRPr="00033E65">
        <w:rPr>
          <w:b/>
          <w:bCs/>
          <w:sz w:val="24"/>
          <w:szCs w:val="24"/>
          <w:u w:val="single"/>
        </w:rPr>
        <w:t>las necesidades</w:t>
      </w:r>
      <w:r w:rsidRPr="00033E65">
        <w:rPr>
          <w:b/>
          <w:bCs/>
          <w:sz w:val="24"/>
          <w:szCs w:val="24"/>
          <w:u w:val="single"/>
        </w:rPr>
        <w:t xml:space="preserve"> es de </w:t>
      </w:r>
      <w:r w:rsidRPr="00033E65">
        <w:rPr>
          <w:rFonts w:ascii="Times New Roman" w:hAnsi="Times New Roman"/>
          <w:b/>
          <w:bCs/>
          <w:sz w:val="24"/>
          <w:szCs w:val="24"/>
          <w:u w:val="single"/>
        </w:rPr>
        <w:t>₡</w:t>
      </w:r>
      <w:r w:rsidR="00E426BF">
        <w:rPr>
          <w:b/>
          <w:bCs/>
          <w:sz w:val="24"/>
          <w:szCs w:val="24"/>
          <w:u w:val="single"/>
        </w:rPr>
        <w:t>707 563 924.93</w:t>
      </w:r>
      <w:r w:rsidRPr="00033E65">
        <w:rPr>
          <w:b/>
          <w:bCs/>
          <w:sz w:val="24"/>
          <w:szCs w:val="24"/>
          <w:u w:val="single"/>
        </w:rPr>
        <w:t xml:space="preserve"> colones. Sin poder estimar el impacto en la entrada de asuntos nuevos, ya que no se dispone de datos para su cuantificación, tal y como se ha reiterado desde años anteriores. Igualmente, se solicitó a la Comisión Civil y la Comisión Agraria, coordinar acciones conjuntas para lograr operativizar la recolección del dato, sin embargo, a la fecha no ha sido posible la identificación del mismo</w:t>
      </w:r>
      <w:r w:rsidR="00D84225">
        <w:rPr>
          <w:b/>
          <w:bCs/>
          <w:sz w:val="24"/>
          <w:szCs w:val="24"/>
          <w:u w:val="single"/>
        </w:rPr>
        <w:t>, igualmente a partir de la revisión de los cambios procesales que</w:t>
      </w:r>
      <w:r w:rsidR="00766B44">
        <w:rPr>
          <w:b/>
          <w:bCs/>
          <w:sz w:val="24"/>
          <w:szCs w:val="24"/>
          <w:u w:val="single"/>
        </w:rPr>
        <w:t xml:space="preserve"> se conoce está </w:t>
      </w:r>
      <w:r w:rsidR="00D84225">
        <w:rPr>
          <w:b/>
          <w:bCs/>
          <w:sz w:val="24"/>
          <w:szCs w:val="24"/>
          <w:u w:val="single"/>
        </w:rPr>
        <w:t xml:space="preserve"> analizando  la Comisión de Asuntos Agrarios se puede</w:t>
      </w:r>
      <w:r w:rsidR="00766B44">
        <w:rPr>
          <w:b/>
          <w:bCs/>
          <w:sz w:val="24"/>
          <w:szCs w:val="24"/>
          <w:u w:val="single"/>
        </w:rPr>
        <w:t xml:space="preserve">n determinar otros </w:t>
      </w:r>
      <w:r w:rsidR="005F4F6C">
        <w:rPr>
          <w:b/>
          <w:bCs/>
          <w:sz w:val="24"/>
          <w:szCs w:val="24"/>
          <w:u w:val="single"/>
        </w:rPr>
        <w:t>nuevos impactos</w:t>
      </w:r>
    </w:p>
    <w:p w14:paraId="5552ED9D" w14:textId="77777777" w:rsidR="00CF527E" w:rsidRPr="00033E65" w:rsidRDefault="00CF527E" w:rsidP="00E04FC1">
      <w:pPr>
        <w:rPr>
          <w:i/>
          <w:lang w:eastAsia="en-US"/>
        </w:rPr>
      </w:pPr>
    </w:p>
    <w:p w14:paraId="75412CAD" w14:textId="77777777" w:rsidR="00690C79" w:rsidRPr="00033E65" w:rsidRDefault="00690C79" w:rsidP="00E04FC1">
      <w:pPr>
        <w:rPr>
          <w:i/>
          <w:lang w:eastAsia="en-US"/>
        </w:rPr>
      </w:pPr>
    </w:p>
    <w:p w14:paraId="4751FBF7" w14:textId="77777777" w:rsidR="00454CDC" w:rsidRPr="00033E65" w:rsidRDefault="00454CDC" w:rsidP="00E04FC1">
      <w:pPr>
        <w:rPr>
          <w:i/>
          <w:lang w:eastAsia="en-US"/>
        </w:rPr>
      </w:pPr>
    </w:p>
    <w:p w14:paraId="6DD0A96E" w14:textId="77777777" w:rsidR="00265B12" w:rsidRPr="00033E65" w:rsidRDefault="00265B12" w:rsidP="006D5AC8">
      <w:pPr>
        <w:rPr>
          <w:lang w:eastAsia="en-US"/>
        </w:rPr>
      </w:pPr>
    </w:p>
    <w:p w14:paraId="62BB4F7A" w14:textId="20A7EA4A" w:rsidR="007F0F1C" w:rsidRPr="00033E65" w:rsidRDefault="00EC5306" w:rsidP="00EC5306">
      <w:pPr>
        <w:pStyle w:val="Ttulo1"/>
        <w:numPr>
          <w:ilvl w:val="0"/>
          <w:numId w:val="0"/>
        </w:numPr>
      </w:pPr>
      <w:bookmarkStart w:id="236" w:name="_Toc132639576"/>
      <w:r>
        <w:t xml:space="preserve">19. </w:t>
      </w:r>
      <w:r w:rsidR="005101DD" w:rsidRPr="00033E65">
        <w:t>Elementos Resolutivos</w:t>
      </w:r>
      <w:bookmarkEnd w:id="236"/>
      <w:r w:rsidR="005101DD" w:rsidRPr="00033E65">
        <w:t xml:space="preserve"> </w:t>
      </w:r>
    </w:p>
    <w:p w14:paraId="2862B79C" w14:textId="19278A09" w:rsidR="005101DD" w:rsidRPr="00033E65" w:rsidRDefault="000C47B4" w:rsidP="00F91CFF">
      <w:pPr>
        <w:pStyle w:val="Prrafodelista"/>
        <w:numPr>
          <w:ilvl w:val="0"/>
          <w:numId w:val="14"/>
        </w:numPr>
        <w:contextualSpacing w:val="0"/>
        <w:rPr>
          <w:szCs w:val="22"/>
          <w:lang w:val="es-ES_tradnl"/>
        </w:rPr>
      </w:pPr>
      <w:r w:rsidRPr="00033E65">
        <w:rPr>
          <w:lang w:eastAsia="en-US"/>
        </w:rPr>
        <w:t xml:space="preserve">La </w:t>
      </w:r>
      <w:r w:rsidR="005101DD" w:rsidRPr="00033E65">
        <w:rPr>
          <w:lang w:eastAsia="en-US"/>
        </w:rPr>
        <w:t xml:space="preserve">Creación del “Código Procesal Agrario”, el cual fue aprobado bajo Decreto Legislativo 9609 el 27 de febrero del 2019, el cual entra en vigencia </w:t>
      </w:r>
      <w:r w:rsidR="004172D9" w:rsidRPr="00033E65">
        <w:rPr>
          <w:lang w:eastAsia="en-US"/>
        </w:rPr>
        <w:t xml:space="preserve">48 </w:t>
      </w:r>
      <w:r w:rsidR="005101DD" w:rsidRPr="00033E65">
        <w:rPr>
          <w:lang w:eastAsia="en-US"/>
        </w:rPr>
        <w:t>meses después de su publicación en el Diario Oficial La Gaceta, de acuerdo con la ampliación de la vacancia</w:t>
      </w:r>
      <w:r w:rsidR="004172D9" w:rsidRPr="00033E65">
        <w:rPr>
          <w:lang w:eastAsia="en-US"/>
        </w:rPr>
        <w:t xml:space="preserve"> por parte de la</w:t>
      </w:r>
      <w:r w:rsidR="005101DD" w:rsidRPr="00033E65">
        <w:rPr>
          <w:lang w:eastAsia="en-US"/>
        </w:rPr>
        <w:t xml:space="preserve"> Asamblea Legislativa de la República de Costa Rica, </w:t>
      </w:r>
      <w:r w:rsidR="004172D9" w:rsidRPr="00033E65">
        <w:rPr>
          <w:lang w:eastAsia="en-US"/>
        </w:rPr>
        <w:t>que entrará en vigencia el 28 de febrero del 202</w:t>
      </w:r>
      <w:r w:rsidR="004B4778" w:rsidRPr="00033E65">
        <w:rPr>
          <w:lang w:eastAsia="en-US"/>
        </w:rPr>
        <w:t>5</w:t>
      </w:r>
      <w:r w:rsidRPr="00033E65">
        <w:rPr>
          <w:lang w:eastAsia="en-US"/>
        </w:rPr>
        <w:t xml:space="preserve">, provoca la </w:t>
      </w:r>
      <w:r w:rsidR="005101DD" w:rsidRPr="00033E65">
        <w:rPr>
          <w:szCs w:val="22"/>
          <w:lang w:val="es-ES_tradnl"/>
        </w:rPr>
        <w:t>necesidad de analizar los posibles cambios que implicaría a nivel de estructura organizativa de los despachos y oficinas del Poder Judicial, así como los costos presupuestarios en el 202</w:t>
      </w:r>
      <w:r w:rsidR="004B4778" w:rsidRPr="00033E65">
        <w:rPr>
          <w:szCs w:val="22"/>
          <w:lang w:val="es-ES_tradnl"/>
        </w:rPr>
        <w:t>4</w:t>
      </w:r>
      <w:r w:rsidR="005101DD" w:rsidRPr="00033E65">
        <w:rPr>
          <w:szCs w:val="22"/>
          <w:lang w:val="es-ES_tradnl"/>
        </w:rPr>
        <w:t xml:space="preserve"> para su debida implementación.</w:t>
      </w:r>
    </w:p>
    <w:p w14:paraId="6D40047E" w14:textId="6771880B" w:rsidR="009A2B87" w:rsidRPr="00033E65" w:rsidRDefault="009A2B87" w:rsidP="00F91CFF">
      <w:pPr>
        <w:pStyle w:val="Prrafodelista"/>
        <w:numPr>
          <w:ilvl w:val="0"/>
          <w:numId w:val="14"/>
        </w:numPr>
        <w:contextualSpacing w:val="0"/>
        <w:rPr>
          <w:lang w:eastAsia="en-US"/>
        </w:rPr>
      </w:pPr>
      <w:r w:rsidRPr="00033E65">
        <w:rPr>
          <w:lang w:eastAsia="en-US"/>
        </w:rPr>
        <w:t xml:space="preserve">La Jurisdicción Agraria está conformada por una cantidad de Despachos jurisdiccionales, inferior a otras materias, para un total de 13 especializados y tres (3) mixtos. Además, la mayor proporción </w:t>
      </w:r>
      <w:r w:rsidR="00A32C81" w:rsidRPr="00033E65">
        <w:rPr>
          <w:lang w:eastAsia="en-US"/>
        </w:rPr>
        <w:t>de ellos están especializados (81</w:t>
      </w:r>
      <w:r w:rsidRPr="00033E65">
        <w:rPr>
          <w:lang w:eastAsia="en-US"/>
        </w:rPr>
        <w:t>%), quedando en una condición mixta tres juzgados (en las zonas de Buenos Aires, Upala y Turrialba) y existe un único Tribunal que tiene la competencia en segunda instancia a nivel nacional, además de que la última instancia en materia agraria le corresponde a la Sala Primera.</w:t>
      </w:r>
    </w:p>
    <w:p w14:paraId="189FB5F6" w14:textId="1A600430" w:rsidR="009A2B87" w:rsidRPr="00033E65" w:rsidRDefault="009A2B87" w:rsidP="00F91CFF">
      <w:pPr>
        <w:pStyle w:val="Prrafodelista"/>
        <w:numPr>
          <w:ilvl w:val="0"/>
          <w:numId w:val="14"/>
        </w:numPr>
        <w:contextualSpacing w:val="0"/>
        <w:rPr>
          <w:lang w:eastAsia="en-US"/>
        </w:rPr>
      </w:pPr>
      <w:r w:rsidRPr="00033E65">
        <w:rPr>
          <w:lang w:eastAsia="en-US"/>
        </w:rPr>
        <w:t>Los Juzgados Agrarios y el Tribunal Agrarios ya funcionan de manera virtual, pues a julio de 2017 se produjo el cierre de la brecha digital gracias a la colaboración de las Direcciones de Tecnología de la Información, Planificación y Ejecutiva. De ahí, que los procesos se tramitan, mediante el sistema de expediente electrónico. Por ello, no requiere costos adicionales para la implantación electrónica.</w:t>
      </w:r>
    </w:p>
    <w:p w14:paraId="6572E0C3" w14:textId="429261BA" w:rsidR="009A2B87" w:rsidRPr="00033E65" w:rsidRDefault="00F93732" w:rsidP="00F91CFF">
      <w:pPr>
        <w:pStyle w:val="Prrafodelista"/>
        <w:numPr>
          <w:ilvl w:val="0"/>
          <w:numId w:val="14"/>
        </w:numPr>
        <w:contextualSpacing w:val="0"/>
        <w:rPr>
          <w:lang w:eastAsia="en-US"/>
        </w:rPr>
      </w:pPr>
      <w:r w:rsidRPr="00033E65">
        <w:rPr>
          <w:lang w:eastAsia="en-US"/>
        </w:rPr>
        <w:t>La Defensa Pública cuenta con 17</w:t>
      </w:r>
      <w:r w:rsidR="009A2B87" w:rsidRPr="00033E65">
        <w:rPr>
          <w:lang w:eastAsia="en-US"/>
        </w:rPr>
        <w:t xml:space="preserve"> plazas de Defensor Público en mat</w:t>
      </w:r>
      <w:r w:rsidR="00650FD0" w:rsidRPr="00033E65">
        <w:rPr>
          <w:lang w:eastAsia="en-US"/>
        </w:rPr>
        <w:t>eria Agraria, distribuidas en 16</w:t>
      </w:r>
      <w:r w:rsidR="009A2B87" w:rsidRPr="00033E65">
        <w:rPr>
          <w:lang w:eastAsia="en-US"/>
        </w:rPr>
        <w:t xml:space="preserve"> Circuitos Judiciales del país. Los cuáles son los necesarios para cubrir la carga de trabajo.</w:t>
      </w:r>
    </w:p>
    <w:p w14:paraId="26A64146" w14:textId="77777777" w:rsidR="009A2B87" w:rsidRPr="00033E65" w:rsidRDefault="009A2B87" w:rsidP="00F91CFF">
      <w:pPr>
        <w:pStyle w:val="Prrafodelista"/>
        <w:numPr>
          <w:ilvl w:val="0"/>
          <w:numId w:val="14"/>
        </w:numPr>
        <w:contextualSpacing w:val="0"/>
        <w:rPr>
          <w:lang w:eastAsia="en-US"/>
        </w:rPr>
      </w:pPr>
      <w:r w:rsidRPr="00033E65">
        <w:rPr>
          <w:lang w:eastAsia="en-US"/>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p>
    <w:p w14:paraId="79CA86C2" w14:textId="410F4EDC" w:rsidR="009A2B87" w:rsidRPr="00033E65" w:rsidRDefault="00766E23" w:rsidP="00F91CFF">
      <w:pPr>
        <w:pStyle w:val="Prrafodelista"/>
        <w:numPr>
          <w:ilvl w:val="0"/>
          <w:numId w:val="14"/>
        </w:numPr>
        <w:contextualSpacing w:val="0"/>
        <w:rPr>
          <w:lang w:eastAsia="en-US"/>
        </w:rPr>
      </w:pPr>
      <w:r w:rsidRPr="00033E65">
        <w:rPr>
          <w:lang w:eastAsia="en-US"/>
        </w:rPr>
        <w:t>P</w:t>
      </w:r>
      <w:r w:rsidR="009A2B87" w:rsidRPr="00033E65">
        <w:rPr>
          <w:lang w:eastAsia="en-US"/>
        </w:rPr>
        <w:t xml:space="preserve">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 para lo que se han diseñado roles para la atención de casos en los que existan intereses contrapuestos. </w:t>
      </w:r>
    </w:p>
    <w:p w14:paraId="0F3ED429" w14:textId="38A78CDE" w:rsidR="00440119" w:rsidRPr="00033E65" w:rsidRDefault="00475CEA" w:rsidP="00F91CFF">
      <w:pPr>
        <w:pStyle w:val="Prrafodelista"/>
        <w:numPr>
          <w:ilvl w:val="0"/>
          <w:numId w:val="14"/>
        </w:numPr>
        <w:contextualSpacing w:val="0"/>
        <w:rPr>
          <w:lang w:eastAsia="en-US"/>
        </w:rPr>
      </w:pPr>
      <w:r>
        <w:rPr>
          <w:lang w:eastAsia="en-US"/>
        </w:rPr>
        <w:t>Para el e</w:t>
      </w:r>
      <w:r w:rsidR="00440119" w:rsidRPr="00033E65">
        <w:rPr>
          <w:lang w:eastAsia="en-US"/>
        </w:rPr>
        <w:t xml:space="preserve">l manejo, registro, control contable, presupuestario y ejecución de los recursos que genere el Código Procesal Agrario, </w:t>
      </w:r>
      <w:r w:rsidR="008919B9">
        <w:rPr>
          <w:lang w:eastAsia="en-US"/>
        </w:rPr>
        <w:t xml:space="preserve">se propone </w:t>
      </w:r>
      <w:r>
        <w:rPr>
          <w:lang w:eastAsia="en-US"/>
        </w:rPr>
        <w:t xml:space="preserve">la creación de una plaza de Profesional 1, de la misma forma que se había realizado con la reforma laboral, lo anterior debido a que como parte del estudio realizado en la Administración de la Defensa Pública, a cargo de la Dirección de Planificación, se identificó que con los recursos actuales no se tendría capacidad para atender </w:t>
      </w:r>
      <w:r w:rsidR="002522F3">
        <w:rPr>
          <w:lang w:eastAsia="en-US"/>
        </w:rPr>
        <w:t xml:space="preserve">la captación de costas que genere el nuevo código, debido a que con el recurso actual no se ha podido atender la totalidad de la carga actual, por lo cual es necesario el reforzamiento de esta área. </w:t>
      </w:r>
      <w:r>
        <w:rPr>
          <w:lang w:eastAsia="en-US"/>
        </w:rPr>
        <w:t xml:space="preserve"> </w:t>
      </w:r>
    </w:p>
    <w:p w14:paraId="4CCF09D3" w14:textId="0450839D" w:rsidR="00440119" w:rsidRPr="00033E65" w:rsidRDefault="00440119" w:rsidP="00F91CFF">
      <w:pPr>
        <w:pStyle w:val="Prrafodelista"/>
        <w:numPr>
          <w:ilvl w:val="0"/>
          <w:numId w:val="14"/>
        </w:numPr>
        <w:contextualSpacing w:val="0"/>
        <w:rPr>
          <w:lang w:eastAsia="en-US"/>
        </w:rPr>
      </w:pPr>
      <w:r w:rsidRPr="00033E65">
        <w:rPr>
          <w:lang w:eastAsia="en-US"/>
        </w:rPr>
        <w:t xml:space="preserve">Los artículos 9 y 13 del proyecto incorporan las figuras de conciliadores y ejecutores para atender la jurisdicción agraria en forma prioritaria, así como apoyar en otras funciones según lo permitan las cargas de trabajo. Se debe de indicar que estas funciones se mantienen en los puestos ya existentes de Jueces y Juezas Agrarias por lo que no es necesaria la creación de más plazas para estas funciones específicas, revisada la carga de trabajo en las condiciones actuales. Lo anterior, ya que se tiene la limitante de conocer la posible carga de trabajo producto del conocimiento de los procesos civiles, cobratorios, contenciosos. </w:t>
      </w:r>
    </w:p>
    <w:p w14:paraId="3E42A4B3" w14:textId="77777777" w:rsidR="004172D9" w:rsidRPr="00033E65" w:rsidRDefault="004172D9" w:rsidP="00F91CFF">
      <w:pPr>
        <w:pStyle w:val="Prrafodelista"/>
        <w:numPr>
          <w:ilvl w:val="0"/>
          <w:numId w:val="14"/>
        </w:numPr>
        <w:contextualSpacing w:val="0"/>
        <w:rPr>
          <w:lang w:eastAsia="en-US"/>
        </w:rPr>
      </w:pPr>
      <w:r w:rsidRPr="00033E65">
        <w:rPr>
          <w:lang w:eastAsia="en-US"/>
        </w:rPr>
        <w:t>Según el criterio de la Comisión del Proyecto de Modernización de la Jurisdicción Agraria, emitido en el 2018 como respuesta al oficio 767-PLA-2018 del 6 de julio de 2018, la atención especializada en conciliación y ejecución, que se menciona en la Ley, en caso de ser necesario, recaerá en las dos plazas de personas juzgadoras supernumerarias agrarias que pertenecen al Centro de Apoyo, Coordinación y Mejoramiento de la Función Jurisdiccional</w:t>
      </w:r>
    </w:p>
    <w:p w14:paraId="51EF988C" w14:textId="6AAE9061" w:rsidR="004172D9" w:rsidRPr="00033E65" w:rsidRDefault="004172D9" w:rsidP="00F91CFF">
      <w:pPr>
        <w:pStyle w:val="Prrafodelista"/>
        <w:numPr>
          <w:ilvl w:val="0"/>
          <w:numId w:val="14"/>
        </w:numPr>
        <w:contextualSpacing w:val="0"/>
        <w:rPr>
          <w:lang w:eastAsia="en-US"/>
        </w:rPr>
      </w:pPr>
      <w:r w:rsidRPr="00033E65">
        <w:rPr>
          <w:lang w:eastAsia="en-US"/>
        </w:rPr>
        <w:t>El Transitorio II establece un plazo de seis meses, a partir de la entrada en vigencia del Código Procesal Agrario, para designar un equipo de personas juzgadoras conciliadoras especialistas en Derecho Agrario y Ambiental. Se debe de indicar que estas funciones se mantienen en los puestos ya existentes de Jueces y Juezas Agrarias por lo que no es necesaria la creación de más plazas,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 El Código Procesal Agrario entra en vigencia el 28 de febrero del 202</w:t>
      </w:r>
      <w:r w:rsidR="00D80648" w:rsidRPr="00033E65">
        <w:rPr>
          <w:lang w:eastAsia="en-US"/>
        </w:rPr>
        <w:t>5</w:t>
      </w:r>
      <w:r w:rsidRPr="00033E65">
        <w:rPr>
          <w:lang w:eastAsia="en-US"/>
        </w:rPr>
        <w:t xml:space="preserve">.   </w:t>
      </w:r>
    </w:p>
    <w:p w14:paraId="277CA292" w14:textId="77777777" w:rsidR="004172D9" w:rsidRPr="00033E65" w:rsidRDefault="004172D9" w:rsidP="00F91CFF">
      <w:pPr>
        <w:pStyle w:val="Prrafodelista"/>
        <w:numPr>
          <w:ilvl w:val="0"/>
          <w:numId w:val="14"/>
        </w:numPr>
        <w:contextualSpacing w:val="0"/>
        <w:rPr>
          <w:lang w:eastAsia="en-US"/>
        </w:rPr>
      </w:pPr>
      <w:r w:rsidRPr="00033E65">
        <w:rPr>
          <w:lang w:eastAsia="en-US"/>
        </w:rPr>
        <w:t>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w:t>
      </w:r>
    </w:p>
    <w:p w14:paraId="5E4C5771" w14:textId="77777777" w:rsidR="004172D9" w:rsidRPr="00033E65" w:rsidRDefault="004172D9" w:rsidP="00F91CFF">
      <w:pPr>
        <w:pStyle w:val="Prrafodelista"/>
        <w:numPr>
          <w:ilvl w:val="0"/>
          <w:numId w:val="14"/>
        </w:numPr>
        <w:contextualSpacing w:val="0"/>
        <w:rPr>
          <w:lang w:eastAsia="en-US"/>
        </w:rPr>
      </w:pPr>
      <w:r w:rsidRPr="00033E65">
        <w:rPr>
          <w:lang w:eastAsia="en-US"/>
        </w:rPr>
        <w:t xml:space="preserve">El personal de la judicatura Agraria cuenta en su totalidad, con equipo de cómputo portátil, debido a que las audiencias se realizan fuera del Despacho y es útil para trasladarlos al lugar del conflicto, de conformidad con el principio de itinerancia que rige esta materia. </w:t>
      </w:r>
    </w:p>
    <w:p w14:paraId="73EA4925" w14:textId="0ED3F565" w:rsidR="004172D9" w:rsidRPr="00033E65" w:rsidRDefault="004172D9" w:rsidP="00F91CFF">
      <w:pPr>
        <w:pStyle w:val="Prrafodelista"/>
        <w:numPr>
          <w:ilvl w:val="0"/>
          <w:numId w:val="14"/>
        </w:numPr>
        <w:contextualSpacing w:val="0"/>
        <w:rPr>
          <w:szCs w:val="22"/>
          <w:lang w:val="es-ES_tradnl"/>
        </w:rPr>
      </w:pPr>
      <w:r w:rsidRPr="00033E65">
        <w:rPr>
          <w:szCs w:val="22"/>
          <w:lang w:val="es-ES_tradnl"/>
        </w:rPr>
        <w:t>Los traslados a las fincas requieren la disponibilidad de vehículos institucionales, siendo que este servicio lo brindan las Administraciones Regionales una (1) o dos (2) veces por semana por persona juzgadora, aspecto que limita la atención oportuna de las audiencias señaladas en agenda</w:t>
      </w:r>
      <w:r w:rsidR="00AC4838">
        <w:rPr>
          <w:szCs w:val="22"/>
          <w:lang w:val="es-ES_tradnl"/>
        </w:rPr>
        <w:t>, las nuevas contrataciones de personas juzgadoras en esta materia deben considerar en su perfil el que las personas juzgadoras manejen el vehículo institucional para maximizar los recursos</w:t>
      </w:r>
      <w:r w:rsidR="005778BC">
        <w:rPr>
          <w:szCs w:val="22"/>
          <w:lang w:val="es-ES_tradnl"/>
        </w:rPr>
        <w:t xml:space="preserve"> y la facilidad en la operatividad de la materia</w:t>
      </w:r>
      <w:r w:rsidRPr="00033E65">
        <w:rPr>
          <w:szCs w:val="22"/>
          <w:lang w:val="es-ES_tradnl"/>
        </w:rPr>
        <w:t xml:space="preserve"> </w:t>
      </w:r>
    </w:p>
    <w:p w14:paraId="6CDA086E" w14:textId="77777777" w:rsidR="00945222" w:rsidRPr="00033E65" w:rsidRDefault="00945222" w:rsidP="00F91CFF">
      <w:pPr>
        <w:pStyle w:val="Prrafodelista"/>
        <w:numPr>
          <w:ilvl w:val="0"/>
          <w:numId w:val="14"/>
        </w:numPr>
        <w:contextualSpacing w:val="0"/>
        <w:rPr>
          <w:lang w:eastAsia="en-US"/>
        </w:rPr>
      </w:pPr>
      <w:r w:rsidRPr="00033E65">
        <w:rPr>
          <w:lang w:eastAsia="en-US"/>
        </w:rPr>
        <w:t xml:space="preserve">Por lo indicado tanto por la Comisión de la Jurisdicción Agraria, como la capacidad de respuesta que indica la  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 </w:t>
      </w:r>
    </w:p>
    <w:p w14:paraId="31C5DA05" w14:textId="40188055" w:rsidR="00945222" w:rsidRPr="00033E65" w:rsidRDefault="00945222" w:rsidP="00F91CFF">
      <w:pPr>
        <w:pStyle w:val="Prrafodelista"/>
        <w:numPr>
          <w:ilvl w:val="0"/>
          <w:numId w:val="14"/>
        </w:numPr>
        <w:contextualSpacing w:val="0"/>
        <w:rPr>
          <w:lang w:eastAsia="en-US"/>
        </w:rPr>
      </w:pPr>
      <w:r w:rsidRPr="00033E65">
        <w:rPr>
          <w:lang w:eastAsia="en-US"/>
        </w:rPr>
        <w:t xml:space="preserve">Ante ello, </w:t>
      </w:r>
      <w:r w:rsidR="00860E0E" w:rsidRPr="00033E65">
        <w:rPr>
          <w:lang w:eastAsia="en-US"/>
        </w:rPr>
        <w:t xml:space="preserve">se propone reforzar con vehículos con sus respectivos choferes, a las Administraciones Regionales de </w:t>
      </w:r>
      <w:r w:rsidR="004007E9" w:rsidRPr="00033E65">
        <w:rPr>
          <w:lang w:eastAsia="en-US"/>
        </w:rPr>
        <w:t>Cartago, Limón, San Ramón, Turrialba, Santa Cruz, Alajuela,  Pococí, Goicoechea, Liberia, y un chofer para la Administración Regional del Juzgado Agrario del Segundo Circuito Judicial de la Zona Sur, sede Corredores.</w:t>
      </w:r>
      <w:r w:rsidR="00860E0E" w:rsidRPr="00033E65">
        <w:rPr>
          <w:lang w:eastAsia="en-US"/>
        </w:rPr>
        <w:t xml:space="preserve"> </w:t>
      </w:r>
    </w:p>
    <w:p w14:paraId="3A42192C" w14:textId="77777777" w:rsidR="00282246" w:rsidRPr="00033E65" w:rsidRDefault="00282246" w:rsidP="00F91CFF">
      <w:pPr>
        <w:pStyle w:val="Prrafodelista"/>
        <w:numPr>
          <w:ilvl w:val="0"/>
          <w:numId w:val="14"/>
        </w:numPr>
        <w:contextualSpacing w:val="0"/>
        <w:rPr>
          <w:lang w:eastAsia="en-US"/>
        </w:rPr>
      </w:pPr>
      <w:r w:rsidRPr="00033E65">
        <w:rPr>
          <w:lang w:eastAsia="en-US"/>
        </w:rPr>
        <w:t xml:space="preserve">Según políticas internas es necesario la creación de reglamentos para la administración de los fondos, la Magistrada Damaris Vargas en su informe de cierre de gestión de la coordinación de proyecto indica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 </w:t>
      </w:r>
    </w:p>
    <w:p w14:paraId="225295D8" w14:textId="2279366B" w:rsidR="00282246" w:rsidRPr="00033E65" w:rsidRDefault="00945222" w:rsidP="00F91CFF">
      <w:pPr>
        <w:pStyle w:val="Prrafodelista"/>
        <w:numPr>
          <w:ilvl w:val="0"/>
          <w:numId w:val="14"/>
        </w:numPr>
        <w:contextualSpacing w:val="0"/>
        <w:rPr>
          <w:lang w:eastAsia="en-US"/>
        </w:rPr>
      </w:pPr>
      <w:r w:rsidRPr="00033E65">
        <w:rPr>
          <w:lang w:eastAsia="en-US"/>
        </w:rPr>
        <w:t xml:space="preserve"> </w:t>
      </w:r>
      <w:r w:rsidR="00282246" w:rsidRPr="00033E65">
        <w:rPr>
          <w:lang w:eastAsia="en-US"/>
        </w:rPr>
        <w:t>El Código Procesal Agrario, plantea dos</w:t>
      </w:r>
      <w:r w:rsidR="00CF713A" w:rsidRPr="00033E65">
        <w:rPr>
          <w:lang w:eastAsia="en-US"/>
        </w:rPr>
        <w:t xml:space="preserve"> (2)</w:t>
      </w:r>
      <w:r w:rsidR="00282246" w:rsidRPr="00033E65">
        <w:rPr>
          <w:lang w:eastAsia="en-US"/>
        </w:rPr>
        <w:t xml:space="preserve"> opciones de financiamiento, como se detallan a continuación:</w:t>
      </w:r>
    </w:p>
    <w:p w14:paraId="554B356B" w14:textId="77777777" w:rsidR="00282246" w:rsidRPr="00033E65" w:rsidRDefault="00282246" w:rsidP="00F91CFF">
      <w:pPr>
        <w:pStyle w:val="Prrafodelista"/>
        <w:numPr>
          <w:ilvl w:val="0"/>
          <w:numId w:val="15"/>
        </w:numPr>
        <w:ind w:left="1276"/>
        <w:contextualSpacing w:val="0"/>
        <w:rPr>
          <w:lang w:eastAsia="en-US"/>
        </w:rPr>
      </w:pPr>
      <w:r w:rsidRPr="00033E65">
        <w:rPr>
          <w:lang w:eastAsia="en-US"/>
        </w:rPr>
        <w:t>Los montos de las multas impuestas a las personas usuarias por su no asistencia de manera injustificada a las audiencias de prueba pasan a formar un fondo de financiamiento de la Jurisdicción Agraria.</w:t>
      </w:r>
    </w:p>
    <w:p w14:paraId="414D1B52" w14:textId="77777777" w:rsidR="00282246" w:rsidRPr="00033E65" w:rsidRDefault="00282246" w:rsidP="00F91CFF">
      <w:pPr>
        <w:pStyle w:val="Prrafodelista"/>
        <w:numPr>
          <w:ilvl w:val="0"/>
          <w:numId w:val="15"/>
        </w:numPr>
        <w:ind w:left="1276"/>
        <w:contextualSpacing w:val="0"/>
        <w:rPr>
          <w:lang w:eastAsia="en-US"/>
        </w:rPr>
      </w:pPr>
      <w:r w:rsidRPr="00033E65">
        <w:rPr>
          <w:lang w:eastAsia="en-US"/>
        </w:rPr>
        <w:t>Las sumas provenientes de las costas procesales y personales que deben cancelarse a las personas usuarias que han sido defendidas por defensores públicos agrarios, montos que se asignarán un 50% a fortalecer la Defensa Pública Agraria y otro 50% a la Jurisdicción Agraria.</w:t>
      </w:r>
    </w:p>
    <w:p w14:paraId="2F804FC4" w14:textId="77777777" w:rsidR="00282246" w:rsidRPr="00033E65" w:rsidRDefault="00282246" w:rsidP="00F91CFF">
      <w:pPr>
        <w:pStyle w:val="Prrafodelista"/>
        <w:numPr>
          <w:ilvl w:val="0"/>
          <w:numId w:val="14"/>
        </w:numPr>
        <w:contextualSpacing w:val="0"/>
        <w:rPr>
          <w:lang w:eastAsia="en-US"/>
        </w:rPr>
      </w:pPr>
      <w:r w:rsidRPr="00033E65">
        <w:rPr>
          <w:lang w:eastAsia="en-US"/>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38087001" w14:textId="77777777" w:rsidR="00282246" w:rsidRPr="00033E65" w:rsidRDefault="00282246" w:rsidP="00F91CFF">
      <w:pPr>
        <w:pStyle w:val="Prrafodelista"/>
        <w:numPr>
          <w:ilvl w:val="0"/>
          <w:numId w:val="14"/>
        </w:numPr>
        <w:contextualSpacing w:val="0"/>
        <w:rPr>
          <w:szCs w:val="22"/>
          <w:lang w:val="es-ES_tradnl"/>
        </w:rPr>
      </w:pPr>
      <w:r w:rsidRPr="00033E65">
        <w:rPr>
          <w:szCs w:val="22"/>
          <w:lang w:val="es-ES_tradnl"/>
        </w:rPr>
        <w:t>Con la implementación del Código Procesal Agrario surgen una serie de ajustes que viene a reducir los tiempos de proceso y agilización de los trámites, a continuación, se detallan algunos de los principales cambios:</w:t>
      </w:r>
    </w:p>
    <w:p w14:paraId="36BDAA36" w14:textId="77777777" w:rsidR="00282246" w:rsidRPr="00033E65" w:rsidRDefault="00282246" w:rsidP="00F91CFF">
      <w:pPr>
        <w:pStyle w:val="Prrafodelista"/>
        <w:numPr>
          <w:ilvl w:val="1"/>
          <w:numId w:val="14"/>
        </w:numPr>
        <w:contextualSpacing w:val="0"/>
        <w:rPr>
          <w:szCs w:val="22"/>
          <w:lang w:val="es-ES_tradnl"/>
        </w:rPr>
      </w:pPr>
      <w:r w:rsidRPr="00033E65">
        <w:rPr>
          <w:szCs w:val="22"/>
          <w:lang w:val="es-ES_tradnl"/>
        </w:rPr>
        <w:t xml:space="preserve">La declaración de las incompetencias se podrá declarar de oficio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2537ADEA" w14:textId="77777777" w:rsidR="00282246" w:rsidRPr="00033E65" w:rsidRDefault="00282246" w:rsidP="00F91CFF">
      <w:pPr>
        <w:pStyle w:val="Prrafodelista"/>
        <w:numPr>
          <w:ilvl w:val="1"/>
          <w:numId w:val="14"/>
        </w:numPr>
        <w:contextualSpacing w:val="0"/>
        <w:rPr>
          <w:szCs w:val="22"/>
          <w:lang w:val="es-ES_tradnl"/>
        </w:rPr>
      </w:pPr>
      <w:r w:rsidRPr="00033E65">
        <w:rPr>
          <w:szCs w:val="22"/>
          <w:lang w:val="es-ES_tradnl"/>
        </w:rPr>
        <w:t>Otro aspecto importante que permite agilidad en el proceso, serán las audiencias previas que se deben realizar en el sitio (artículo 173 del Código Procesal Agrario), esto va a permitir que en esa audiencia se concentren varias acciones (conciliaciones, medidas cautelares, defensas previas, incidentes, ampliaciones, entre otras) del proceso, permitiendo agilizar el proceso.</w:t>
      </w:r>
    </w:p>
    <w:p w14:paraId="6417AABE" w14:textId="77777777" w:rsidR="00282246" w:rsidRPr="00033E65" w:rsidRDefault="00282246" w:rsidP="00F91CFF">
      <w:pPr>
        <w:pStyle w:val="Prrafodelista"/>
        <w:numPr>
          <w:ilvl w:val="1"/>
          <w:numId w:val="14"/>
        </w:numPr>
        <w:contextualSpacing w:val="0"/>
        <w:rPr>
          <w:szCs w:val="22"/>
          <w:lang w:val="es-ES_tradnl"/>
        </w:rPr>
      </w:pPr>
      <w:r w:rsidRPr="00033E65">
        <w:rPr>
          <w:szCs w:val="22"/>
          <w:lang w:val="es-ES_tradnl"/>
        </w:rPr>
        <w:t xml:space="preserve">Actualmente la legislación establece que las sentencias se deben de dictar de forma escrita y estableciendo un plazo para la elaboración, con la implementación del Código Procesal Agrario establece que las sentencias se dicten de forma oral al momento del juicio o audiencia, esto va a permitir agilizar los procesos y beneficiar a la persona usuaria, incluso que la Apelación sea presentada de forma siguiente al dictado de la sentencia. </w:t>
      </w:r>
    </w:p>
    <w:p w14:paraId="12FFBD0A" w14:textId="11CF5355" w:rsidR="00CF713A" w:rsidRPr="00033E65" w:rsidRDefault="00321AD7" w:rsidP="00F91CFF">
      <w:pPr>
        <w:pStyle w:val="Prrafodelista"/>
        <w:numPr>
          <w:ilvl w:val="0"/>
          <w:numId w:val="14"/>
        </w:numPr>
        <w:contextualSpacing w:val="0"/>
        <w:rPr>
          <w:lang w:eastAsia="en-US"/>
        </w:rPr>
      </w:pPr>
      <w:r w:rsidRPr="00033E65">
        <w:rPr>
          <w:lang w:eastAsia="en-US"/>
        </w:rPr>
        <w:t>En cuanto el análisis de Indicadores de Gestión de los Juzgados Agrar</w:t>
      </w:r>
      <w:r w:rsidR="009F03BF" w:rsidRPr="00033E65">
        <w:rPr>
          <w:lang w:eastAsia="en-US"/>
        </w:rPr>
        <w:t>ios especializados, para el 202</w:t>
      </w:r>
      <w:r w:rsidR="00244BCB" w:rsidRPr="00033E65">
        <w:rPr>
          <w:lang w:eastAsia="en-US"/>
        </w:rPr>
        <w:t>2</w:t>
      </w:r>
      <w:r w:rsidRPr="00033E65">
        <w:rPr>
          <w:lang w:eastAsia="en-US"/>
        </w:rPr>
        <w:t xml:space="preserve"> hubo </w:t>
      </w:r>
      <w:r w:rsidR="00376936" w:rsidRPr="00033E65">
        <w:rPr>
          <w:lang w:eastAsia="en-US"/>
        </w:rPr>
        <w:t>una leve disminución</w:t>
      </w:r>
      <w:r w:rsidRPr="00033E65">
        <w:rPr>
          <w:lang w:eastAsia="en-US"/>
        </w:rPr>
        <w:t xml:space="preserve"> en el ingreso de cargas de trabajo</w:t>
      </w:r>
      <w:r w:rsidR="00D045C2" w:rsidRPr="00033E65">
        <w:rPr>
          <w:lang w:eastAsia="en-US"/>
        </w:rPr>
        <w:t>, para el 202</w:t>
      </w:r>
      <w:r w:rsidR="00244BCB" w:rsidRPr="00033E65">
        <w:rPr>
          <w:lang w:eastAsia="en-US"/>
        </w:rPr>
        <w:t>1</w:t>
      </w:r>
      <w:r w:rsidR="00D045C2" w:rsidRPr="00033E65">
        <w:rPr>
          <w:lang w:eastAsia="en-US"/>
        </w:rPr>
        <w:t xml:space="preserve"> es de un promedio anual </w:t>
      </w:r>
      <w:r w:rsidR="00376936" w:rsidRPr="00033E65">
        <w:rPr>
          <w:lang w:eastAsia="en-US"/>
        </w:rPr>
        <w:t>35</w:t>
      </w:r>
      <w:r w:rsidR="00D045C2" w:rsidRPr="00033E65">
        <w:rPr>
          <w:lang w:eastAsia="en-US"/>
        </w:rPr>
        <w:t xml:space="preserve"> asuntos y para el 202</w:t>
      </w:r>
      <w:r w:rsidR="00376936" w:rsidRPr="00033E65">
        <w:rPr>
          <w:lang w:eastAsia="en-US"/>
        </w:rPr>
        <w:t>2</w:t>
      </w:r>
      <w:r w:rsidR="00D045C2" w:rsidRPr="00033E65">
        <w:rPr>
          <w:lang w:eastAsia="en-US"/>
        </w:rPr>
        <w:t xml:space="preserve"> de </w:t>
      </w:r>
      <w:r w:rsidR="00376936" w:rsidRPr="00033E65">
        <w:rPr>
          <w:lang w:eastAsia="en-US"/>
        </w:rPr>
        <w:t>24</w:t>
      </w:r>
      <w:r w:rsidR="00D045C2" w:rsidRPr="00033E65">
        <w:rPr>
          <w:lang w:eastAsia="en-US"/>
        </w:rPr>
        <w:t xml:space="preserve"> asuntos. El comportamiento</w:t>
      </w:r>
      <w:r w:rsidRPr="00033E65">
        <w:rPr>
          <w:lang w:eastAsia="en-US"/>
        </w:rPr>
        <w:t xml:space="preserve"> de</w:t>
      </w:r>
      <w:r w:rsidR="00D045C2" w:rsidRPr="00033E65">
        <w:rPr>
          <w:lang w:eastAsia="en-US"/>
        </w:rPr>
        <w:t xml:space="preserve"> los</w:t>
      </w:r>
      <w:r w:rsidRPr="00033E65">
        <w:rPr>
          <w:lang w:eastAsia="en-US"/>
        </w:rPr>
        <w:t xml:space="preserve"> casos terminados</w:t>
      </w:r>
      <w:r w:rsidR="00D045C2" w:rsidRPr="00033E65">
        <w:rPr>
          <w:lang w:eastAsia="en-US"/>
        </w:rPr>
        <w:t xml:space="preserve"> </w:t>
      </w:r>
      <w:r w:rsidR="00376936" w:rsidRPr="00033E65">
        <w:rPr>
          <w:lang w:eastAsia="en-US"/>
        </w:rPr>
        <w:t>disminuyó</w:t>
      </w:r>
      <w:r w:rsidRPr="00033E65">
        <w:rPr>
          <w:lang w:eastAsia="en-US"/>
        </w:rPr>
        <w:t xml:space="preserve">, </w:t>
      </w:r>
      <w:r w:rsidR="00D045C2" w:rsidRPr="00033E65">
        <w:rPr>
          <w:lang w:eastAsia="en-US"/>
        </w:rPr>
        <w:t xml:space="preserve">en promedio </w:t>
      </w:r>
      <w:r w:rsidR="00376936" w:rsidRPr="00033E65">
        <w:rPr>
          <w:lang w:eastAsia="en-US"/>
        </w:rPr>
        <w:t>mensual</w:t>
      </w:r>
      <w:r w:rsidR="00D045C2" w:rsidRPr="00033E65">
        <w:rPr>
          <w:lang w:eastAsia="en-US"/>
        </w:rPr>
        <w:t xml:space="preserve"> en el 202</w:t>
      </w:r>
      <w:r w:rsidR="00376936" w:rsidRPr="00033E65">
        <w:rPr>
          <w:lang w:eastAsia="en-US"/>
        </w:rPr>
        <w:t>1 fue de 30 asuntos y para el</w:t>
      </w:r>
      <w:r w:rsidR="00D045C2" w:rsidRPr="00033E65">
        <w:rPr>
          <w:lang w:eastAsia="en-US"/>
        </w:rPr>
        <w:t xml:space="preserve"> 202</w:t>
      </w:r>
      <w:r w:rsidR="00376936" w:rsidRPr="00033E65">
        <w:rPr>
          <w:lang w:eastAsia="en-US"/>
        </w:rPr>
        <w:t xml:space="preserve">2 fue </w:t>
      </w:r>
      <w:r w:rsidR="00D045C2" w:rsidRPr="00033E65">
        <w:rPr>
          <w:lang w:eastAsia="en-US"/>
        </w:rPr>
        <w:t>de</w:t>
      </w:r>
      <w:r w:rsidRPr="00033E65">
        <w:rPr>
          <w:lang w:eastAsia="en-US"/>
        </w:rPr>
        <w:t xml:space="preserve"> </w:t>
      </w:r>
      <w:r w:rsidR="00376936" w:rsidRPr="00033E65">
        <w:rPr>
          <w:lang w:eastAsia="en-US"/>
        </w:rPr>
        <w:t>24</w:t>
      </w:r>
      <w:r w:rsidRPr="00033E65">
        <w:rPr>
          <w:lang w:eastAsia="en-US"/>
        </w:rPr>
        <w:t xml:space="preserve"> casos. </w:t>
      </w:r>
    </w:p>
    <w:p w14:paraId="4E89F649" w14:textId="3DDB1414" w:rsidR="00531DD0" w:rsidRPr="00033E65" w:rsidRDefault="007659BE">
      <w:pPr>
        <w:pStyle w:val="Prrafodelista"/>
        <w:numPr>
          <w:ilvl w:val="0"/>
          <w:numId w:val="14"/>
        </w:numPr>
        <w:contextualSpacing w:val="0"/>
        <w:rPr>
          <w:lang w:eastAsia="en-US"/>
        </w:rPr>
      </w:pPr>
      <w:r w:rsidRPr="00033E65">
        <w:rPr>
          <w:lang w:eastAsia="en-US"/>
        </w:rPr>
        <w:t xml:space="preserve">Los Juzgados Agrarios de </w:t>
      </w:r>
      <w:r w:rsidR="00531DD0" w:rsidRPr="00033E65">
        <w:rPr>
          <w:lang w:eastAsia="en-US"/>
        </w:rPr>
        <w:t>Santa Cruz, Pérez Zeledón y Limón actualmente son considerados como los de mayor ingreso por plaza de Jueza o Juez, ya que, muestran porcentajes entre el 37% y el 26% respectivamente, más que la media nacional (20).</w:t>
      </w:r>
    </w:p>
    <w:p w14:paraId="5D84F6BA" w14:textId="2534095B" w:rsidR="00321AD7" w:rsidRPr="00033E65" w:rsidRDefault="00321AD7">
      <w:pPr>
        <w:pStyle w:val="Prrafodelista"/>
        <w:numPr>
          <w:ilvl w:val="0"/>
          <w:numId w:val="14"/>
        </w:numPr>
        <w:contextualSpacing w:val="0"/>
        <w:rPr>
          <w:lang w:eastAsia="en-US"/>
        </w:rPr>
      </w:pPr>
      <w:r w:rsidRPr="00033E65">
        <w:rPr>
          <w:lang w:eastAsia="en-US"/>
        </w:rPr>
        <w:t>El circulante a nivel de los Juzgados Agrarios especializ</w:t>
      </w:r>
      <w:r w:rsidR="00763C98" w:rsidRPr="00033E65">
        <w:rPr>
          <w:lang w:eastAsia="en-US"/>
        </w:rPr>
        <w:t>ados, experimentó un</w:t>
      </w:r>
      <w:r w:rsidRPr="00033E65">
        <w:rPr>
          <w:lang w:eastAsia="en-US"/>
        </w:rPr>
        <w:t xml:space="preserve"> </w:t>
      </w:r>
      <w:r w:rsidR="00763C98" w:rsidRPr="00033E65">
        <w:rPr>
          <w:lang w:eastAsia="en-US"/>
        </w:rPr>
        <w:t>aumento de 33</w:t>
      </w:r>
      <w:r w:rsidR="00531DD0" w:rsidRPr="00033E65">
        <w:rPr>
          <w:lang w:eastAsia="en-US"/>
        </w:rPr>
        <w:t>9</w:t>
      </w:r>
      <w:r w:rsidR="00763C98" w:rsidRPr="00033E65">
        <w:rPr>
          <w:lang w:eastAsia="en-US"/>
        </w:rPr>
        <w:t xml:space="preserve"> expedientes en 202</w:t>
      </w:r>
      <w:r w:rsidR="00531DD0" w:rsidRPr="00033E65">
        <w:rPr>
          <w:lang w:eastAsia="en-US"/>
        </w:rPr>
        <w:t>2</w:t>
      </w:r>
      <w:r w:rsidRPr="00033E65">
        <w:rPr>
          <w:lang w:eastAsia="en-US"/>
        </w:rPr>
        <w:t xml:space="preserve">, en relación con el año que le antecede. </w:t>
      </w:r>
    </w:p>
    <w:p w14:paraId="5C7F3949" w14:textId="2DC87375" w:rsidR="00321AD7" w:rsidRPr="00033E65" w:rsidRDefault="00531DD0" w:rsidP="00F91CFF">
      <w:pPr>
        <w:pStyle w:val="Prrafodelista"/>
        <w:numPr>
          <w:ilvl w:val="0"/>
          <w:numId w:val="14"/>
        </w:numPr>
        <w:contextualSpacing w:val="0"/>
        <w:rPr>
          <w:lang w:eastAsia="en-US"/>
        </w:rPr>
      </w:pPr>
      <w:r w:rsidRPr="00033E65">
        <w:rPr>
          <w:lang w:eastAsia="en-US"/>
        </w:rPr>
        <w:t>Algunos despachos han</w:t>
      </w:r>
      <w:r w:rsidR="00321AD7" w:rsidRPr="00033E65">
        <w:rPr>
          <w:lang w:eastAsia="en-US"/>
        </w:rPr>
        <w:t xml:space="preserve"> logrado disminuir el plazo de espera para el dictado de sentencia, con la excepción del Juzgado Agrario de </w:t>
      </w:r>
      <w:r w:rsidRPr="00033E65">
        <w:rPr>
          <w:lang w:eastAsia="en-US"/>
        </w:rPr>
        <w:t>Liberia, Goicoechea que corresponden a despachos donde ese plazo</w:t>
      </w:r>
      <w:r w:rsidR="00321AD7" w:rsidRPr="00033E65">
        <w:rPr>
          <w:lang w:eastAsia="en-US"/>
        </w:rPr>
        <w:t xml:space="preserve"> aumentó considerablem</w:t>
      </w:r>
      <w:r w:rsidR="0050023D" w:rsidRPr="00033E65">
        <w:rPr>
          <w:lang w:eastAsia="en-US"/>
        </w:rPr>
        <w:t>ente con respecto al 202</w:t>
      </w:r>
      <w:r w:rsidRPr="00033E65">
        <w:rPr>
          <w:lang w:eastAsia="en-US"/>
        </w:rPr>
        <w:t>1</w:t>
      </w:r>
      <w:r w:rsidR="00321AD7" w:rsidRPr="00033E65">
        <w:rPr>
          <w:lang w:eastAsia="en-US"/>
        </w:rPr>
        <w:t xml:space="preserve">. </w:t>
      </w:r>
    </w:p>
    <w:p w14:paraId="511781AF" w14:textId="3000F5B1" w:rsidR="00321AD7" w:rsidRPr="00033E65" w:rsidRDefault="00F951E6" w:rsidP="00F91CFF">
      <w:pPr>
        <w:pStyle w:val="Prrafodelista"/>
        <w:numPr>
          <w:ilvl w:val="0"/>
          <w:numId w:val="14"/>
        </w:numPr>
        <w:contextualSpacing w:val="0"/>
        <w:rPr>
          <w:lang w:eastAsia="en-US"/>
        </w:rPr>
      </w:pPr>
      <w:r w:rsidRPr="00033E65">
        <w:rPr>
          <w:lang w:eastAsia="en-US"/>
        </w:rPr>
        <w:t>El 42% de los Juzgados Agrarios especializados disminuyeron el plazo para la atención de demandas nuevas para el 2022, tal como se mencionó líneas atrás, incluso, sus promedios indica que se encuentran dentro de los parámetros establecidos (5 a 7 días), con excepción del Juzgado Agrario de Liberia, Pérez Zeledón y Santa Cruz</w:t>
      </w:r>
    </w:p>
    <w:p w14:paraId="17F32CAA" w14:textId="6D545744" w:rsidR="00321AD7" w:rsidRPr="00033E65" w:rsidRDefault="00B6425A" w:rsidP="00F91CFF">
      <w:pPr>
        <w:pStyle w:val="Prrafodelista"/>
        <w:numPr>
          <w:ilvl w:val="0"/>
          <w:numId w:val="14"/>
        </w:numPr>
        <w:contextualSpacing w:val="0"/>
        <w:rPr>
          <w:lang w:eastAsia="en-US"/>
        </w:rPr>
      </w:pPr>
      <w:r w:rsidRPr="00033E65">
        <w:rPr>
          <w:lang w:eastAsia="en-US"/>
        </w:rPr>
        <w:t xml:space="preserve">Se observa que para el 2022, este indicador sufrió un aumento considerable en varias oficinas, ya que se puede evidenciar plazos promedios de hasta 1182 días, como es en el caso de San Ramón, 1113 días en San Carlos, 832 días en Santa Cruz, 630 días en Limón y 532 días en Cartago. </w:t>
      </w:r>
      <w:r w:rsidR="00321AD7" w:rsidRPr="00033E65">
        <w:rPr>
          <w:lang w:eastAsia="en-US"/>
        </w:rPr>
        <w:t xml:space="preserve"> </w:t>
      </w:r>
    </w:p>
    <w:p w14:paraId="22E93ACB" w14:textId="40B99E47" w:rsidR="004504C7" w:rsidRPr="00033E65" w:rsidRDefault="004504C7" w:rsidP="004504C7">
      <w:pPr>
        <w:pStyle w:val="Prrafodelista"/>
        <w:numPr>
          <w:ilvl w:val="0"/>
          <w:numId w:val="14"/>
        </w:numPr>
        <w:rPr>
          <w:lang w:eastAsia="en-US"/>
        </w:rPr>
      </w:pPr>
      <w:r w:rsidRPr="00033E65">
        <w:rPr>
          <w:lang w:eastAsia="en-US"/>
        </w:rPr>
        <w:t>El Juzgado de Limón tuvo un aumento considerable en la cantidad de audiencias pendientes de realizar, ya que para el 2021, se obtuvo un promedio mensual de 364 señalamientos pendientes y para 2022 aumentó a 598 casos en promedio, es decir una elevación del 64%. Cartago y Pérez Zeledón tuvieron aumentos de este plazo entre los 22 y 20 días respectivamente. Se destaca la disminución lograda en el Juzgado de Pococí el cuál logró bajar la cantidad de este indicador 213 asuntos para el 2022 con respecto al 2021, es decir un 83%.</w:t>
      </w:r>
    </w:p>
    <w:p w14:paraId="2BF9D8D8" w14:textId="77777777" w:rsidR="004504C7" w:rsidRPr="00033E65" w:rsidRDefault="004504C7" w:rsidP="004504C7">
      <w:pPr>
        <w:pStyle w:val="Prrafodelista"/>
        <w:rPr>
          <w:lang w:eastAsia="en-US"/>
        </w:rPr>
      </w:pPr>
    </w:p>
    <w:p w14:paraId="71333B24" w14:textId="0E4CCFFD" w:rsidR="00B05B42" w:rsidRPr="00033E65" w:rsidRDefault="00B05B42" w:rsidP="00F91CFF">
      <w:pPr>
        <w:pStyle w:val="Prrafodelista"/>
        <w:numPr>
          <w:ilvl w:val="0"/>
          <w:numId w:val="14"/>
        </w:numPr>
        <w:contextualSpacing w:val="0"/>
        <w:rPr>
          <w:lang w:eastAsia="en-US"/>
        </w:rPr>
      </w:pPr>
      <w:r w:rsidRPr="00033E65">
        <w:rPr>
          <w:lang w:eastAsia="en-US"/>
        </w:rPr>
        <w:t>Para el final del periodo 202</w:t>
      </w:r>
      <w:r w:rsidR="004504C7" w:rsidRPr="00033E65">
        <w:rPr>
          <w:lang w:eastAsia="en-US"/>
        </w:rPr>
        <w:t>2</w:t>
      </w:r>
      <w:r w:rsidRPr="00033E65">
        <w:rPr>
          <w:lang w:eastAsia="en-US"/>
        </w:rPr>
        <w:t xml:space="preserve">, los Juzgados Agrarios especializados contó </w:t>
      </w:r>
      <w:r w:rsidR="00C12B64" w:rsidRPr="00033E65">
        <w:rPr>
          <w:lang w:eastAsia="en-US"/>
        </w:rPr>
        <w:t xml:space="preserve">con un pendiente de fallo de </w:t>
      </w:r>
      <w:r w:rsidR="004504C7" w:rsidRPr="00033E65">
        <w:rPr>
          <w:lang w:eastAsia="en-US"/>
        </w:rPr>
        <w:t>470</w:t>
      </w:r>
      <w:r w:rsidRPr="00033E65">
        <w:rPr>
          <w:lang w:eastAsia="en-US"/>
        </w:rPr>
        <w:t xml:space="preserve"> expedientes en total.</w:t>
      </w:r>
    </w:p>
    <w:p w14:paraId="16C8B859" w14:textId="5E6D84D9" w:rsidR="00B05B42" w:rsidRPr="00033E65" w:rsidRDefault="00B05B42" w:rsidP="00F91CFF">
      <w:pPr>
        <w:pStyle w:val="Prrafodelista"/>
        <w:numPr>
          <w:ilvl w:val="0"/>
          <w:numId w:val="14"/>
        </w:numPr>
        <w:contextualSpacing w:val="0"/>
        <w:rPr>
          <w:lang w:eastAsia="en-US"/>
        </w:rPr>
      </w:pPr>
      <w:r w:rsidRPr="00033E65">
        <w:rPr>
          <w:lang w:eastAsia="en-US"/>
        </w:rPr>
        <w:t>La cantidad de escritos pen</w:t>
      </w:r>
      <w:r w:rsidR="001464B9" w:rsidRPr="00033E65">
        <w:rPr>
          <w:lang w:eastAsia="en-US"/>
        </w:rPr>
        <w:t>dientes de resolver para el 202</w:t>
      </w:r>
      <w:r w:rsidR="00E700D4" w:rsidRPr="00033E65">
        <w:rPr>
          <w:lang w:eastAsia="en-US"/>
        </w:rPr>
        <w:t>2</w:t>
      </w:r>
      <w:r w:rsidRPr="00033E65">
        <w:rPr>
          <w:lang w:eastAsia="en-US"/>
        </w:rPr>
        <w:t xml:space="preserve">, </w:t>
      </w:r>
      <w:r w:rsidR="001464B9" w:rsidRPr="00033E65">
        <w:rPr>
          <w:lang w:eastAsia="en-US"/>
        </w:rPr>
        <w:t>aumentó</w:t>
      </w:r>
      <w:r w:rsidRPr="00033E65">
        <w:rPr>
          <w:lang w:eastAsia="en-US"/>
        </w:rPr>
        <w:t xml:space="preserve"> </w:t>
      </w:r>
      <w:r w:rsidR="00E700D4" w:rsidRPr="00033E65">
        <w:rPr>
          <w:lang w:eastAsia="en-US"/>
        </w:rPr>
        <w:t xml:space="preserve">con </w:t>
      </w:r>
      <w:r w:rsidR="001464B9" w:rsidRPr="00033E65">
        <w:rPr>
          <w:lang w:eastAsia="en-US"/>
        </w:rPr>
        <w:t xml:space="preserve">relación </w:t>
      </w:r>
      <w:r w:rsidR="00E700D4" w:rsidRPr="00033E65">
        <w:rPr>
          <w:lang w:eastAsia="en-US"/>
        </w:rPr>
        <w:t xml:space="preserve">al 2021 ya que pasó de 1.739 escritos pendientes entre todos los despachos especializados a 1.906, tuvo un aumento de 167 escritos. </w:t>
      </w:r>
    </w:p>
    <w:p w14:paraId="14027718" w14:textId="53808D68" w:rsidR="002031BA" w:rsidRPr="00033E65" w:rsidRDefault="002031BA" w:rsidP="00863725">
      <w:pPr>
        <w:pStyle w:val="Prrafodelista"/>
        <w:numPr>
          <w:ilvl w:val="0"/>
          <w:numId w:val="14"/>
        </w:numPr>
        <w:contextualSpacing w:val="0"/>
        <w:rPr>
          <w:lang w:eastAsia="en-US"/>
        </w:rPr>
      </w:pPr>
      <w:r w:rsidRPr="00033E65">
        <w:rPr>
          <w:lang w:eastAsia="en-US"/>
        </w:rPr>
        <w:t>Los 12 Juzgados Agrarios mantienen para el 2022 una cantidad aceptable de demandas nuevas pendientes, los cuales no sobrepasan la cantidad de 6, lo cual es aspecto positivo.</w:t>
      </w:r>
    </w:p>
    <w:p w14:paraId="5ABABB19" w14:textId="47F30123" w:rsidR="00766E23" w:rsidRPr="00033E65" w:rsidRDefault="00863725" w:rsidP="00F91CFF">
      <w:pPr>
        <w:pStyle w:val="Prrafodelista"/>
        <w:numPr>
          <w:ilvl w:val="0"/>
          <w:numId w:val="14"/>
        </w:numPr>
        <w:contextualSpacing w:val="0"/>
        <w:rPr>
          <w:lang w:eastAsia="en-US"/>
        </w:rPr>
      </w:pPr>
      <w:r w:rsidRPr="00033E65">
        <w:rPr>
          <w:lang w:eastAsia="en-US"/>
        </w:rPr>
        <w:t>Para el 2022 se obtuvo un promedio de 11 casos terminados por persona juzgadora, de los cuales el 39% equivalen a Sentencias Dictadas y 61% a otros motivos de término.</w:t>
      </w:r>
    </w:p>
    <w:p w14:paraId="6E72B795" w14:textId="77777777" w:rsidR="00F562DD" w:rsidRPr="00033E65" w:rsidRDefault="00B05B42" w:rsidP="00F91CFF">
      <w:pPr>
        <w:pStyle w:val="Prrafodelista"/>
        <w:numPr>
          <w:ilvl w:val="0"/>
          <w:numId w:val="14"/>
        </w:numPr>
        <w:contextualSpacing w:val="0"/>
        <w:rPr>
          <w:lang w:eastAsia="en-US"/>
        </w:rPr>
      </w:pPr>
      <w:r w:rsidRPr="00033E65">
        <w:rPr>
          <w:lang w:eastAsia="en-US"/>
        </w:rPr>
        <w:t>En el caso de los Indicadores de Gestión de los Juzgados de naturaleza mixta (Buenos Aires, Upala y Turrialba), el Juzgado de Upala predomina con números mayores en cada uno de los indicadores en comparación</w:t>
      </w:r>
      <w:r w:rsidR="006F5737" w:rsidRPr="00033E65">
        <w:rPr>
          <w:lang w:eastAsia="en-US"/>
        </w:rPr>
        <w:t xml:space="preserve"> con su homólogo de Buenos Aires.</w:t>
      </w:r>
    </w:p>
    <w:p w14:paraId="2918CBDB" w14:textId="0708523C" w:rsidR="00F562DD" w:rsidRPr="00033E65" w:rsidRDefault="00282246" w:rsidP="00F91CFF">
      <w:pPr>
        <w:pStyle w:val="Prrafodelista"/>
        <w:numPr>
          <w:ilvl w:val="0"/>
          <w:numId w:val="14"/>
        </w:numPr>
        <w:rPr>
          <w:lang w:eastAsia="en-US"/>
        </w:rPr>
      </w:pPr>
      <w:r w:rsidRPr="00033E65">
        <w:rPr>
          <w:lang w:eastAsia="en-US"/>
        </w:rPr>
        <w:t xml:space="preserve">En el caso de Upala, </w:t>
      </w:r>
      <w:r w:rsidR="00F562DD" w:rsidRPr="00033E65">
        <w:rPr>
          <w:lang w:eastAsia="en-US"/>
        </w:rPr>
        <w:t>en el informe 656-PLA-RH-MI-2020 “Impacto Organizacional y Presupuestario en el Poder Judicial en caso de aprobarse el proyecto de Ley denominado Código Procesal de Familia” para el 2021, se recomienda a la persona juzgadora que atiende las materias de Agrario y Penal Juvenil atienda sólo la materia de Agrario, la persona juzgadora que atiende la materia de Violencia Doméstica atienda las materias de Violencia Doméstica y Penal Juvenil, aprobado por el Consejo Superior en sesión 45-2020 celebrada el 8 de mayo de 2020, artículo XIX.</w:t>
      </w:r>
    </w:p>
    <w:p w14:paraId="7A9D688C" w14:textId="77777777" w:rsidR="009313F2" w:rsidRPr="00033E65" w:rsidRDefault="009313F2" w:rsidP="0087671C">
      <w:pPr>
        <w:pStyle w:val="Prrafodelista"/>
        <w:rPr>
          <w:lang w:eastAsia="en-US"/>
        </w:rPr>
      </w:pPr>
    </w:p>
    <w:p w14:paraId="68776EC1" w14:textId="5265036C" w:rsidR="00FC0382" w:rsidRPr="00033E65" w:rsidRDefault="00F562DD" w:rsidP="00F91CFF">
      <w:pPr>
        <w:pStyle w:val="Prrafodelista"/>
        <w:numPr>
          <w:ilvl w:val="0"/>
          <w:numId w:val="14"/>
        </w:numPr>
        <w:contextualSpacing w:val="0"/>
        <w:rPr>
          <w:lang w:eastAsia="en-US"/>
        </w:rPr>
      </w:pPr>
      <w:r w:rsidRPr="00033E65">
        <w:rPr>
          <w:lang w:eastAsia="en-US"/>
        </w:rPr>
        <w:t xml:space="preserve">La especialización de la materia agraria en el Cantón de Upala con una estructura mínima reforzada en el Juzgado Mixto conformada por dos (2) plazas de Jueza o Juez (una (1) de esta ya se tiene con materia Agraria y la otra sería plaza </w:t>
      </w:r>
      <w:r w:rsidR="00230EC8" w:rsidRPr="00033E65">
        <w:rPr>
          <w:lang w:eastAsia="en-US"/>
        </w:rPr>
        <w:t>nueva ordinaria</w:t>
      </w:r>
      <w:r w:rsidRPr="00033E65">
        <w:rPr>
          <w:lang w:eastAsia="en-US"/>
        </w:rPr>
        <w:t xml:space="preserve"> para materia Agraria).</w:t>
      </w:r>
      <w:r w:rsidR="009313F2" w:rsidRPr="00033E65">
        <w:rPr>
          <w:lang w:eastAsia="en-US"/>
        </w:rPr>
        <w:t xml:space="preserve"> Realizando un análisis de competencia territorial se determina que por un tema de acceso es mejor conservar la actual competencia </w:t>
      </w:r>
      <w:r w:rsidR="00FC4B58" w:rsidRPr="00033E65">
        <w:rPr>
          <w:lang w:eastAsia="en-US"/>
        </w:rPr>
        <w:t>de dicho despacho.</w:t>
      </w:r>
    </w:p>
    <w:p w14:paraId="3A0C18C6" w14:textId="30FB5742" w:rsidR="00FC0382" w:rsidRPr="00033E65" w:rsidRDefault="00FC0382" w:rsidP="00F91CFF">
      <w:pPr>
        <w:pStyle w:val="Prrafodelista"/>
        <w:numPr>
          <w:ilvl w:val="0"/>
          <w:numId w:val="14"/>
        </w:numPr>
        <w:contextualSpacing w:val="0"/>
        <w:rPr>
          <w:lang w:eastAsia="en-US"/>
        </w:rPr>
      </w:pPr>
      <w:r w:rsidRPr="00033E65">
        <w:rPr>
          <w:lang w:eastAsia="en-US"/>
        </w:rPr>
        <w:t xml:space="preserve">La </w:t>
      </w:r>
      <w:r w:rsidR="00EB7006" w:rsidRPr="00033E65">
        <w:rPr>
          <w:lang w:eastAsia="en-US"/>
        </w:rPr>
        <w:t>necesidad de creación</w:t>
      </w:r>
      <w:r w:rsidRPr="00033E65">
        <w:rPr>
          <w:lang w:eastAsia="en-US"/>
        </w:rPr>
        <w:t xml:space="preserve"> de una plaza </w:t>
      </w:r>
      <w:r w:rsidR="00EB7006" w:rsidRPr="00033E65">
        <w:rPr>
          <w:lang w:eastAsia="en-US"/>
        </w:rPr>
        <w:t>adicional</w:t>
      </w:r>
      <w:r w:rsidRPr="00033E65">
        <w:rPr>
          <w:lang w:eastAsia="en-US"/>
        </w:rPr>
        <w:t xml:space="preserve"> de Técnico Judicial 2, para completar la estructura de trabajo del Juzgado Civil, Trabajo y Familia de Buenos Aires</w:t>
      </w:r>
      <w:r w:rsidR="00EB7006" w:rsidRPr="00033E65">
        <w:rPr>
          <w:lang w:eastAsia="en-US"/>
        </w:rPr>
        <w:t xml:space="preserve"> será trasladada del Tribunal Colegiado de Primera Instancia Civil de Pérez Zeledón, debido a un análisis de cargas de trabajo que realiza la Dirección de Planificación en la materia Civil.</w:t>
      </w:r>
    </w:p>
    <w:p w14:paraId="5DD56762" w14:textId="7CED4ECD" w:rsidR="00CF713A" w:rsidRPr="00033E65" w:rsidRDefault="007659BE" w:rsidP="00F91CFF">
      <w:pPr>
        <w:pStyle w:val="Prrafodelista"/>
        <w:numPr>
          <w:ilvl w:val="0"/>
          <w:numId w:val="14"/>
        </w:numPr>
        <w:contextualSpacing w:val="0"/>
        <w:rPr>
          <w:lang w:eastAsia="en-US"/>
        </w:rPr>
      </w:pPr>
      <w:r w:rsidRPr="00033E65">
        <w:rPr>
          <w:lang w:eastAsia="en-US"/>
        </w:rPr>
        <w:t xml:space="preserve">El Tribunal Agrario ha sido irregular desde la implementación de los Indicadores de Gestión, con entradas de carga de </w:t>
      </w:r>
      <w:r w:rsidR="00B8453A" w:rsidRPr="00033E65">
        <w:rPr>
          <w:lang w:eastAsia="en-US"/>
        </w:rPr>
        <w:t xml:space="preserve">trabajo que oscilan entre los </w:t>
      </w:r>
      <w:r w:rsidR="00AE66D8" w:rsidRPr="00033E65">
        <w:rPr>
          <w:lang w:eastAsia="en-US"/>
        </w:rPr>
        <w:t>70</w:t>
      </w:r>
      <w:r w:rsidR="00B8453A" w:rsidRPr="00033E65">
        <w:rPr>
          <w:lang w:eastAsia="en-US"/>
        </w:rPr>
        <w:t xml:space="preserve"> y </w:t>
      </w:r>
      <w:r w:rsidR="00AE66D8" w:rsidRPr="00033E65">
        <w:rPr>
          <w:lang w:eastAsia="en-US"/>
        </w:rPr>
        <w:t>136</w:t>
      </w:r>
      <w:r w:rsidRPr="00033E65">
        <w:rPr>
          <w:lang w:eastAsia="en-US"/>
        </w:rPr>
        <w:t xml:space="preserve"> casos al mes. En cuanto a los casos terminados, logr</w:t>
      </w:r>
      <w:r w:rsidR="00B8453A" w:rsidRPr="00033E65">
        <w:rPr>
          <w:lang w:eastAsia="en-US"/>
        </w:rPr>
        <w:t>aron terminar un promedio de 10</w:t>
      </w:r>
      <w:r w:rsidR="00AE66D8" w:rsidRPr="00033E65">
        <w:rPr>
          <w:lang w:eastAsia="en-US"/>
        </w:rPr>
        <w:t>9</w:t>
      </w:r>
      <w:r w:rsidR="009858D8" w:rsidRPr="00033E65">
        <w:rPr>
          <w:lang w:eastAsia="en-US"/>
        </w:rPr>
        <w:t xml:space="preserve"> </w:t>
      </w:r>
      <w:r w:rsidR="00AE66D8" w:rsidRPr="00033E65">
        <w:rPr>
          <w:lang w:eastAsia="en-US"/>
        </w:rPr>
        <w:t>asuntos</w:t>
      </w:r>
      <w:r w:rsidR="009858D8" w:rsidRPr="00033E65">
        <w:rPr>
          <w:lang w:eastAsia="en-US"/>
        </w:rPr>
        <w:t xml:space="preserve"> al mes</w:t>
      </w:r>
      <w:r w:rsidRPr="00033E65">
        <w:rPr>
          <w:lang w:eastAsia="en-US"/>
        </w:rPr>
        <w:t xml:space="preserve">. </w:t>
      </w:r>
      <w:r w:rsidR="00B8453A" w:rsidRPr="00033E65">
        <w:rPr>
          <w:lang w:eastAsia="en-US"/>
        </w:rPr>
        <w:t>El circulante para finales del 202</w:t>
      </w:r>
      <w:r w:rsidR="00AE66D8" w:rsidRPr="00033E65">
        <w:rPr>
          <w:lang w:eastAsia="en-US"/>
        </w:rPr>
        <w:t>2</w:t>
      </w:r>
      <w:r w:rsidRPr="00033E65">
        <w:rPr>
          <w:lang w:eastAsia="en-US"/>
        </w:rPr>
        <w:t>, s</w:t>
      </w:r>
      <w:r w:rsidR="00B8453A" w:rsidRPr="00033E65">
        <w:rPr>
          <w:lang w:eastAsia="en-US"/>
        </w:rPr>
        <w:t>e contó con un circulante de 1</w:t>
      </w:r>
      <w:r w:rsidR="00AE66D8" w:rsidRPr="00033E65">
        <w:rPr>
          <w:lang w:eastAsia="en-US"/>
        </w:rPr>
        <w:t>71</w:t>
      </w:r>
      <w:r w:rsidRPr="00033E65">
        <w:rPr>
          <w:lang w:eastAsia="en-US"/>
        </w:rPr>
        <w:t xml:space="preserve"> expediente</w:t>
      </w:r>
      <w:r w:rsidR="00B8453A" w:rsidRPr="00033E65">
        <w:rPr>
          <w:lang w:eastAsia="en-US"/>
        </w:rPr>
        <w:t>s</w:t>
      </w:r>
      <w:r w:rsidR="00AE66D8" w:rsidRPr="00033E65">
        <w:rPr>
          <w:lang w:eastAsia="en-US"/>
        </w:rPr>
        <w:t>.</w:t>
      </w:r>
    </w:p>
    <w:p w14:paraId="1F978FD7" w14:textId="19C82F1A" w:rsidR="007659BE" w:rsidRPr="00033E65" w:rsidRDefault="007659BE" w:rsidP="00F91CFF">
      <w:pPr>
        <w:pStyle w:val="Prrafodelista"/>
        <w:numPr>
          <w:ilvl w:val="0"/>
          <w:numId w:val="14"/>
        </w:numPr>
        <w:contextualSpacing w:val="0"/>
        <w:rPr>
          <w:lang w:eastAsia="en-US"/>
        </w:rPr>
      </w:pPr>
      <w:r w:rsidRPr="00033E65">
        <w:rPr>
          <w:lang w:eastAsia="en-US"/>
        </w:rPr>
        <w:t xml:space="preserve">Los indicadores de plazos </w:t>
      </w:r>
      <w:r w:rsidR="006F5737" w:rsidRPr="00033E65">
        <w:rPr>
          <w:lang w:eastAsia="en-US"/>
        </w:rPr>
        <w:t xml:space="preserve">en el </w:t>
      </w:r>
      <w:r w:rsidR="001D1871" w:rsidRPr="00033E65">
        <w:rPr>
          <w:lang w:eastAsia="en-US"/>
        </w:rPr>
        <w:t>Tribunal</w:t>
      </w:r>
      <w:r w:rsidR="006F5737" w:rsidRPr="00033E65">
        <w:rPr>
          <w:lang w:eastAsia="en-US"/>
        </w:rPr>
        <w:t xml:space="preserve"> </w:t>
      </w:r>
      <w:r w:rsidR="006A5D65" w:rsidRPr="00033E65">
        <w:rPr>
          <w:lang w:eastAsia="en-US"/>
        </w:rPr>
        <w:t xml:space="preserve">han experimentado aumentos en determinados períodos. </w:t>
      </w:r>
      <w:r w:rsidRPr="00033E65">
        <w:rPr>
          <w:lang w:eastAsia="en-US"/>
        </w:rPr>
        <w:t>El plazo para la atención de escritos</w:t>
      </w:r>
      <w:r w:rsidR="00B102D1" w:rsidRPr="00033E65">
        <w:rPr>
          <w:lang w:eastAsia="en-US"/>
        </w:rPr>
        <w:t xml:space="preserve"> presentó </w:t>
      </w:r>
      <w:r w:rsidR="006A5D65" w:rsidRPr="00033E65">
        <w:rPr>
          <w:lang w:eastAsia="en-US"/>
        </w:rPr>
        <w:t>un aumento, ya que pasó de 12 días de espera en enero a 25 días de espera en diciembre 2022. El plazo para dictado de sentencia pasó de 279 días de espera en enero a 364 días en diciembre 2022 y e</w:t>
      </w:r>
      <w:r w:rsidRPr="00033E65">
        <w:rPr>
          <w:lang w:eastAsia="en-US"/>
        </w:rPr>
        <w:t>l Plazo de espera de expediente votado más antiguo pendiente de firmar la sentencia, esta oficina posee excelentes números, al mantener en cero (0) días plazo</w:t>
      </w:r>
      <w:r w:rsidR="006A5D65" w:rsidRPr="00033E65">
        <w:rPr>
          <w:lang w:eastAsia="en-US"/>
        </w:rPr>
        <w:t>.</w:t>
      </w:r>
    </w:p>
    <w:p w14:paraId="29253768" w14:textId="36287410" w:rsidR="007659BE" w:rsidRPr="00033E65" w:rsidRDefault="007659BE" w:rsidP="00F91CFF">
      <w:pPr>
        <w:pStyle w:val="Prrafodelista"/>
        <w:numPr>
          <w:ilvl w:val="0"/>
          <w:numId w:val="14"/>
        </w:numPr>
        <w:contextualSpacing w:val="0"/>
        <w:rPr>
          <w:lang w:eastAsia="en-US"/>
        </w:rPr>
      </w:pPr>
      <w:r w:rsidRPr="00033E65">
        <w:rPr>
          <w:lang w:eastAsia="en-US"/>
        </w:rPr>
        <w:t xml:space="preserve">El Tribunal Agrario </w:t>
      </w:r>
      <w:r w:rsidR="00A55507" w:rsidRPr="00033E65">
        <w:rPr>
          <w:lang w:eastAsia="en-US"/>
        </w:rPr>
        <w:t>para el 202</w:t>
      </w:r>
      <w:r w:rsidR="00B17EE5" w:rsidRPr="00033E65">
        <w:rPr>
          <w:lang w:eastAsia="en-US"/>
        </w:rPr>
        <w:t>2</w:t>
      </w:r>
      <w:r w:rsidR="00A55507" w:rsidRPr="00033E65">
        <w:rPr>
          <w:lang w:eastAsia="en-US"/>
        </w:rPr>
        <w:t xml:space="preserve"> tuvo un promedio </w:t>
      </w:r>
      <w:r w:rsidR="00B17EE5" w:rsidRPr="00033E65">
        <w:rPr>
          <w:lang w:eastAsia="en-US"/>
        </w:rPr>
        <w:t>mensual de</w:t>
      </w:r>
      <w:r w:rsidR="00A55507" w:rsidRPr="00033E65">
        <w:rPr>
          <w:lang w:eastAsia="en-US"/>
        </w:rPr>
        <w:t xml:space="preserve"> 1</w:t>
      </w:r>
      <w:r w:rsidR="00B17EE5" w:rsidRPr="00033E65">
        <w:rPr>
          <w:lang w:eastAsia="en-US"/>
        </w:rPr>
        <w:t>61</w:t>
      </w:r>
      <w:r w:rsidR="00A55507" w:rsidRPr="00033E65">
        <w:rPr>
          <w:lang w:eastAsia="en-US"/>
        </w:rPr>
        <w:t xml:space="preserve"> expedientes pendientes de fallo.</w:t>
      </w:r>
    </w:p>
    <w:p w14:paraId="05DC419A" w14:textId="39045637" w:rsidR="007659BE" w:rsidRPr="00033E65" w:rsidRDefault="007659BE" w:rsidP="00F91CFF">
      <w:pPr>
        <w:pStyle w:val="Prrafodelista"/>
        <w:numPr>
          <w:ilvl w:val="0"/>
          <w:numId w:val="14"/>
        </w:numPr>
        <w:contextualSpacing w:val="0"/>
        <w:rPr>
          <w:lang w:eastAsia="en-US"/>
        </w:rPr>
      </w:pPr>
      <w:r w:rsidRPr="00033E65">
        <w:rPr>
          <w:lang w:eastAsia="en-US"/>
        </w:rPr>
        <w:t xml:space="preserve">La cantidad de expedientes enviados a estudio por Técnica o Técnico Judicial al personal juzgador tiene un </w:t>
      </w:r>
      <w:r w:rsidR="00A55507" w:rsidRPr="00033E65">
        <w:rPr>
          <w:lang w:eastAsia="en-US"/>
        </w:rPr>
        <w:t>promedio de 1</w:t>
      </w:r>
      <w:r w:rsidR="00B17EE5" w:rsidRPr="00033E65">
        <w:rPr>
          <w:lang w:eastAsia="en-US"/>
        </w:rPr>
        <w:t>06</w:t>
      </w:r>
      <w:r w:rsidRPr="00033E65">
        <w:rPr>
          <w:lang w:eastAsia="en-US"/>
        </w:rPr>
        <w:t xml:space="preserve"> casos mensuales, l</w:t>
      </w:r>
      <w:r w:rsidR="00A55507" w:rsidRPr="00033E65">
        <w:rPr>
          <w:lang w:eastAsia="en-US"/>
        </w:rPr>
        <w:t>o cual refleja un promedio de 3</w:t>
      </w:r>
      <w:r w:rsidR="00B17EE5" w:rsidRPr="00033E65">
        <w:rPr>
          <w:lang w:eastAsia="en-US"/>
        </w:rPr>
        <w:t>5</w:t>
      </w:r>
      <w:r w:rsidRPr="00033E65">
        <w:rPr>
          <w:lang w:eastAsia="en-US"/>
        </w:rPr>
        <w:t xml:space="preserve"> casos por persona técnica judicial al mes. </w:t>
      </w:r>
    </w:p>
    <w:p w14:paraId="15516CCB" w14:textId="59FF6DDA" w:rsidR="00301888" w:rsidRPr="00033E65" w:rsidRDefault="00301888" w:rsidP="00F91CFF">
      <w:pPr>
        <w:pStyle w:val="Prrafodelista"/>
        <w:numPr>
          <w:ilvl w:val="0"/>
          <w:numId w:val="14"/>
        </w:numPr>
        <w:rPr>
          <w:lang w:eastAsia="en-US"/>
        </w:rPr>
      </w:pPr>
      <w:r w:rsidRPr="00033E65">
        <w:rPr>
          <w:lang w:eastAsia="en-US"/>
        </w:rPr>
        <w:t xml:space="preserve">El nuevo Juzgado Agrario de Puntarenas, sede Jicaral, </w:t>
      </w:r>
      <w:r w:rsidR="002E6E85" w:rsidRPr="00033E65">
        <w:rPr>
          <w:lang w:eastAsia="en-US"/>
        </w:rPr>
        <w:t xml:space="preserve">según acuerdo del </w:t>
      </w:r>
      <w:r w:rsidRPr="00033E65">
        <w:rPr>
          <w:lang w:eastAsia="en-US"/>
        </w:rPr>
        <w:t xml:space="preserve">Consejo Superior en sesión N° 15-2021 celebrada el 23 de febrero de 2021, </w:t>
      </w:r>
      <w:r w:rsidR="0008326E" w:rsidRPr="00033E65">
        <w:rPr>
          <w:lang w:eastAsia="en-US"/>
        </w:rPr>
        <w:t xml:space="preserve">se </w:t>
      </w:r>
      <w:r w:rsidRPr="00033E65">
        <w:rPr>
          <w:lang w:eastAsia="en-US"/>
        </w:rPr>
        <w:t>acordó que el despacho inic</w:t>
      </w:r>
      <w:r w:rsidR="00CB6192" w:rsidRPr="00033E65">
        <w:rPr>
          <w:lang w:eastAsia="en-US"/>
        </w:rPr>
        <w:t xml:space="preserve">iaba su </w:t>
      </w:r>
      <w:r w:rsidR="0008326E" w:rsidRPr="00033E65">
        <w:rPr>
          <w:lang w:eastAsia="en-US"/>
        </w:rPr>
        <w:t xml:space="preserve">funcionamiento </w:t>
      </w:r>
      <w:r w:rsidR="00CB6192" w:rsidRPr="00033E65">
        <w:rPr>
          <w:lang w:eastAsia="en-US"/>
        </w:rPr>
        <w:t>el 03 de mayo del 2021</w:t>
      </w:r>
      <w:r w:rsidR="0008326E" w:rsidRPr="00033E65">
        <w:rPr>
          <w:lang w:eastAsia="en-US"/>
        </w:rPr>
        <w:t xml:space="preserve">, </w:t>
      </w:r>
      <w:r w:rsidRPr="00033E65">
        <w:rPr>
          <w:lang w:eastAsia="en-US"/>
        </w:rPr>
        <w:t xml:space="preserve">a competencia territorial de este nuevo Juzgado, </w:t>
      </w:r>
      <w:r w:rsidR="00CB6192" w:rsidRPr="00033E65">
        <w:rPr>
          <w:lang w:eastAsia="en-US"/>
        </w:rPr>
        <w:t>se definió en la circular N°238-2020.</w:t>
      </w:r>
      <w:r w:rsidR="00F55975" w:rsidRPr="00033E65">
        <w:rPr>
          <w:lang w:eastAsia="en-US"/>
        </w:rPr>
        <w:t xml:space="preserve"> E</w:t>
      </w:r>
      <w:r w:rsidR="00CB6192" w:rsidRPr="00033E65">
        <w:rPr>
          <w:lang w:eastAsia="en-US"/>
        </w:rPr>
        <w:t>l nuevo Juzgado</w:t>
      </w:r>
      <w:r w:rsidRPr="00033E65">
        <w:rPr>
          <w:lang w:eastAsia="en-US"/>
        </w:rPr>
        <w:t xml:space="preserve"> conforme al Modelo de Sostenibilidad Institucional, fue capacitada, </w:t>
      </w:r>
      <w:r w:rsidR="00CB6192" w:rsidRPr="00033E65">
        <w:rPr>
          <w:lang w:eastAsia="en-US"/>
        </w:rPr>
        <w:t>tiene conformada el equipo de mejora y cuenta con la matriz de indicadores de gestión, a</w:t>
      </w:r>
      <w:r w:rsidRPr="00033E65">
        <w:rPr>
          <w:lang w:eastAsia="en-US"/>
        </w:rPr>
        <w:t>demás, actualmente está bajo el seguimiento de la Administración Regional de Nicoya y el Centro de Apoyo, Coordinación y Mejoramiento de la Función Jurisdiccional.</w:t>
      </w:r>
    </w:p>
    <w:p w14:paraId="37262767" w14:textId="77777777" w:rsidR="00F05BE6" w:rsidRPr="00033E65" w:rsidRDefault="00F05BE6" w:rsidP="00F05BE6">
      <w:pPr>
        <w:pStyle w:val="Prrafodelista"/>
        <w:rPr>
          <w:lang w:eastAsia="en-US"/>
        </w:rPr>
      </w:pPr>
    </w:p>
    <w:p w14:paraId="70032DDB" w14:textId="07AFB9CA" w:rsidR="006632BA" w:rsidRPr="00033E65" w:rsidRDefault="006632BA" w:rsidP="00F91CFF">
      <w:pPr>
        <w:pStyle w:val="Prrafodelista"/>
        <w:numPr>
          <w:ilvl w:val="0"/>
          <w:numId w:val="14"/>
        </w:numPr>
        <w:contextualSpacing w:val="0"/>
        <w:rPr>
          <w:lang w:eastAsia="en-US"/>
        </w:rPr>
      </w:pPr>
      <w:r w:rsidRPr="00033E65">
        <w:t xml:space="preserve">No es posible proyectar la carga de trabajo que tendrán los Juzgados Agrarios una vez entrada en vigencia el Código Procesal Agrario, ya que adquirirán competencia sobre los procesos Sucesorios de naturaleza agrícola en materia Civil y los Cobratorios con garantías Agrarias. </w:t>
      </w:r>
      <w:r w:rsidRPr="00033E65">
        <w:rPr>
          <w:lang w:eastAsia="en-US"/>
        </w:rPr>
        <w:t xml:space="preserve">No se cuenta con la mejora a nivel de los sistemas para determinar </w:t>
      </w:r>
      <w:r w:rsidR="00C4507B" w:rsidRPr="00033E65">
        <w:rPr>
          <w:lang w:eastAsia="en-US"/>
        </w:rPr>
        <w:t>las cargas</w:t>
      </w:r>
      <w:r w:rsidRPr="00033E65">
        <w:rPr>
          <w:lang w:eastAsia="en-US"/>
        </w:rPr>
        <w:t xml:space="preserve"> de </w:t>
      </w:r>
      <w:r w:rsidR="00C4507B" w:rsidRPr="00033E65">
        <w:rPr>
          <w:lang w:eastAsia="en-US"/>
        </w:rPr>
        <w:t>trabajo,</w:t>
      </w:r>
      <w:r w:rsidRPr="00033E65">
        <w:rPr>
          <w:lang w:eastAsia="en-US"/>
        </w:rPr>
        <w:t xml:space="preserve"> no se podrá realizar el muestreo para definir una posible proyección de los posibles asuntos que puedan ingresar a la jurisdicción agraria producto de la entrada en vigencia del nuevo código procesal agrario.</w:t>
      </w:r>
    </w:p>
    <w:p w14:paraId="640FDF3C" w14:textId="0E502E2C" w:rsidR="00C4507B" w:rsidRPr="00033E65" w:rsidRDefault="00C4507B" w:rsidP="00F91CFF">
      <w:pPr>
        <w:pStyle w:val="Prrafodelista"/>
        <w:numPr>
          <w:ilvl w:val="0"/>
          <w:numId w:val="14"/>
        </w:numPr>
        <w:contextualSpacing w:val="0"/>
        <w:rPr>
          <w:lang w:eastAsia="en-US"/>
        </w:rPr>
      </w:pPr>
      <w:r w:rsidRPr="00033E65">
        <w:rPr>
          <w:lang w:eastAsia="en-US"/>
        </w:rPr>
        <w:t>El circulante por clase de asunto a nivel nacional entre los Juzgados Agrarios, está ma</w:t>
      </w:r>
      <w:r w:rsidR="009B2EF2" w:rsidRPr="00033E65">
        <w:rPr>
          <w:lang w:eastAsia="en-US"/>
        </w:rPr>
        <w:t>yormente compuesto por casos</w:t>
      </w:r>
      <w:r w:rsidR="00F05BE6" w:rsidRPr="00033E65">
        <w:rPr>
          <w:lang w:eastAsia="en-US"/>
        </w:rPr>
        <w:t xml:space="preserve"> ordinarios con un 37% seguidamente</w:t>
      </w:r>
      <w:r w:rsidR="009B2EF2" w:rsidRPr="00033E65">
        <w:rPr>
          <w:lang w:eastAsia="en-US"/>
        </w:rPr>
        <w:t xml:space="preserve"> de</w:t>
      </w:r>
      <w:r w:rsidRPr="00033E65">
        <w:rPr>
          <w:lang w:eastAsia="en-US"/>
        </w:rPr>
        <w:t xml:space="preserve"> Informaciones Posesorias con un 3</w:t>
      </w:r>
      <w:r w:rsidR="00F05BE6" w:rsidRPr="00033E65">
        <w:rPr>
          <w:lang w:eastAsia="en-US"/>
        </w:rPr>
        <w:t>2</w:t>
      </w:r>
      <w:r w:rsidRPr="00033E65">
        <w:rPr>
          <w:lang w:eastAsia="en-US"/>
        </w:rPr>
        <w:t>%</w:t>
      </w:r>
      <w:r w:rsidR="00F05BE6" w:rsidRPr="00033E65">
        <w:rPr>
          <w:lang w:eastAsia="en-US"/>
        </w:rPr>
        <w:t>, otros</w:t>
      </w:r>
      <w:r w:rsidR="009B2EF2" w:rsidRPr="00033E65">
        <w:rPr>
          <w:lang w:eastAsia="en-US"/>
        </w:rPr>
        <w:t xml:space="preserve"> </w:t>
      </w:r>
      <w:r w:rsidR="00F05BE6" w:rsidRPr="00033E65">
        <w:rPr>
          <w:lang w:eastAsia="en-US"/>
        </w:rPr>
        <w:t>14</w:t>
      </w:r>
      <w:r w:rsidR="009B2EF2" w:rsidRPr="00033E65">
        <w:rPr>
          <w:lang w:eastAsia="en-US"/>
        </w:rPr>
        <w:t xml:space="preserve">%, </w:t>
      </w:r>
      <w:r w:rsidR="00F05BE6" w:rsidRPr="00033E65">
        <w:rPr>
          <w:lang w:eastAsia="en-US"/>
        </w:rPr>
        <w:t xml:space="preserve">interdictos de amparo con un 10%, </w:t>
      </w:r>
      <w:r w:rsidR="009B2EF2" w:rsidRPr="00033E65">
        <w:rPr>
          <w:lang w:eastAsia="en-US"/>
        </w:rPr>
        <w:t xml:space="preserve">y Monitorios </w:t>
      </w:r>
      <w:r w:rsidR="00F05BE6" w:rsidRPr="00033E65">
        <w:rPr>
          <w:lang w:eastAsia="en-US"/>
        </w:rPr>
        <w:t>3</w:t>
      </w:r>
      <w:r w:rsidRPr="00033E65">
        <w:rPr>
          <w:lang w:eastAsia="en-US"/>
        </w:rPr>
        <w:t xml:space="preserve">%; </w:t>
      </w:r>
      <w:r w:rsidR="00F05BE6" w:rsidRPr="00033E65">
        <w:rPr>
          <w:lang w:eastAsia="en-US"/>
        </w:rPr>
        <w:t>en</w:t>
      </w:r>
      <w:r w:rsidRPr="00033E65">
        <w:rPr>
          <w:lang w:eastAsia="en-US"/>
        </w:rPr>
        <w:t xml:space="preserve"> o</w:t>
      </w:r>
      <w:r w:rsidR="009B2EF2" w:rsidRPr="00033E65">
        <w:rPr>
          <w:lang w:eastAsia="en-US"/>
        </w:rPr>
        <w:t>tr</w:t>
      </w:r>
      <w:r w:rsidR="00F05BE6" w:rsidRPr="00033E65">
        <w:rPr>
          <w:lang w:eastAsia="en-US"/>
        </w:rPr>
        <w:t>o</w:t>
      </w:r>
      <w:r w:rsidR="009B2EF2" w:rsidRPr="00033E65">
        <w:rPr>
          <w:lang w:eastAsia="en-US"/>
        </w:rPr>
        <w:t xml:space="preserve">s </w:t>
      </w:r>
      <w:r w:rsidRPr="00033E65">
        <w:rPr>
          <w:lang w:eastAsia="en-US"/>
        </w:rPr>
        <w:t>se encuentran los asuntos no contenciosos de Localización de Derechos, Sumario de Derribo, Ejecución Hipotecaria, entre otros.</w:t>
      </w:r>
    </w:p>
    <w:p w14:paraId="1256122D" w14:textId="10124ABA" w:rsidR="00C4507B" w:rsidRPr="00033E65" w:rsidRDefault="00230EC8" w:rsidP="00F91CFF">
      <w:pPr>
        <w:pStyle w:val="Prrafodelista"/>
        <w:numPr>
          <w:ilvl w:val="0"/>
          <w:numId w:val="14"/>
        </w:numPr>
        <w:contextualSpacing w:val="0"/>
        <w:rPr>
          <w:lang w:eastAsia="en-US"/>
        </w:rPr>
      </w:pPr>
      <w:r w:rsidRPr="00033E65">
        <w:rPr>
          <w:lang w:eastAsia="en-US"/>
        </w:rPr>
        <w:t>El circulante</w:t>
      </w:r>
      <w:r w:rsidR="00730E9B" w:rsidRPr="00033E65">
        <w:rPr>
          <w:lang w:eastAsia="en-US"/>
        </w:rPr>
        <w:t xml:space="preserve"> a nivel nacional se encuentra en </w:t>
      </w:r>
      <w:r w:rsidRPr="00033E65">
        <w:rPr>
          <w:lang w:eastAsia="en-US"/>
        </w:rPr>
        <w:t>un 5</w:t>
      </w:r>
      <w:r w:rsidR="00A8325A" w:rsidRPr="00033E65">
        <w:rPr>
          <w:lang w:eastAsia="en-US"/>
        </w:rPr>
        <w:t>3</w:t>
      </w:r>
      <w:r w:rsidR="00C4507B" w:rsidRPr="00033E65">
        <w:rPr>
          <w:lang w:eastAsia="en-US"/>
        </w:rPr>
        <w:t>% en f</w:t>
      </w:r>
      <w:r w:rsidR="00434F54" w:rsidRPr="00033E65">
        <w:rPr>
          <w:lang w:eastAsia="en-US"/>
        </w:rPr>
        <w:t xml:space="preserve">ase de Demanda, seguido de un </w:t>
      </w:r>
      <w:r w:rsidR="00A8325A" w:rsidRPr="00033E65">
        <w:rPr>
          <w:lang w:eastAsia="en-US"/>
        </w:rPr>
        <w:t>29</w:t>
      </w:r>
      <w:r w:rsidR="00434F54" w:rsidRPr="00033E65">
        <w:rPr>
          <w:lang w:eastAsia="en-US"/>
        </w:rPr>
        <w:t xml:space="preserve">% en fase Demostrativa, un </w:t>
      </w:r>
      <w:r w:rsidR="00A8325A" w:rsidRPr="00033E65">
        <w:rPr>
          <w:lang w:eastAsia="en-US"/>
        </w:rPr>
        <w:t>13</w:t>
      </w:r>
      <w:r w:rsidR="00C4507B" w:rsidRPr="00033E65">
        <w:rPr>
          <w:lang w:eastAsia="en-US"/>
        </w:rPr>
        <w:t>% en Conclusiva</w:t>
      </w:r>
      <w:r w:rsidR="00434F54" w:rsidRPr="00033E65">
        <w:rPr>
          <w:lang w:eastAsia="en-US"/>
        </w:rPr>
        <w:t>, en Ejecución con un 5% y 0,</w:t>
      </w:r>
      <w:r w:rsidR="00A8325A" w:rsidRPr="00033E65">
        <w:rPr>
          <w:lang w:eastAsia="en-US"/>
        </w:rPr>
        <w:t>3</w:t>
      </w:r>
      <w:r w:rsidR="00434F54" w:rsidRPr="00033E65">
        <w:rPr>
          <w:lang w:eastAsia="en-US"/>
        </w:rPr>
        <w:t>0</w:t>
      </w:r>
      <w:r w:rsidR="00C4507B" w:rsidRPr="00033E65">
        <w:rPr>
          <w:lang w:eastAsia="en-US"/>
        </w:rPr>
        <w:t>% en fase de sin fase asignada.</w:t>
      </w:r>
    </w:p>
    <w:p w14:paraId="6A217148" w14:textId="21927E31" w:rsidR="00C4507B" w:rsidRPr="00033E65" w:rsidRDefault="00EC5306" w:rsidP="00EC5306">
      <w:pPr>
        <w:pStyle w:val="Ttulo1"/>
        <w:numPr>
          <w:ilvl w:val="0"/>
          <w:numId w:val="0"/>
        </w:numPr>
      </w:pPr>
      <w:bookmarkStart w:id="237" w:name="_Toc132639577"/>
      <w:r>
        <w:t xml:space="preserve">20. </w:t>
      </w:r>
      <w:r w:rsidR="008472C2" w:rsidRPr="00033E65">
        <w:t>Recomendaciones</w:t>
      </w:r>
      <w:bookmarkEnd w:id="237"/>
      <w:r w:rsidR="008472C2" w:rsidRPr="00033E65">
        <w:t xml:space="preserve"> </w:t>
      </w:r>
    </w:p>
    <w:p w14:paraId="11F127C5" w14:textId="4DBCBF3D" w:rsidR="008472C2" w:rsidRPr="00033E65" w:rsidRDefault="008472C2" w:rsidP="008472C2">
      <w:pPr>
        <w:rPr>
          <w:lang w:eastAsia="en-US"/>
        </w:rPr>
      </w:pPr>
      <w:r w:rsidRPr="00033E65">
        <w:rPr>
          <w:lang w:eastAsia="en-US"/>
        </w:rPr>
        <w:t>A continuación, se presenta la propuesta por parte de la Dirección de Planificación en relación con los costos de implementación de la Ley 9609 “Código Procesal Agrario”</w:t>
      </w:r>
    </w:p>
    <w:p w14:paraId="5D015622" w14:textId="4ED1ABBB" w:rsidR="008472C2" w:rsidRPr="00033E65" w:rsidRDefault="008472C2" w:rsidP="00951D3E">
      <w:pPr>
        <w:pStyle w:val="Ttulo3"/>
        <w:rPr>
          <w:lang w:eastAsia="en-US"/>
        </w:rPr>
      </w:pPr>
      <w:bookmarkStart w:id="238" w:name="_Toc132639578"/>
      <w:r w:rsidRPr="00033E65">
        <w:rPr>
          <w:lang w:eastAsia="en-US"/>
        </w:rPr>
        <w:t>A Corte Plena</w:t>
      </w:r>
      <w:bookmarkEnd w:id="238"/>
    </w:p>
    <w:p w14:paraId="6A2213C9" w14:textId="3F484478" w:rsidR="002C153A" w:rsidRDefault="00EC5306" w:rsidP="00EC5306">
      <w:pPr>
        <w:pStyle w:val="Ttulo2"/>
        <w:numPr>
          <w:ilvl w:val="0"/>
          <w:numId w:val="0"/>
        </w:numPr>
      </w:pPr>
      <w:bookmarkStart w:id="239" w:name="_Toc132639579"/>
      <w:r>
        <w:t xml:space="preserve">20.1 </w:t>
      </w:r>
      <w:r w:rsidR="008472C2" w:rsidRPr="00033E65">
        <w:t>Propuesta</w:t>
      </w:r>
      <w:bookmarkEnd w:id="239"/>
    </w:p>
    <w:p w14:paraId="33764EC3" w14:textId="015C18D0" w:rsidR="00C22655" w:rsidRPr="00033E65" w:rsidRDefault="006C6435" w:rsidP="00B43736">
      <w:r w:rsidRPr="00033E65">
        <w:t xml:space="preserve">En virtud de que recientemente se aprobó la vacancia de la entrada </w:t>
      </w:r>
      <w:r w:rsidR="00926FC9" w:rsidRPr="00033E65">
        <w:t xml:space="preserve"> </w:t>
      </w:r>
      <w:r w:rsidR="002C153A" w:rsidRPr="00033E65">
        <w:t>en vigencia del Nuevo Código Procesal Agrario, Ley 9609</w:t>
      </w:r>
      <w:r w:rsidRPr="00033E65">
        <w:t xml:space="preserve"> para febrero 2025, </w:t>
      </w:r>
      <w:r w:rsidR="002C153A" w:rsidRPr="00033E65">
        <w:t xml:space="preserve"> dad</w:t>
      </w:r>
      <w:r w:rsidRPr="00033E65">
        <w:t>as</w:t>
      </w:r>
      <w:r w:rsidR="002C153A" w:rsidRPr="00033E65">
        <w:t xml:space="preserve"> las condiciones presupuestarias actuales, </w:t>
      </w:r>
      <w:r w:rsidR="00B71C4C" w:rsidRPr="00033E65">
        <w:t xml:space="preserve">se estima </w:t>
      </w:r>
      <w:r w:rsidR="002C153A" w:rsidRPr="00033E65">
        <w:t xml:space="preserve">que no </w:t>
      </w:r>
      <w:r w:rsidRPr="00033E65">
        <w:t>era</w:t>
      </w:r>
      <w:r w:rsidR="002C153A" w:rsidRPr="00033E65">
        <w:t xml:space="preserve"> el momento oportuno para su puesta en marcha, dado que la eventual implicación de necesidades </w:t>
      </w:r>
      <w:r w:rsidR="002C153A" w:rsidRPr="0043490A">
        <w:t>asociadas a recurso humano</w:t>
      </w:r>
      <w:r w:rsidR="002C153A" w:rsidRPr="00033E65">
        <w:t xml:space="preserve">, tecnológico y otros, incluidos en el presente informe, </w:t>
      </w:r>
      <w:r w:rsidR="00B71C4C" w:rsidRPr="00033E65">
        <w:t xml:space="preserve"> a la fecha no </w:t>
      </w:r>
      <w:r w:rsidR="00A07040" w:rsidRPr="00033E65">
        <w:t xml:space="preserve">ha </w:t>
      </w:r>
      <w:r w:rsidR="00B71C4C" w:rsidRPr="00033E65">
        <w:t>podido ser cubiertas por las limitaciones presupuestarias, lo cual se ha identificado institucionalmente con las medidas de contención del gasto.</w:t>
      </w:r>
      <w:r w:rsidR="000F198A" w:rsidRPr="00033E65">
        <w:t xml:space="preserve"> </w:t>
      </w:r>
      <w:r w:rsidR="00B71C4C" w:rsidRPr="00033E65">
        <w:t xml:space="preserve">Adicional a la recomendación anterior y reforzando la valoración que debe realizar la Corte Plena, se debe tomar en consideración que todavía no existe claridad en el impacto que va tener en la entrada de asuntos en los Juzgados Agrarios, </w:t>
      </w:r>
      <w:r w:rsidR="00DC6D7B" w:rsidRPr="00033E65">
        <w:t xml:space="preserve">ni en la Sala Primera, </w:t>
      </w:r>
      <w:r w:rsidR="000F198A" w:rsidRPr="00033E65">
        <w:t xml:space="preserve">y </w:t>
      </w:r>
      <w:r w:rsidR="00B71C4C" w:rsidRPr="00033E65">
        <w:t>no se cuenta con los datos a nivel de sistemas informáticos, de los procesos sucesorios, cobratorios, contenciosos, entre otros, que formarán parte de los nuevos asuntos Agrarios, en la actualidad no hay elementos sistemáticos para determinar una cantidad específica, con ocasión del Código Procesal Agraria.</w:t>
      </w:r>
      <w:r w:rsidR="001C1978" w:rsidRPr="00033E65">
        <w:t xml:space="preserve"> Igualmente, los despachos que hoy día atienden la materia agraria, según se ha demostrado, </w:t>
      </w:r>
      <w:r w:rsidR="00EB7140" w:rsidRPr="00033E65">
        <w:t xml:space="preserve">no han logrado impulsar la terminación de los expedientes judiciales, lo que se transforma en </w:t>
      </w:r>
      <w:r w:rsidR="008D103A" w:rsidRPr="00033E65">
        <w:t xml:space="preserve">tener circulantes sumamente antiguos, </w:t>
      </w:r>
      <w:r w:rsidR="00847D06" w:rsidRPr="00033E65">
        <w:t xml:space="preserve">por lo que, </w:t>
      </w:r>
      <w:r w:rsidR="008D103A" w:rsidRPr="00033E65">
        <w:t xml:space="preserve">llevar a </w:t>
      </w:r>
      <w:r w:rsidR="00847D06" w:rsidRPr="00033E65">
        <w:t xml:space="preserve">impulsar </w:t>
      </w:r>
      <w:r w:rsidR="008D103A" w:rsidRPr="00033E65">
        <w:t xml:space="preserve">aumentar la entrada a estos despachos, solo se traduciría </w:t>
      </w:r>
      <w:r w:rsidR="009703A8" w:rsidRPr="00033E65">
        <w:t>en seguir</w:t>
      </w:r>
      <w:r w:rsidR="00BD2C05" w:rsidRPr="00033E65">
        <w:t xml:space="preserve"> desmejorando la espera de la resolución de los expedientes judiciales</w:t>
      </w:r>
      <w:r w:rsidR="00446CEF" w:rsidRPr="00033E65">
        <w:t>. Aspecto que también se debe considerar para la Sala Primera, ya que la reforma procesal también propone aumentar la entrada de asuntos a la Sala</w:t>
      </w:r>
      <w:r w:rsidR="006E25B5" w:rsidRPr="00033E65">
        <w:t xml:space="preserve">, sin embargo, sus plazos de respuesta son sumamente altos, en comparación con asuntos que hoy atiende el Tribunal, por lo que también se </w:t>
      </w:r>
      <w:r w:rsidR="002B7427" w:rsidRPr="00033E65">
        <w:t>prevé</w:t>
      </w:r>
      <w:r w:rsidR="006E25B5" w:rsidRPr="00033E65">
        <w:t xml:space="preserve"> una desmejora en el servicio, al no tener la Sala Primera la capacidad operativa para atender es</w:t>
      </w:r>
      <w:r w:rsidR="00FD2848" w:rsidRPr="00033E65">
        <w:t>te incremento</w:t>
      </w:r>
      <w:r w:rsidRPr="00033E65">
        <w:t>, por lo que en este plazo de vacancia se deberá trabajar en todos los aspectos mencionados.</w:t>
      </w:r>
    </w:p>
    <w:p w14:paraId="705C8C58" w14:textId="77777777" w:rsidR="008636D6" w:rsidRPr="00033E65" w:rsidRDefault="008636D6" w:rsidP="00B43736"/>
    <w:p w14:paraId="7E777543" w14:textId="1E78C518" w:rsidR="008636D6" w:rsidRDefault="00EC5306" w:rsidP="00663318">
      <w:pPr>
        <w:pStyle w:val="Titulo3"/>
        <w:numPr>
          <w:ilvl w:val="0"/>
          <w:numId w:val="0"/>
        </w:numPr>
        <w:ind w:left="720" w:hanging="720"/>
      </w:pPr>
      <w:bookmarkStart w:id="240" w:name="_Toc132639580"/>
      <w:r>
        <w:t>20</w:t>
      </w:r>
      <w:r w:rsidR="00663318">
        <w:t xml:space="preserve">.1.1 </w:t>
      </w:r>
      <w:r w:rsidR="008636D6" w:rsidRPr="00033E65">
        <w:t>Recurso Humano</w:t>
      </w:r>
      <w:bookmarkEnd w:id="240"/>
    </w:p>
    <w:p w14:paraId="47DA9941" w14:textId="77777777" w:rsidR="008636D6" w:rsidRPr="00033E65" w:rsidRDefault="008636D6" w:rsidP="008636D6">
      <w:r w:rsidRPr="00033E65">
        <w:t xml:space="preserve">De acuerdo con el análisis de las cargas de trabajo de los despachos abordados, los antecedentes de los informes de presupuesto de los períodos anteriores y demás gestiones presentadas para esta materia, se determina la siguiente necesidad de recurso humano al momento: </w:t>
      </w:r>
    </w:p>
    <w:p w14:paraId="28362DA7" w14:textId="77777777" w:rsidR="008636D6" w:rsidRPr="00033E65" w:rsidRDefault="008636D6" w:rsidP="008636D6">
      <w:pPr>
        <w:pStyle w:val="Prrafodelista"/>
        <w:numPr>
          <w:ilvl w:val="0"/>
          <w:numId w:val="47"/>
        </w:numPr>
      </w:pPr>
      <w:r w:rsidRPr="00033E65">
        <w:t xml:space="preserve">Especialización de la materia agraria en el Cantón de Upala con una estructura mínima reforzada en el Juzgado Mixto conformada por dos (2) plazas de Jueza o Juez (una (1) de esta ya se tiene con materia Agraria y la otra sería plaza nueva ordinaria para materia Agraria).  </w:t>
      </w:r>
    </w:p>
    <w:p w14:paraId="41822DBE" w14:textId="77777777" w:rsidR="008636D6" w:rsidRPr="00033E65" w:rsidRDefault="008636D6" w:rsidP="008636D6">
      <w:pPr>
        <w:pStyle w:val="Prrafodelista"/>
      </w:pPr>
    </w:p>
    <w:p w14:paraId="3A21B634" w14:textId="77777777" w:rsidR="008636D6" w:rsidRPr="00033E65" w:rsidRDefault="008636D6" w:rsidP="008636D6">
      <w:pPr>
        <w:pStyle w:val="Prrafodelista"/>
        <w:numPr>
          <w:ilvl w:val="0"/>
          <w:numId w:val="47"/>
        </w:numPr>
        <w:rPr>
          <w:szCs w:val="22"/>
          <w:lang w:val="es-ES_tradnl"/>
        </w:rPr>
      </w:pPr>
      <w:r w:rsidRPr="00033E65">
        <w:rPr>
          <w:szCs w:val="22"/>
          <w:lang w:val="es-ES_tradnl"/>
        </w:rPr>
        <w:t xml:space="preserve">La reasignación de cambio de categoría de las siete plazas del Tribunal Agrario, categoría de Juez 4 a Juez 5, lo cual tendría un impacto económico de </w:t>
      </w:r>
      <w:r w:rsidRPr="00033E65">
        <w:rPr>
          <w:rFonts w:ascii="Times New Roman" w:hAnsi="Times New Roman"/>
          <w:color w:val="000000"/>
          <w:szCs w:val="22"/>
          <w:lang w:eastAsia="es-CR"/>
        </w:rPr>
        <w:t>₡</w:t>
      </w:r>
      <w:r w:rsidRPr="00033E65">
        <w:rPr>
          <w:szCs w:val="22"/>
          <w:lang w:val="es-ES_tradnl"/>
        </w:rPr>
        <w:t>49.287.000.Tomando nota oficio del N°0021-TA-2022 del 09 de marzo de presente año, el Dr. Enrique Ulate Chacón, Coordinador del Tribunal Agrario, en el cual solicita las recalificaciones las plazas de los jueces y juezas del Tribunal Agrario, pasando de categoría 4 a categoría 5, en acuerdo del Consejo Superior del Poder Judicial, tomado en sesión N° 93-2021 celebrada el 28 de octubre del 2021, artículo XXIIII que dice: “Acoger en todos sus extremos el acuerdo tomado por el Consejo de Personal en sesión ordinaria N° 16-2021 celebrada el 19 de octubre de 2021, artículo VII, comunicado por la máster Roxana Arrieta Meléndez, Directora interina de Gestión Humana, mediante oficio N° PJ-DGH-CP-116-2021 del 20 de octubre de 2021, relacionado con los perfiles competenciales producto de la Reforma Procesal Agraria, en consecuencia avalar: 1.) La reasignación de los puestos números 365688, 102139, 102142, 365687, 102141, 96488 y 102140; todos con una clasificación y valoración de Juez 4, al nivel de Juez 5; ya que del análisis realizado se determina que corresponde realizar el ajuste de orden técnico, las cuales regirán a partir del 28 de febrero del 2023.</w:t>
      </w:r>
    </w:p>
    <w:p w14:paraId="3A57BD1C" w14:textId="77777777" w:rsidR="008636D6" w:rsidRPr="00033E65" w:rsidRDefault="008636D6" w:rsidP="008636D6">
      <w:pPr>
        <w:pStyle w:val="Prrafodelista"/>
        <w:rPr>
          <w:szCs w:val="22"/>
          <w:lang w:val="es-ES_tradnl"/>
        </w:rPr>
      </w:pPr>
    </w:p>
    <w:p w14:paraId="52FEBB4E" w14:textId="77777777" w:rsidR="008636D6" w:rsidRPr="00033E65" w:rsidRDefault="008636D6" w:rsidP="008636D6">
      <w:pPr>
        <w:pStyle w:val="Prrafodelista"/>
        <w:numPr>
          <w:ilvl w:val="0"/>
          <w:numId w:val="47"/>
        </w:numPr>
      </w:pPr>
      <w:r w:rsidRPr="00033E65">
        <w:t>La asignación de cuatro plazas extraordinarias de Jueza o Juez 3 para ejecutar los planes de trabajo en los despachos que atienden materia Agraria, plazas que estarán a cargo del Centro de Apoyo, Coordinación y Mejoramiento de la Función Jurisdiccional.</w:t>
      </w:r>
    </w:p>
    <w:p w14:paraId="11647AE7" w14:textId="77777777" w:rsidR="008636D6" w:rsidRPr="00033E65" w:rsidRDefault="008636D6" w:rsidP="008636D6"/>
    <w:p w14:paraId="56CBA20B" w14:textId="77777777" w:rsidR="008636D6" w:rsidRPr="00033E65" w:rsidRDefault="008636D6" w:rsidP="008636D6">
      <w:pPr>
        <w:pStyle w:val="Prrafodelista"/>
        <w:numPr>
          <w:ilvl w:val="0"/>
          <w:numId w:val="47"/>
        </w:numPr>
      </w:pPr>
      <w:r w:rsidRPr="00033E65">
        <w:t>Reforzamiento con choferes en las Administraciones de Puntarenas, Goicoechea, Alajuela, San Ramón, Cartago y Corredores, las cuales contarán este año con un vehículo nuevo, en atención a la recomendación del informe 428-PLA-RH-MI-2021. Mediante el oficio N° 616-DE-2022 del 15 de febrero de 2022, de la Dirección Ejecutiva, entre otra información, solicitan choferes para las zonas de Puntarenas, Goicoechea, Alajuela, San Ramón, Cartago y Corredores, las cuales cuentan desde el 2022 con un vehículo nuevo, en atención a la recomendación del informe 428-PLA-RH-MI-2021.</w:t>
      </w:r>
    </w:p>
    <w:p w14:paraId="5D146DB1" w14:textId="77777777" w:rsidR="008636D6" w:rsidRPr="00033E65" w:rsidRDefault="008636D6" w:rsidP="008636D6">
      <w:pPr>
        <w:pStyle w:val="Prrafodelista"/>
      </w:pPr>
    </w:p>
    <w:p w14:paraId="3537E773" w14:textId="7A630DB3" w:rsidR="00217FD2" w:rsidRDefault="00217FD2" w:rsidP="00217FD2">
      <w:pPr>
        <w:pStyle w:val="Prrafodelista"/>
        <w:numPr>
          <w:ilvl w:val="0"/>
          <w:numId w:val="47"/>
        </w:numPr>
        <w:rPr>
          <w:color w:val="000000"/>
          <w:szCs w:val="22"/>
        </w:rPr>
      </w:pPr>
      <w:r>
        <w:t xml:space="preserve">Defensa Pública: en cuanto a </w:t>
      </w:r>
      <w:r w:rsidRPr="00624403">
        <w:rPr>
          <w:szCs w:val="22"/>
        </w:rPr>
        <w:t>la labor de manejo, registro, control contable, presupuestario y ejecución de los recursos que genere el Código Procesal Agrario</w:t>
      </w:r>
      <w:r>
        <w:rPr>
          <w:szCs w:val="22"/>
        </w:rPr>
        <w:t>, según lo establecido en el artículo 47, y según lo identificado en el e</w:t>
      </w:r>
      <w:r w:rsidRPr="0043490A">
        <w:rPr>
          <w:color w:val="000000"/>
          <w:szCs w:val="22"/>
        </w:rPr>
        <w:t>studio</w:t>
      </w:r>
      <w:r>
        <w:rPr>
          <w:color w:val="000000"/>
          <w:szCs w:val="22"/>
        </w:rPr>
        <w:t xml:space="preserve"> que realiza la Dirección de Planificación </w:t>
      </w:r>
      <w:r w:rsidRPr="0043490A">
        <w:rPr>
          <w:color w:val="000000"/>
          <w:szCs w:val="22"/>
        </w:rPr>
        <w:t xml:space="preserve">en la Administración de la Defensa Pública se ha evidenciado que a la fecha dicha oficina carece del personal necesario para realizar las funciones que le corresponden, </w:t>
      </w:r>
      <w:r>
        <w:rPr>
          <w:color w:val="000000"/>
          <w:szCs w:val="22"/>
        </w:rPr>
        <w:t xml:space="preserve">como parte de este análisis es que se evidencia la necesidad de fortalecer esta área con un recurso adicional, considerando que con el nuevo código procesal deberá asumir las labores señaladas previamente ahora en la materia agraria. En virtud de lo anterior se tendría la siguiente necesidad: </w:t>
      </w:r>
    </w:p>
    <w:p w14:paraId="3CB6EF29" w14:textId="77777777" w:rsidR="00217FD2" w:rsidRDefault="00217FD2" w:rsidP="00217FD2">
      <w:pPr>
        <w:ind w:right="261"/>
        <w:rPr>
          <w:color w:val="000000"/>
          <w:szCs w:val="22"/>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15"/>
        <w:gridCol w:w="1128"/>
        <w:gridCol w:w="1207"/>
        <w:gridCol w:w="1561"/>
        <w:gridCol w:w="1319"/>
        <w:gridCol w:w="2846"/>
      </w:tblGrid>
      <w:tr w:rsidR="00217FD2" w:rsidRPr="0006786B" w14:paraId="19E27928" w14:textId="77777777">
        <w:trPr>
          <w:trHeight w:val="658"/>
          <w:jc w:val="center"/>
        </w:trPr>
        <w:tc>
          <w:tcPr>
            <w:tcW w:w="1715" w:type="dxa"/>
            <w:shd w:val="clear" w:color="auto" w:fill="F2F2F2" w:themeFill="background1" w:themeFillShade="F2"/>
            <w:vAlign w:val="center"/>
            <w:hideMark/>
          </w:tcPr>
          <w:p w14:paraId="5101BD34" w14:textId="77777777" w:rsidR="00217FD2" w:rsidRPr="00624403" w:rsidRDefault="00217FD2">
            <w:pPr>
              <w:spacing w:before="0" w:after="0"/>
              <w:jc w:val="center"/>
              <w:rPr>
                <w:rFonts w:cs="Arial"/>
                <w:b/>
                <w:bCs/>
                <w:szCs w:val="22"/>
                <w:lang w:eastAsia="es-CR"/>
              </w:rPr>
            </w:pPr>
            <w:r>
              <w:rPr>
                <w:rFonts w:cs="Arial"/>
                <w:b/>
                <w:bCs/>
                <w:szCs w:val="22"/>
                <w:lang w:eastAsia="es-CR"/>
              </w:rPr>
              <w:t>Puesto</w:t>
            </w:r>
          </w:p>
        </w:tc>
        <w:tc>
          <w:tcPr>
            <w:tcW w:w="1128" w:type="dxa"/>
            <w:shd w:val="clear" w:color="auto" w:fill="F2F2F2" w:themeFill="background1" w:themeFillShade="F2"/>
            <w:vAlign w:val="center"/>
          </w:tcPr>
          <w:p w14:paraId="4AC44E67" w14:textId="77777777" w:rsidR="00217FD2" w:rsidRPr="00624403" w:rsidRDefault="00217FD2">
            <w:pPr>
              <w:spacing w:before="0" w:after="0"/>
              <w:jc w:val="center"/>
              <w:rPr>
                <w:rFonts w:cs="Arial"/>
                <w:b/>
                <w:bCs/>
                <w:szCs w:val="22"/>
                <w:lang w:eastAsia="es-CR"/>
              </w:rPr>
            </w:pPr>
            <w:r w:rsidRPr="00624403">
              <w:rPr>
                <w:rFonts w:cs="Arial"/>
                <w:b/>
                <w:bCs/>
                <w:szCs w:val="22"/>
                <w:lang w:eastAsia="es-CR"/>
              </w:rPr>
              <w:t>Cantidad</w:t>
            </w:r>
          </w:p>
        </w:tc>
        <w:tc>
          <w:tcPr>
            <w:tcW w:w="1207" w:type="dxa"/>
            <w:shd w:val="clear" w:color="auto" w:fill="F2F2F2" w:themeFill="background1" w:themeFillShade="F2"/>
            <w:vAlign w:val="center"/>
          </w:tcPr>
          <w:p w14:paraId="6800AF70" w14:textId="77777777" w:rsidR="00217FD2" w:rsidRPr="00624403" w:rsidRDefault="00217FD2">
            <w:pPr>
              <w:spacing w:before="0" w:after="0"/>
              <w:jc w:val="center"/>
              <w:rPr>
                <w:rFonts w:cs="Arial"/>
                <w:b/>
                <w:bCs/>
                <w:szCs w:val="22"/>
                <w:lang w:eastAsia="es-CR"/>
              </w:rPr>
            </w:pPr>
            <w:r w:rsidRPr="00624403">
              <w:rPr>
                <w:rFonts w:cs="Arial"/>
                <w:b/>
                <w:bCs/>
                <w:szCs w:val="22"/>
                <w:lang w:eastAsia="es-CR"/>
              </w:rPr>
              <w:t>Tiempo</w:t>
            </w:r>
          </w:p>
        </w:tc>
        <w:tc>
          <w:tcPr>
            <w:tcW w:w="1561" w:type="dxa"/>
            <w:shd w:val="clear" w:color="auto" w:fill="F2F2F2" w:themeFill="background1" w:themeFillShade="F2"/>
            <w:vAlign w:val="center"/>
          </w:tcPr>
          <w:p w14:paraId="7D575CB6" w14:textId="77777777" w:rsidR="00217FD2" w:rsidRPr="00624403" w:rsidRDefault="00217FD2">
            <w:pPr>
              <w:spacing w:before="0" w:after="0"/>
              <w:jc w:val="center"/>
              <w:rPr>
                <w:rFonts w:cs="Arial"/>
                <w:b/>
                <w:bCs/>
                <w:szCs w:val="22"/>
                <w:lang w:eastAsia="es-CR"/>
              </w:rPr>
            </w:pPr>
            <w:r>
              <w:rPr>
                <w:rFonts w:cs="Arial"/>
                <w:b/>
                <w:bCs/>
                <w:szCs w:val="22"/>
                <w:lang w:eastAsia="es-CR"/>
              </w:rPr>
              <w:t>Condición de la plaza</w:t>
            </w:r>
          </w:p>
        </w:tc>
        <w:tc>
          <w:tcPr>
            <w:tcW w:w="1319" w:type="dxa"/>
            <w:shd w:val="clear" w:color="auto" w:fill="F2F2F2" w:themeFill="background1" w:themeFillShade="F2"/>
            <w:vAlign w:val="center"/>
            <w:hideMark/>
          </w:tcPr>
          <w:p w14:paraId="1B8CAA14" w14:textId="77777777" w:rsidR="00217FD2" w:rsidRPr="00624403" w:rsidRDefault="00217FD2">
            <w:pPr>
              <w:spacing w:before="0" w:after="0"/>
              <w:jc w:val="center"/>
              <w:rPr>
                <w:rFonts w:cs="Arial"/>
                <w:b/>
                <w:bCs/>
                <w:szCs w:val="22"/>
                <w:lang w:eastAsia="es-CR"/>
              </w:rPr>
            </w:pPr>
            <w:r>
              <w:rPr>
                <w:rFonts w:cs="Arial"/>
                <w:b/>
                <w:bCs/>
                <w:szCs w:val="22"/>
                <w:lang w:eastAsia="es-CR"/>
              </w:rPr>
              <w:t>Costo anual</w:t>
            </w:r>
          </w:p>
        </w:tc>
        <w:tc>
          <w:tcPr>
            <w:tcW w:w="2846" w:type="dxa"/>
            <w:shd w:val="clear" w:color="auto" w:fill="F2F2F2" w:themeFill="background1" w:themeFillShade="F2"/>
            <w:vAlign w:val="center"/>
          </w:tcPr>
          <w:p w14:paraId="7E6593C2" w14:textId="77777777" w:rsidR="00217FD2" w:rsidRDefault="00217FD2">
            <w:pPr>
              <w:spacing w:before="0" w:after="0"/>
              <w:jc w:val="center"/>
              <w:rPr>
                <w:rFonts w:cs="Arial"/>
                <w:b/>
                <w:bCs/>
                <w:szCs w:val="22"/>
                <w:lang w:eastAsia="es-CR"/>
              </w:rPr>
            </w:pPr>
            <w:r>
              <w:rPr>
                <w:rFonts w:cs="Arial"/>
                <w:b/>
                <w:bCs/>
                <w:szCs w:val="22"/>
                <w:lang w:eastAsia="es-CR"/>
              </w:rPr>
              <w:t>Observaciones</w:t>
            </w:r>
          </w:p>
        </w:tc>
      </w:tr>
      <w:tr w:rsidR="00217FD2" w:rsidRPr="0006786B" w14:paraId="04A32039" w14:textId="77777777">
        <w:trPr>
          <w:trHeight w:val="658"/>
          <w:jc w:val="center"/>
        </w:trPr>
        <w:tc>
          <w:tcPr>
            <w:tcW w:w="1715" w:type="dxa"/>
            <w:shd w:val="clear" w:color="auto" w:fill="auto"/>
            <w:vAlign w:val="center"/>
            <w:hideMark/>
          </w:tcPr>
          <w:p w14:paraId="204EBACA" w14:textId="77777777" w:rsidR="00217FD2" w:rsidRPr="00624403" w:rsidRDefault="00217FD2">
            <w:pPr>
              <w:spacing w:before="0" w:after="0"/>
              <w:jc w:val="left"/>
              <w:rPr>
                <w:rFonts w:cs="Arial"/>
                <w:szCs w:val="22"/>
                <w:lang w:eastAsia="es-CR"/>
              </w:rPr>
            </w:pPr>
            <w:r w:rsidRPr="00624403">
              <w:rPr>
                <w:rFonts w:cs="Arial"/>
                <w:szCs w:val="22"/>
                <w:lang w:eastAsia="es-CR"/>
              </w:rPr>
              <w:t xml:space="preserve">PROFESIONAL 1 </w:t>
            </w:r>
          </w:p>
        </w:tc>
        <w:tc>
          <w:tcPr>
            <w:tcW w:w="1128" w:type="dxa"/>
            <w:vAlign w:val="center"/>
          </w:tcPr>
          <w:p w14:paraId="0760A743" w14:textId="77777777" w:rsidR="00217FD2" w:rsidRPr="00624403" w:rsidRDefault="00217FD2">
            <w:pPr>
              <w:spacing w:before="0" w:after="0"/>
              <w:jc w:val="center"/>
              <w:rPr>
                <w:rFonts w:cs="Arial"/>
                <w:szCs w:val="22"/>
                <w:lang w:eastAsia="es-CR"/>
              </w:rPr>
            </w:pPr>
            <w:r w:rsidRPr="00624403">
              <w:rPr>
                <w:rFonts w:cs="Arial"/>
                <w:szCs w:val="22"/>
                <w:lang w:eastAsia="es-CR"/>
              </w:rPr>
              <w:t>1</w:t>
            </w:r>
          </w:p>
        </w:tc>
        <w:tc>
          <w:tcPr>
            <w:tcW w:w="1207" w:type="dxa"/>
            <w:vAlign w:val="center"/>
          </w:tcPr>
          <w:p w14:paraId="21FD5A95" w14:textId="77777777" w:rsidR="00217FD2" w:rsidRPr="00624403" w:rsidRDefault="00217FD2">
            <w:pPr>
              <w:spacing w:before="0" w:after="0"/>
              <w:jc w:val="center"/>
              <w:rPr>
                <w:rFonts w:cs="Arial"/>
                <w:szCs w:val="22"/>
                <w:lang w:eastAsia="es-CR"/>
              </w:rPr>
            </w:pPr>
            <w:r>
              <w:rPr>
                <w:rFonts w:cs="Arial"/>
                <w:szCs w:val="22"/>
                <w:lang w:eastAsia="es-CR"/>
              </w:rPr>
              <w:t>12 meses</w:t>
            </w:r>
          </w:p>
        </w:tc>
        <w:tc>
          <w:tcPr>
            <w:tcW w:w="1561" w:type="dxa"/>
            <w:vAlign w:val="center"/>
          </w:tcPr>
          <w:p w14:paraId="0F88C42C" w14:textId="459CFF16" w:rsidR="00217FD2" w:rsidRPr="00624403" w:rsidRDefault="004D349A">
            <w:pPr>
              <w:spacing w:before="0" w:after="0"/>
              <w:jc w:val="center"/>
              <w:rPr>
                <w:rFonts w:cs="Arial"/>
                <w:szCs w:val="22"/>
                <w:lang w:eastAsia="es-CR"/>
              </w:rPr>
            </w:pPr>
            <w:r>
              <w:rPr>
                <w:rFonts w:cs="Arial"/>
                <w:szCs w:val="22"/>
                <w:lang w:eastAsia="es-CR"/>
              </w:rPr>
              <w:t>Ordinaria</w:t>
            </w:r>
          </w:p>
        </w:tc>
        <w:tc>
          <w:tcPr>
            <w:tcW w:w="1319" w:type="dxa"/>
            <w:shd w:val="clear" w:color="auto" w:fill="auto"/>
            <w:vAlign w:val="center"/>
            <w:hideMark/>
          </w:tcPr>
          <w:p w14:paraId="0CDA8EC0" w14:textId="77777777" w:rsidR="00217FD2" w:rsidRPr="00624403" w:rsidRDefault="00217FD2">
            <w:pPr>
              <w:spacing w:before="0" w:after="0"/>
              <w:jc w:val="right"/>
              <w:rPr>
                <w:rFonts w:cs="Arial"/>
                <w:szCs w:val="22"/>
                <w:lang w:eastAsia="es-CR"/>
              </w:rPr>
            </w:pPr>
            <w:r w:rsidRPr="00624403">
              <w:rPr>
                <w:rFonts w:cs="Arial"/>
                <w:szCs w:val="22"/>
                <w:lang w:eastAsia="es-CR"/>
              </w:rPr>
              <w:t>25</w:t>
            </w:r>
            <w:r>
              <w:rPr>
                <w:rFonts w:cs="Arial"/>
                <w:szCs w:val="22"/>
                <w:lang w:eastAsia="es-CR"/>
              </w:rPr>
              <w:t> </w:t>
            </w:r>
            <w:r w:rsidRPr="00624403">
              <w:rPr>
                <w:rFonts w:cs="Arial"/>
                <w:szCs w:val="22"/>
                <w:lang w:eastAsia="es-CR"/>
              </w:rPr>
              <w:t>913</w:t>
            </w:r>
            <w:r>
              <w:rPr>
                <w:rFonts w:cs="Arial"/>
                <w:szCs w:val="22"/>
                <w:lang w:eastAsia="es-CR"/>
              </w:rPr>
              <w:t xml:space="preserve"> 000</w:t>
            </w:r>
          </w:p>
        </w:tc>
        <w:tc>
          <w:tcPr>
            <w:tcW w:w="2846" w:type="dxa"/>
          </w:tcPr>
          <w:p w14:paraId="37A30928" w14:textId="77777777" w:rsidR="00217FD2" w:rsidRPr="00624403" w:rsidRDefault="00217FD2">
            <w:pPr>
              <w:spacing w:before="0" w:after="0"/>
              <w:rPr>
                <w:rFonts w:cs="Arial"/>
                <w:szCs w:val="22"/>
                <w:lang w:eastAsia="es-CR"/>
              </w:rPr>
            </w:pPr>
            <w:r>
              <w:rPr>
                <w:rFonts w:cs="Arial"/>
                <w:szCs w:val="22"/>
                <w:lang w:eastAsia="es-CR"/>
              </w:rPr>
              <w:t>Profesional administrativo 1 Contador para manejo de fondos de la Defensa Pública por concepto de costas (</w:t>
            </w:r>
            <w:r>
              <w:rPr>
                <w:szCs w:val="22"/>
              </w:rPr>
              <w:t>A</w:t>
            </w:r>
            <w:r w:rsidRPr="00033E65">
              <w:rPr>
                <w:szCs w:val="22"/>
              </w:rPr>
              <w:t>rtículo 47 del Código Procesal Agrario</w:t>
            </w:r>
            <w:r>
              <w:rPr>
                <w:szCs w:val="22"/>
              </w:rPr>
              <w:t>)</w:t>
            </w:r>
          </w:p>
        </w:tc>
      </w:tr>
    </w:tbl>
    <w:p w14:paraId="536D323F" w14:textId="77777777" w:rsidR="00217FD2" w:rsidRPr="00033E65" w:rsidRDefault="00217FD2" w:rsidP="00924F24"/>
    <w:p w14:paraId="4CAFB0EC" w14:textId="5F57D769" w:rsidR="008636D6" w:rsidRPr="00033E65" w:rsidRDefault="00EC5306" w:rsidP="00924F24">
      <w:pPr>
        <w:pStyle w:val="Titulo3"/>
        <w:numPr>
          <w:ilvl w:val="0"/>
          <w:numId w:val="0"/>
        </w:numPr>
      </w:pPr>
      <w:bookmarkStart w:id="241" w:name="_Toc132639581"/>
      <w:r>
        <w:t>20</w:t>
      </w:r>
      <w:r w:rsidR="00663318">
        <w:t xml:space="preserve">.1.2 </w:t>
      </w:r>
      <w:r w:rsidR="008636D6" w:rsidRPr="00033E65">
        <w:t>Gasto Variable</w:t>
      </w:r>
      <w:bookmarkEnd w:id="241"/>
    </w:p>
    <w:p w14:paraId="0B2332AB" w14:textId="77777777" w:rsidR="008636D6" w:rsidRPr="00033E65" w:rsidRDefault="008636D6" w:rsidP="008636D6">
      <w:r w:rsidRPr="00033E65">
        <w:t xml:space="preserve">Con respecto al gasto variable se detecta como necesidad en el presente informe y como antecedente de los informes de presupuesto de períodos anteriores, se definen los siguientes:  </w:t>
      </w:r>
    </w:p>
    <w:p w14:paraId="605B70EF" w14:textId="77777777" w:rsidR="008636D6" w:rsidRPr="00033E65" w:rsidRDefault="008636D6" w:rsidP="008636D6"/>
    <w:p w14:paraId="2F085E1C" w14:textId="77777777" w:rsidR="008636D6" w:rsidRPr="00033E65" w:rsidRDefault="008636D6" w:rsidP="008636D6">
      <w:pPr>
        <w:pStyle w:val="Prrafodelista"/>
        <w:numPr>
          <w:ilvl w:val="0"/>
          <w:numId w:val="48"/>
        </w:numPr>
      </w:pPr>
      <w:r w:rsidRPr="00033E65">
        <w:t>Reforzar con un vehículo, a las Administraciones Regionales de Limón, Turrialba, Pérez Zeledón, Pococí y San Carlos, asimismo con sus accesorios necesarios tales como lona, winch, instalación de winch, cadenas para llantas del vehículo, combustible, linga, servicio GPS, dispositivo de Peaje electrónico, mantenimiento de dispositivo de peaje, transporte dentro del país y cubre asientos.</w:t>
      </w:r>
    </w:p>
    <w:p w14:paraId="6F0F377A" w14:textId="77777777" w:rsidR="008636D6" w:rsidRPr="00033E65" w:rsidRDefault="008636D6" w:rsidP="008636D6">
      <w:pPr>
        <w:pStyle w:val="Prrafodelista"/>
        <w:numPr>
          <w:ilvl w:val="0"/>
          <w:numId w:val="48"/>
        </w:numPr>
      </w:pPr>
      <w:r w:rsidRPr="00033E65">
        <w:t>Equipo de cómputo para ser utilizado por el personal adicional que se destaca en el punto anterior.</w:t>
      </w:r>
    </w:p>
    <w:p w14:paraId="35D04552" w14:textId="77777777" w:rsidR="008636D6" w:rsidRPr="00033E65" w:rsidRDefault="008636D6" w:rsidP="008636D6">
      <w:pPr>
        <w:pStyle w:val="Prrafodelista"/>
        <w:numPr>
          <w:ilvl w:val="0"/>
          <w:numId w:val="48"/>
        </w:numPr>
      </w:pPr>
      <w:r w:rsidRPr="00033E65">
        <w:t>Mobiliario para ser utilizado por el personal adicional que se destaca en el punto anterior.</w:t>
      </w:r>
    </w:p>
    <w:p w14:paraId="12003A53" w14:textId="77777777" w:rsidR="008636D6" w:rsidRPr="00033E65" w:rsidRDefault="008636D6" w:rsidP="008636D6">
      <w:pPr>
        <w:pStyle w:val="Prrafodelista"/>
        <w:numPr>
          <w:ilvl w:val="0"/>
          <w:numId w:val="48"/>
        </w:numPr>
      </w:pPr>
      <w:r w:rsidRPr="00033E65">
        <w:t>Uniformes, capas, bloqueador solar, repelente, mangas protectoras y botas de hule para los choferes destacados en el punto anterior.</w:t>
      </w:r>
    </w:p>
    <w:p w14:paraId="2DCA4C55" w14:textId="77777777" w:rsidR="008636D6" w:rsidRPr="00033E65" w:rsidRDefault="008636D6" w:rsidP="008636D6">
      <w:pPr>
        <w:pStyle w:val="Prrafodelista"/>
        <w:numPr>
          <w:ilvl w:val="0"/>
          <w:numId w:val="48"/>
        </w:numPr>
      </w:pPr>
      <w:r w:rsidRPr="00033E65">
        <w:t>Viáticos para los choferes.</w:t>
      </w:r>
    </w:p>
    <w:p w14:paraId="44DF2BF9" w14:textId="77777777" w:rsidR="008636D6" w:rsidRPr="00033E65" w:rsidRDefault="008636D6" w:rsidP="008636D6">
      <w:pPr>
        <w:pStyle w:val="Prrafodelista"/>
        <w:numPr>
          <w:ilvl w:val="0"/>
          <w:numId w:val="48"/>
        </w:numPr>
      </w:pPr>
      <w:r w:rsidRPr="00033E65">
        <w:t>Aspectos relacionados al mantenimiento de vehículos tales como, llantas, repuestos, mantenimiento correctivo, baterías para carros, lavado de carros y reparación de llantas.</w:t>
      </w:r>
    </w:p>
    <w:p w14:paraId="64BDD4A6" w14:textId="1C54C0F2" w:rsidR="00EA7608" w:rsidRPr="00033E65" w:rsidRDefault="00EA7608" w:rsidP="008636D6">
      <w:pPr>
        <w:pStyle w:val="Prrafodelista"/>
        <w:numPr>
          <w:ilvl w:val="0"/>
          <w:numId w:val="48"/>
        </w:numPr>
      </w:pPr>
      <w:r>
        <w:t xml:space="preserve">Debido a la propuesta de creación de la plaza </w:t>
      </w:r>
      <w:r w:rsidR="0085042A">
        <w:t>de profesional 1 a destacarse en la Administración de la Defensa Pública, se adicionan los gastos variables asociados a este recurso:</w:t>
      </w:r>
    </w:p>
    <w:p w14:paraId="40A6DA28" w14:textId="77777777" w:rsidR="008636D6" w:rsidRPr="00033E65" w:rsidRDefault="008636D6" w:rsidP="008636D6"/>
    <w:tbl>
      <w:tblPr>
        <w:tblW w:w="9223" w:type="dxa"/>
        <w:tblCellMar>
          <w:left w:w="70" w:type="dxa"/>
          <w:right w:w="70" w:type="dxa"/>
        </w:tblCellMar>
        <w:tblLook w:val="04A0" w:firstRow="1" w:lastRow="0" w:firstColumn="1" w:lastColumn="0" w:noHBand="0" w:noVBand="1"/>
      </w:tblPr>
      <w:tblGrid>
        <w:gridCol w:w="1265"/>
        <w:gridCol w:w="874"/>
        <w:gridCol w:w="3238"/>
        <w:gridCol w:w="1069"/>
        <w:gridCol w:w="1370"/>
        <w:gridCol w:w="6"/>
        <w:gridCol w:w="1249"/>
        <w:gridCol w:w="6"/>
        <w:gridCol w:w="140"/>
        <w:gridCol w:w="6"/>
      </w:tblGrid>
      <w:tr w:rsidR="008075D8" w:rsidRPr="008075D8" w14:paraId="0C0855FF" w14:textId="77777777" w:rsidTr="00A90544">
        <w:trPr>
          <w:gridAfter w:val="2"/>
          <w:wAfter w:w="146" w:type="dxa"/>
          <w:trHeight w:val="455"/>
        </w:trPr>
        <w:tc>
          <w:tcPr>
            <w:tcW w:w="12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908C95" w14:textId="77777777" w:rsidR="008075D8" w:rsidRPr="00A90544" w:rsidRDefault="008075D8" w:rsidP="008075D8">
            <w:pPr>
              <w:spacing w:before="0" w:after="0"/>
              <w:jc w:val="center"/>
              <w:rPr>
                <w:rFonts w:cs="Arial"/>
                <w:b/>
                <w:bCs/>
                <w:szCs w:val="22"/>
                <w:lang w:eastAsia="es-CR"/>
              </w:rPr>
            </w:pPr>
            <w:r w:rsidRPr="00A90544">
              <w:rPr>
                <w:rFonts w:cs="Arial"/>
                <w:b/>
                <w:bCs/>
                <w:szCs w:val="22"/>
                <w:lang w:eastAsia="es-CR"/>
              </w:rPr>
              <w:t>Subpartida</w:t>
            </w:r>
          </w:p>
        </w:tc>
        <w:tc>
          <w:tcPr>
            <w:tcW w:w="8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6DF9A3" w14:textId="77777777" w:rsidR="008075D8" w:rsidRPr="00A90544" w:rsidRDefault="008075D8" w:rsidP="008075D8">
            <w:pPr>
              <w:spacing w:before="0" w:after="0"/>
              <w:jc w:val="center"/>
              <w:rPr>
                <w:rFonts w:cs="Arial"/>
                <w:b/>
                <w:bCs/>
                <w:szCs w:val="22"/>
                <w:lang w:eastAsia="es-CR"/>
              </w:rPr>
            </w:pPr>
            <w:r w:rsidRPr="00A90544">
              <w:rPr>
                <w:rFonts w:cs="Arial"/>
                <w:b/>
                <w:bCs/>
                <w:szCs w:val="22"/>
                <w:lang w:eastAsia="es-CR"/>
              </w:rPr>
              <w:t>Código</w:t>
            </w:r>
          </w:p>
        </w:tc>
        <w:tc>
          <w:tcPr>
            <w:tcW w:w="32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0E9CF5" w14:textId="77777777" w:rsidR="008075D8" w:rsidRPr="00A90544" w:rsidRDefault="008075D8" w:rsidP="008075D8">
            <w:pPr>
              <w:spacing w:before="0" w:after="0"/>
              <w:jc w:val="center"/>
              <w:rPr>
                <w:rFonts w:cs="Arial"/>
                <w:b/>
                <w:bCs/>
                <w:szCs w:val="22"/>
                <w:lang w:eastAsia="es-CR"/>
              </w:rPr>
            </w:pPr>
            <w:r w:rsidRPr="00A90544">
              <w:rPr>
                <w:rFonts w:cs="Arial"/>
                <w:b/>
                <w:bCs/>
                <w:szCs w:val="22"/>
                <w:lang w:eastAsia="es-CR"/>
              </w:rPr>
              <w:t>Descripción</w:t>
            </w:r>
          </w:p>
        </w:tc>
        <w:tc>
          <w:tcPr>
            <w:tcW w:w="106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A84C6E" w14:textId="77777777" w:rsidR="008075D8" w:rsidRPr="00A90544" w:rsidRDefault="008075D8" w:rsidP="008075D8">
            <w:pPr>
              <w:spacing w:before="0" w:after="0"/>
              <w:jc w:val="center"/>
              <w:rPr>
                <w:rFonts w:cs="Arial"/>
                <w:b/>
                <w:bCs/>
                <w:szCs w:val="22"/>
                <w:lang w:eastAsia="es-CR"/>
              </w:rPr>
            </w:pPr>
            <w:r w:rsidRPr="00A90544">
              <w:rPr>
                <w:rFonts w:cs="Arial"/>
                <w:b/>
                <w:bCs/>
                <w:szCs w:val="22"/>
                <w:lang w:eastAsia="es-CR"/>
              </w:rPr>
              <w:t>Cantidad</w:t>
            </w:r>
          </w:p>
        </w:tc>
        <w:tc>
          <w:tcPr>
            <w:tcW w:w="137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88E13E" w14:textId="77777777" w:rsidR="008075D8" w:rsidRPr="00A90544" w:rsidRDefault="008075D8" w:rsidP="008075D8">
            <w:pPr>
              <w:spacing w:before="0" w:after="0"/>
              <w:jc w:val="center"/>
              <w:rPr>
                <w:rFonts w:cs="Arial"/>
                <w:b/>
                <w:bCs/>
                <w:szCs w:val="22"/>
                <w:lang w:eastAsia="es-CR"/>
              </w:rPr>
            </w:pPr>
            <w:r w:rsidRPr="00A90544">
              <w:rPr>
                <w:rFonts w:cs="Arial"/>
                <w:b/>
                <w:bCs/>
                <w:szCs w:val="22"/>
                <w:lang w:eastAsia="es-CR"/>
              </w:rPr>
              <w:t>Precio Unitario</w:t>
            </w:r>
          </w:p>
        </w:tc>
        <w:tc>
          <w:tcPr>
            <w:tcW w:w="125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35D3B9" w14:textId="77777777" w:rsidR="008075D8" w:rsidRPr="00A90544" w:rsidRDefault="008075D8" w:rsidP="008075D8">
            <w:pPr>
              <w:spacing w:before="0" w:after="0"/>
              <w:jc w:val="center"/>
              <w:rPr>
                <w:rFonts w:cs="Arial"/>
                <w:b/>
                <w:bCs/>
                <w:szCs w:val="22"/>
                <w:lang w:eastAsia="es-CR"/>
              </w:rPr>
            </w:pPr>
            <w:r w:rsidRPr="00A90544">
              <w:rPr>
                <w:rFonts w:cs="Arial"/>
                <w:b/>
                <w:bCs/>
                <w:szCs w:val="22"/>
                <w:lang w:eastAsia="es-CR"/>
              </w:rPr>
              <w:t>Costo Total</w:t>
            </w:r>
          </w:p>
        </w:tc>
      </w:tr>
      <w:tr w:rsidR="008075D8" w:rsidRPr="008075D8" w14:paraId="11B83890" w14:textId="77777777" w:rsidTr="00A90544">
        <w:trPr>
          <w:trHeight w:val="290"/>
        </w:trPr>
        <w:tc>
          <w:tcPr>
            <w:tcW w:w="1265" w:type="dxa"/>
            <w:vMerge/>
            <w:tcBorders>
              <w:top w:val="single" w:sz="4" w:space="0" w:color="auto"/>
              <w:left w:val="single" w:sz="8" w:space="0" w:color="000000"/>
              <w:bottom w:val="single" w:sz="4" w:space="0" w:color="auto"/>
              <w:right w:val="nil"/>
            </w:tcBorders>
            <w:vAlign w:val="center"/>
            <w:hideMark/>
          </w:tcPr>
          <w:p w14:paraId="36D7DFCB" w14:textId="77777777" w:rsidR="008075D8" w:rsidRPr="00A90544" w:rsidRDefault="008075D8" w:rsidP="008075D8">
            <w:pPr>
              <w:spacing w:before="0" w:after="0"/>
              <w:jc w:val="left"/>
              <w:rPr>
                <w:rFonts w:cs="Arial"/>
                <w:b/>
                <w:bCs/>
                <w:szCs w:val="22"/>
                <w:lang w:eastAsia="es-CR"/>
              </w:rPr>
            </w:pPr>
          </w:p>
        </w:tc>
        <w:tc>
          <w:tcPr>
            <w:tcW w:w="874" w:type="dxa"/>
            <w:vMerge/>
            <w:tcBorders>
              <w:top w:val="single" w:sz="4" w:space="0" w:color="auto"/>
              <w:left w:val="nil"/>
              <w:bottom w:val="single" w:sz="4" w:space="0" w:color="auto"/>
              <w:right w:val="nil"/>
            </w:tcBorders>
            <w:vAlign w:val="center"/>
            <w:hideMark/>
          </w:tcPr>
          <w:p w14:paraId="12B14584" w14:textId="77777777" w:rsidR="008075D8" w:rsidRPr="00A90544" w:rsidRDefault="008075D8" w:rsidP="008075D8">
            <w:pPr>
              <w:spacing w:before="0" w:after="0"/>
              <w:jc w:val="left"/>
              <w:rPr>
                <w:rFonts w:cs="Arial"/>
                <w:b/>
                <w:bCs/>
                <w:szCs w:val="22"/>
                <w:lang w:eastAsia="es-CR"/>
              </w:rPr>
            </w:pPr>
          </w:p>
        </w:tc>
        <w:tc>
          <w:tcPr>
            <w:tcW w:w="3238" w:type="dxa"/>
            <w:vMerge/>
            <w:tcBorders>
              <w:top w:val="single" w:sz="4" w:space="0" w:color="auto"/>
              <w:left w:val="nil"/>
              <w:bottom w:val="single" w:sz="4" w:space="0" w:color="auto"/>
              <w:right w:val="nil"/>
            </w:tcBorders>
            <w:vAlign w:val="center"/>
            <w:hideMark/>
          </w:tcPr>
          <w:p w14:paraId="35C49978" w14:textId="77777777" w:rsidR="008075D8" w:rsidRPr="00A90544" w:rsidRDefault="008075D8" w:rsidP="008075D8">
            <w:pPr>
              <w:spacing w:before="0" w:after="0"/>
              <w:jc w:val="left"/>
              <w:rPr>
                <w:rFonts w:cs="Arial"/>
                <w:b/>
                <w:bCs/>
                <w:szCs w:val="22"/>
                <w:lang w:eastAsia="es-CR"/>
              </w:rPr>
            </w:pPr>
          </w:p>
        </w:tc>
        <w:tc>
          <w:tcPr>
            <w:tcW w:w="1069" w:type="dxa"/>
            <w:vMerge/>
            <w:tcBorders>
              <w:top w:val="single" w:sz="4" w:space="0" w:color="auto"/>
              <w:left w:val="nil"/>
              <w:bottom w:val="single" w:sz="4" w:space="0" w:color="auto"/>
              <w:right w:val="nil"/>
            </w:tcBorders>
            <w:vAlign w:val="center"/>
            <w:hideMark/>
          </w:tcPr>
          <w:p w14:paraId="52405321" w14:textId="77777777" w:rsidR="008075D8" w:rsidRPr="00A90544" w:rsidRDefault="008075D8" w:rsidP="008075D8">
            <w:pPr>
              <w:spacing w:before="0" w:after="0"/>
              <w:jc w:val="left"/>
              <w:rPr>
                <w:rFonts w:cs="Arial"/>
                <w:b/>
                <w:bCs/>
                <w:szCs w:val="22"/>
                <w:lang w:eastAsia="es-CR"/>
              </w:rPr>
            </w:pPr>
          </w:p>
        </w:tc>
        <w:tc>
          <w:tcPr>
            <w:tcW w:w="1376" w:type="dxa"/>
            <w:gridSpan w:val="2"/>
            <w:vMerge/>
            <w:tcBorders>
              <w:top w:val="single" w:sz="4" w:space="0" w:color="auto"/>
              <w:left w:val="nil"/>
              <w:bottom w:val="single" w:sz="4" w:space="0" w:color="auto"/>
              <w:right w:val="nil"/>
            </w:tcBorders>
            <w:vAlign w:val="center"/>
            <w:hideMark/>
          </w:tcPr>
          <w:p w14:paraId="08C1FE38" w14:textId="77777777" w:rsidR="008075D8" w:rsidRPr="00A90544" w:rsidRDefault="008075D8" w:rsidP="008075D8">
            <w:pPr>
              <w:spacing w:before="0" w:after="0"/>
              <w:jc w:val="left"/>
              <w:rPr>
                <w:rFonts w:cs="Arial"/>
                <w:b/>
                <w:bCs/>
                <w:szCs w:val="22"/>
                <w:lang w:eastAsia="es-CR"/>
              </w:rPr>
            </w:pPr>
          </w:p>
        </w:tc>
        <w:tc>
          <w:tcPr>
            <w:tcW w:w="1255" w:type="dxa"/>
            <w:gridSpan w:val="2"/>
            <w:vMerge/>
            <w:tcBorders>
              <w:top w:val="single" w:sz="4" w:space="0" w:color="auto"/>
              <w:left w:val="nil"/>
              <w:bottom w:val="single" w:sz="4" w:space="0" w:color="auto"/>
              <w:right w:val="single" w:sz="8" w:space="0" w:color="000000"/>
            </w:tcBorders>
            <w:vAlign w:val="center"/>
            <w:hideMark/>
          </w:tcPr>
          <w:p w14:paraId="15426D08" w14:textId="77777777" w:rsidR="008075D8" w:rsidRPr="00A90544" w:rsidRDefault="008075D8" w:rsidP="008075D8">
            <w:pPr>
              <w:spacing w:before="0" w:after="0"/>
              <w:jc w:val="left"/>
              <w:rPr>
                <w:rFonts w:cs="Arial"/>
                <w:b/>
                <w:bCs/>
                <w:szCs w:val="22"/>
                <w:lang w:eastAsia="es-CR"/>
              </w:rPr>
            </w:pPr>
          </w:p>
        </w:tc>
        <w:tc>
          <w:tcPr>
            <w:tcW w:w="146" w:type="dxa"/>
            <w:gridSpan w:val="2"/>
            <w:tcBorders>
              <w:top w:val="nil"/>
              <w:left w:val="nil"/>
              <w:bottom w:val="nil"/>
              <w:right w:val="nil"/>
            </w:tcBorders>
            <w:shd w:val="clear" w:color="auto" w:fill="auto"/>
            <w:noWrap/>
            <w:vAlign w:val="bottom"/>
            <w:hideMark/>
          </w:tcPr>
          <w:p w14:paraId="305D98B6" w14:textId="77777777" w:rsidR="008075D8" w:rsidRPr="00A90544" w:rsidRDefault="008075D8" w:rsidP="008075D8">
            <w:pPr>
              <w:spacing w:before="0" w:after="0"/>
              <w:jc w:val="center"/>
              <w:rPr>
                <w:rFonts w:cs="Arial"/>
                <w:b/>
                <w:bCs/>
                <w:szCs w:val="22"/>
                <w:lang w:eastAsia="es-CR"/>
              </w:rPr>
            </w:pPr>
          </w:p>
        </w:tc>
      </w:tr>
      <w:tr w:rsidR="008075D8" w:rsidRPr="008075D8" w14:paraId="7C51B036" w14:textId="77777777" w:rsidTr="00A90544">
        <w:trPr>
          <w:trHeight w:val="330"/>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5EB9DD" w14:textId="77777777" w:rsidR="008075D8" w:rsidRPr="00A90544" w:rsidRDefault="008075D8" w:rsidP="008075D8">
            <w:pPr>
              <w:spacing w:before="0" w:after="0"/>
              <w:jc w:val="center"/>
              <w:rPr>
                <w:rFonts w:cs="Arial"/>
                <w:szCs w:val="22"/>
                <w:lang w:eastAsia="es-CR"/>
              </w:rPr>
            </w:pPr>
            <w:r w:rsidRPr="00A90544">
              <w:rPr>
                <w:rFonts w:cs="Arial"/>
                <w:szCs w:val="22"/>
                <w:lang w:eastAsia="es-CR"/>
              </w:rPr>
              <w:t>50105</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D2D0D" w14:textId="77777777" w:rsidR="008075D8" w:rsidRPr="00A90544" w:rsidRDefault="008075D8" w:rsidP="008075D8">
            <w:pPr>
              <w:spacing w:before="0" w:after="0"/>
              <w:jc w:val="center"/>
              <w:rPr>
                <w:rFonts w:cs="Arial"/>
                <w:szCs w:val="22"/>
                <w:lang w:eastAsia="es-CR"/>
              </w:rPr>
            </w:pPr>
            <w:r w:rsidRPr="00A90544">
              <w:rPr>
                <w:rFonts w:cs="Arial"/>
                <w:szCs w:val="22"/>
                <w:lang w:eastAsia="es-CR"/>
              </w:rPr>
              <w:t>19604</w:t>
            </w:r>
          </w:p>
        </w:tc>
        <w:tc>
          <w:tcPr>
            <w:tcW w:w="32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86166D" w14:textId="77777777" w:rsidR="008075D8" w:rsidRPr="00A90544" w:rsidRDefault="008075D8" w:rsidP="008075D8">
            <w:pPr>
              <w:spacing w:before="0" w:after="0"/>
              <w:jc w:val="left"/>
              <w:rPr>
                <w:rFonts w:cs="Arial"/>
                <w:szCs w:val="22"/>
                <w:lang w:eastAsia="es-CR"/>
              </w:rPr>
            </w:pPr>
            <w:r w:rsidRPr="00A90544">
              <w:rPr>
                <w:rFonts w:cs="Arial"/>
                <w:szCs w:val="22"/>
                <w:lang w:eastAsia="es-CR"/>
              </w:rPr>
              <w:t>Computadora</w:t>
            </w:r>
          </w:p>
        </w:tc>
        <w:tc>
          <w:tcPr>
            <w:tcW w:w="10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7311B" w14:textId="77777777" w:rsidR="008075D8" w:rsidRPr="00A90544" w:rsidRDefault="008075D8" w:rsidP="00D254BD">
            <w:pPr>
              <w:spacing w:before="0" w:after="0"/>
              <w:jc w:val="center"/>
              <w:rPr>
                <w:rFonts w:cs="Arial"/>
                <w:szCs w:val="22"/>
                <w:lang w:eastAsia="es-CR"/>
              </w:rPr>
            </w:pPr>
            <w:r w:rsidRPr="00A90544">
              <w:rPr>
                <w:rFonts w:cs="Arial"/>
                <w:szCs w:val="22"/>
                <w:lang w:eastAsia="es-CR"/>
              </w:rPr>
              <w:t>1</w:t>
            </w:r>
          </w:p>
        </w:tc>
        <w:tc>
          <w:tcPr>
            <w:tcW w:w="13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C3CD06" w14:textId="77777777" w:rsidR="008075D8" w:rsidRPr="00A90544" w:rsidRDefault="008075D8" w:rsidP="00D254BD">
            <w:pPr>
              <w:spacing w:before="0" w:after="0"/>
              <w:jc w:val="right"/>
              <w:rPr>
                <w:rFonts w:cs="Arial"/>
                <w:szCs w:val="22"/>
                <w:lang w:eastAsia="es-CR"/>
              </w:rPr>
            </w:pPr>
            <w:r w:rsidRPr="00A90544">
              <w:rPr>
                <w:rFonts w:cs="Arial"/>
                <w:szCs w:val="22"/>
                <w:lang w:eastAsia="es-CR"/>
              </w:rPr>
              <w:t>823 609,60</w:t>
            </w:r>
          </w:p>
        </w:tc>
        <w:tc>
          <w:tcPr>
            <w:tcW w:w="125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D2E75" w14:textId="77777777" w:rsidR="008075D8" w:rsidRPr="00A90544" w:rsidRDefault="008075D8" w:rsidP="00D254BD">
            <w:pPr>
              <w:spacing w:before="0" w:after="0"/>
              <w:jc w:val="right"/>
              <w:rPr>
                <w:rFonts w:cs="Arial"/>
                <w:b/>
                <w:bCs/>
                <w:szCs w:val="22"/>
                <w:lang w:eastAsia="es-CR"/>
              </w:rPr>
            </w:pPr>
            <w:r w:rsidRPr="00A90544">
              <w:rPr>
                <w:rFonts w:cs="Arial"/>
                <w:b/>
                <w:bCs/>
                <w:szCs w:val="22"/>
                <w:lang w:eastAsia="es-CR"/>
              </w:rPr>
              <w:t>823 610</w:t>
            </w:r>
          </w:p>
        </w:tc>
        <w:tc>
          <w:tcPr>
            <w:tcW w:w="146" w:type="dxa"/>
            <w:gridSpan w:val="2"/>
            <w:tcBorders>
              <w:left w:val="single" w:sz="4" w:space="0" w:color="auto"/>
            </w:tcBorders>
            <w:vAlign w:val="center"/>
            <w:hideMark/>
          </w:tcPr>
          <w:p w14:paraId="0E0BF8BA" w14:textId="77777777" w:rsidR="008075D8" w:rsidRPr="00A90544" w:rsidRDefault="008075D8" w:rsidP="008075D8">
            <w:pPr>
              <w:spacing w:before="0" w:after="0"/>
              <w:jc w:val="left"/>
              <w:rPr>
                <w:sz w:val="20"/>
                <w:lang w:eastAsia="es-CR"/>
              </w:rPr>
            </w:pPr>
          </w:p>
        </w:tc>
      </w:tr>
      <w:tr w:rsidR="008075D8" w:rsidRPr="008075D8" w14:paraId="00507762" w14:textId="77777777" w:rsidTr="00A90544">
        <w:trPr>
          <w:trHeight w:val="330"/>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E2141B" w14:textId="77777777" w:rsidR="008075D8" w:rsidRPr="00A90544" w:rsidRDefault="008075D8" w:rsidP="008075D8">
            <w:pPr>
              <w:spacing w:before="0" w:after="0"/>
              <w:jc w:val="center"/>
              <w:rPr>
                <w:rFonts w:cs="Arial"/>
                <w:szCs w:val="22"/>
                <w:lang w:eastAsia="es-CR"/>
              </w:rPr>
            </w:pPr>
            <w:r w:rsidRPr="00A90544">
              <w:rPr>
                <w:rFonts w:cs="Arial"/>
                <w:szCs w:val="22"/>
                <w:lang w:eastAsia="es-CR"/>
              </w:rPr>
              <w:t>50104</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2A3FD3" w14:textId="77777777" w:rsidR="008075D8" w:rsidRPr="00A90544" w:rsidRDefault="008075D8" w:rsidP="008075D8">
            <w:pPr>
              <w:spacing w:before="0" w:after="0"/>
              <w:jc w:val="center"/>
              <w:rPr>
                <w:rFonts w:cs="Arial"/>
                <w:szCs w:val="22"/>
                <w:lang w:eastAsia="es-CR"/>
              </w:rPr>
            </w:pPr>
            <w:r w:rsidRPr="00A90544">
              <w:rPr>
                <w:rFonts w:cs="Arial"/>
                <w:szCs w:val="22"/>
                <w:lang w:eastAsia="es-CR"/>
              </w:rPr>
              <w:t>21018</w:t>
            </w:r>
          </w:p>
        </w:tc>
        <w:tc>
          <w:tcPr>
            <w:tcW w:w="32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F70B1" w14:textId="77777777" w:rsidR="008075D8" w:rsidRPr="00A90544" w:rsidRDefault="008075D8" w:rsidP="008075D8">
            <w:pPr>
              <w:spacing w:before="0" w:after="0"/>
              <w:jc w:val="left"/>
              <w:rPr>
                <w:rFonts w:cs="Arial"/>
                <w:szCs w:val="22"/>
                <w:lang w:eastAsia="es-CR"/>
              </w:rPr>
            </w:pPr>
            <w:r w:rsidRPr="00A90544">
              <w:rPr>
                <w:rFonts w:cs="Arial"/>
                <w:szCs w:val="22"/>
                <w:lang w:eastAsia="es-CR"/>
              </w:rPr>
              <w:t>Estación de servicio con aditamiento para mouse</w:t>
            </w:r>
          </w:p>
        </w:tc>
        <w:tc>
          <w:tcPr>
            <w:tcW w:w="10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33DD9" w14:textId="77777777" w:rsidR="008075D8" w:rsidRPr="00A90544" w:rsidRDefault="008075D8" w:rsidP="00D254BD">
            <w:pPr>
              <w:spacing w:before="0" w:after="0"/>
              <w:jc w:val="center"/>
              <w:rPr>
                <w:rFonts w:cs="Arial"/>
                <w:szCs w:val="22"/>
                <w:lang w:eastAsia="es-CR"/>
              </w:rPr>
            </w:pPr>
            <w:r w:rsidRPr="00A90544">
              <w:rPr>
                <w:rFonts w:cs="Arial"/>
                <w:szCs w:val="22"/>
                <w:lang w:eastAsia="es-CR"/>
              </w:rPr>
              <w:t>1</w:t>
            </w:r>
          </w:p>
        </w:tc>
        <w:tc>
          <w:tcPr>
            <w:tcW w:w="13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877F0" w14:textId="77777777" w:rsidR="008075D8" w:rsidRPr="00A90544" w:rsidRDefault="008075D8" w:rsidP="00D254BD">
            <w:pPr>
              <w:spacing w:before="0" w:after="0"/>
              <w:jc w:val="right"/>
              <w:rPr>
                <w:rFonts w:cs="Arial"/>
                <w:szCs w:val="22"/>
                <w:lang w:eastAsia="es-CR"/>
              </w:rPr>
            </w:pPr>
            <w:r w:rsidRPr="00A90544">
              <w:rPr>
                <w:rFonts w:cs="Arial"/>
                <w:szCs w:val="22"/>
                <w:lang w:eastAsia="es-CR"/>
              </w:rPr>
              <w:t>153 950,07</w:t>
            </w:r>
          </w:p>
        </w:tc>
        <w:tc>
          <w:tcPr>
            <w:tcW w:w="125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3DFE50" w14:textId="77777777" w:rsidR="008075D8" w:rsidRPr="00A90544" w:rsidRDefault="008075D8" w:rsidP="00D254BD">
            <w:pPr>
              <w:spacing w:before="0" w:after="0"/>
              <w:jc w:val="right"/>
              <w:rPr>
                <w:rFonts w:cs="Arial"/>
                <w:b/>
                <w:bCs/>
                <w:szCs w:val="22"/>
                <w:lang w:eastAsia="es-CR"/>
              </w:rPr>
            </w:pPr>
            <w:r w:rsidRPr="00A90544">
              <w:rPr>
                <w:rFonts w:cs="Arial"/>
                <w:b/>
                <w:bCs/>
                <w:szCs w:val="22"/>
                <w:lang w:eastAsia="es-CR"/>
              </w:rPr>
              <w:t>153 950</w:t>
            </w:r>
          </w:p>
        </w:tc>
        <w:tc>
          <w:tcPr>
            <w:tcW w:w="146" w:type="dxa"/>
            <w:gridSpan w:val="2"/>
            <w:tcBorders>
              <w:left w:val="single" w:sz="4" w:space="0" w:color="auto"/>
            </w:tcBorders>
            <w:vAlign w:val="center"/>
            <w:hideMark/>
          </w:tcPr>
          <w:p w14:paraId="245231E2" w14:textId="77777777" w:rsidR="008075D8" w:rsidRPr="00A90544" w:rsidRDefault="008075D8" w:rsidP="008075D8">
            <w:pPr>
              <w:spacing w:before="0" w:after="0"/>
              <w:jc w:val="left"/>
              <w:rPr>
                <w:sz w:val="20"/>
                <w:lang w:eastAsia="es-CR"/>
              </w:rPr>
            </w:pPr>
          </w:p>
        </w:tc>
      </w:tr>
      <w:tr w:rsidR="008075D8" w:rsidRPr="008075D8" w14:paraId="114743FE" w14:textId="77777777" w:rsidTr="00A90544">
        <w:trPr>
          <w:trHeight w:val="330"/>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09AA2" w14:textId="77777777" w:rsidR="008075D8" w:rsidRPr="00A90544" w:rsidRDefault="008075D8" w:rsidP="008075D8">
            <w:pPr>
              <w:spacing w:before="0" w:after="0"/>
              <w:jc w:val="center"/>
              <w:rPr>
                <w:rFonts w:cs="Arial"/>
                <w:szCs w:val="22"/>
                <w:lang w:eastAsia="es-CR"/>
              </w:rPr>
            </w:pPr>
            <w:r w:rsidRPr="00A90544">
              <w:rPr>
                <w:rFonts w:cs="Arial"/>
                <w:szCs w:val="22"/>
                <w:lang w:eastAsia="es-CR"/>
              </w:rPr>
              <w:t>50104</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38FCE3" w14:textId="77777777" w:rsidR="008075D8" w:rsidRPr="00A90544" w:rsidRDefault="008075D8" w:rsidP="008075D8">
            <w:pPr>
              <w:spacing w:before="0" w:after="0"/>
              <w:jc w:val="center"/>
              <w:rPr>
                <w:rFonts w:cs="Arial"/>
                <w:szCs w:val="22"/>
                <w:lang w:eastAsia="es-CR"/>
              </w:rPr>
            </w:pPr>
            <w:r w:rsidRPr="00A90544">
              <w:rPr>
                <w:rFonts w:cs="Arial"/>
                <w:szCs w:val="22"/>
                <w:lang w:eastAsia="es-CR"/>
              </w:rPr>
              <w:t>16753</w:t>
            </w:r>
          </w:p>
        </w:tc>
        <w:tc>
          <w:tcPr>
            <w:tcW w:w="32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4A75FE" w14:textId="77777777" w:rsidR="008075D8" w:rsidRPr="00A90544" w:rsidRDefault="008075D8" w:rsidP="008075D8">
            <w:pPr>
              <w:spacing w:before="0" w:after="0"/>
              <w:jc w:val="left"/>
              <w:rPr>
                <w:rFonts w:cs="Arial"/>
                <w:szCs w:val="22"/>
                <w:lang w:eastAsia="es-CR"/>
              </w:rPr>
            </w:pPr>
            <w:r w:rsidRPr="00A90544">
              <w:rPr>
                <w:rFonts w:cs="Arial"/>
                <w:szCs w:val="22"/>
                <w:lang w:eastAsia="es-CR"/>
              </w:rPr>
              <w:t>Silla giratoria secretarial (ergonómica)</w:t>
            </w:r>
          </w:p>
        </w:tc>
        <w:tc>
          <w:tcPr>
            <w:tcW w:w="10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9D6FE8" w14:textId="77777777" w:rsidR="008075D8" w:rsidRPr="00A90544" w:rsidRDefault="008075D8" w:rsidP="00D254BD">
            <w:pPr>
              <w:spacing w:before="0" w:after="0"/>
              <w:jc w:val="center"/>
              <w:rPr>
                <w:rFonts w:cs="Arial"/>
                <w:szCs w:val="22"/>
                <w:lang w:eastAsia="es-CR"/>
              </w:rPr>
            </w:pPr>
            <w:r w:rsidRPr="00A90544">
              <w:rPr>
                <w:rFonts w:cs="Arial"/>
                <w:szCs w:val="22"/>
                <w:lang w:eastAsia="es-CR"/>
              </w:rPr>
              <w:t>1</w:t>
            </w:r>
          </w:p>
        </w:tc>
        <w:tc>
          <w:tcPr>
            <w:tcW w:w="13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B00EE" w14:textId="77777777" w:rsidR="008075D8" w:rsidRPr="00A90544" w:rsidRDefault="008075D8" w:rsidP="00D254BD">
            <w:pPr>
              <w:spacing w:before="0" w:after="0"/>
              <w:jc w:val="right"/>
              <w:rPr>
                <w:rFonts w:cs="Arial"/>
                <w:szCs w:val="22"/>
                <w:lang w:eastAsia="es-CR"/>
              </w:rPr>
            </w:pPr>
            <w:r w:rsidRPr="00A90544">
              <w:rPr>
                <w:rFonts w:cs="Arial"/>
                <w:szCs w:val="22"/>
                <w:lang w:eastAsia="es-CR"/>
              </w:rPr>
              <w:t>81 360,00</w:t>
            </w:r>
          </w:p>
        </w:tc>
        <w:tc>
          <w:tcPr>
            <w:tcW w:w="125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F88A6" w14:textId="77777777" w:rsidR="008075D8" w:rsidRPr="00A90544" w:rsidRDefault="008075D8" w:rsidP="00D254BD">
            <w:pPr>
              <w:spacing w:before="0" w:after="0"/>
              <w:jc w:val="right"/>
              <w:rPr>
                <w:rFonts w:cs="Arial"/>
                <w:b/>
                <w:bCs/>
                <w:szCs w:val="22"/>
                <w:lang w:eastAsia="es-CR"/>
              </w:rPr>
            </w:pPr>
            <w:r w:rsidRPr="00A90544">
              <w:rPr>
                <w:rFonts w:cs="Arial"/>
                <w:b/>
                <w:bCs/>
                <w:szCs w:val="22"/>
                <w:lang w:eastAsia="es-CR"/>
              </w:rPr>
              <w:t>81 360</w:t>
            </w:r>
          </w:p>
        </w:tc>
        <w:tc>
          <w:tcPr>
            <w:tcW w:w="146" w:type="dxa"/>
            <w:gridSpan w:val="2"/>
            <w:tcBorders>
              <w:left w:val="single" w:sz="4" w:space="0" w:color="auto"/>
            </w:tcBorders>
            <w:vAlign w:val="center"/>
            <w:hideMark/>
          </w:tcPr>
          <w:p w14:paraId="34EA0825" w14:textId="77777777" w:rsidR="008075D8" w:rsidRPr="00A90544" w:rsidRDefault="008075D8" w:rsidP="008075D8">
            <w:pPr>
              <w:spacing w:before="0" w:after="0"/>
              <w:jc w:val="left"/>
              <w:rPr>
                <w:sz w:val="20"/>
                <w:lang w:eastAsia="es-CR"/>
              </w:rPr>
            </w:pPr>
          </w:p>
        </w:tc>
      </w:tr>
      <w:tr w:rsidR="00FC2EE3" w:rsidRPr="008075D8" w14:paraId="3F1323DB" w14:textId="77777777" w:rsidTr="00A90544">
        <w:trPr>
          <w:trHeight w:val="330"/>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6A6E81" w14:textId="011425A9" w:rsidR="00FC2EE3" w:rsidRPr="00064CE4" w:rsidRDefault="00FC2EE3" w:rsidP="00FC2EE3">
            <w:pPr>
              <w:spacing w:before="0" w:after="0"/>
              <w:jc w:val="center"/>
              <w:rPr>
                <w:rFonts w:cs="Arial"/>
                <w:szCs w:val="22"/>
                <w:lang w:eastAsia="es-CR"/>
              </w:rPr>
            </w:pPr>
            <w:r>
              <w:rPr>
                <w:rFonts w:cs="Arial"/>
                <w:szCs w:val="22"/>
                <w:lang w:eastAsia="es-CR"/>
              </w:rPr>
              <w:t>59903</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1E14BF" w14:textId="2F27AAD2" w:rsidR="00FC2EE3" w:rsidRPr="00064CE4" w:rsidRDefault="00FC2EE3" w:rsidP="00FC2EE3">
            <w:pPr>
              <w:spacing w:before="0" w:after="0"/>
              <w:jc w:val="center"/>
              <w:rPr>
                <w:rFonts w:cs="Arial"/>
                <w:szCs w:val="22"/>
                <w:lang w:eastAsia="es-CR"/>
              </w:rPr>
            </w:pPr>
            <w:r>
              <w:rPr>
                <w:rFonts w:ascii="Arial" w:hAnsi="Arial" w:cs="Arial"/>
                <w:color w:val="000000"/>
                <w:sz w:val="20"/>
              </w:rPr>
              <w:t>23409</w:t>
            </w:r>
          </w:p>
        </w:tc>
        <w:tc>
          <w:tcPr>
            <w:tcW w:w="32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0E9A9D" w14:textId="04952CB4" w:rsidR="00FC2EE3" w:rsidRPr="00FC2EE3" w:rsidRDefault="00FC2EE3" w:rsidP="00FC2EE3">
            <w:pPr>
              <w:spacing w:before="0" w:after="0"/>
              <w:jc w:val="left"/>
              <w:rPr>
                <w:rFonts w:cs="Arial"/>
                <w:szCs w:val="22"/>
                <w:lang w:eastAsia="es-CR"/>
              </w:rPr>
            </w:pPr>
            <w:r w:rsidRPr="00A90544">
              <w:rPr>
                <w:rFonts w:cs="Arial"/>
                <w:color w:val="000000"/>
                <w:szCs w:val="22"/>
              </w:rPr>
              <w:t xml:space="preserve">Licencias de software o </w:t>
            </w:r>
            <w:r>
              <w:rPr>
                <w:rFonts w:cs="Arial"/>
                <w:color w:val="000000"/>
                <w:szCs w:val="22"/>
              </w:rPr>
              <w:t>renovación (Licencia E3)</w:t>
            </w:r>
          </w:p>
        </w:tc>
        <w:tc>
          <w:tcPr>
            <w:tcW w:w="10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4E277E" w14:textId="61B1A6D5" w:rsidR="00FC2EE3" w:rsidRPr="00064CE4" w:rsidRDefault="00FC2EE3" w:rsidP="00D254BD">
            <w:pPr>
              <w:spacing w:before="0" w:after="0"/>
              <w:jc w:val="center"/>
              <w:rPr>
                <w:rFonts w:cs="Arial"/>
                <w:szCs w:val="22"/>
                <w:lang w:eastAsia="es-CR"/>
              </w:rPr>
            </w:pPr>
            <w:r>
              <w:rPr>
                <w:rFonts w:cs="Arial"/>
                <w:szCs w:val="22"/>
                <w:lang w:eastAsia="es-CR"/>
              </w:rPr>
              <w:t>1</w:t>
            </w:r>
          </w:p>
        </w:tc>
        <w:tc>
          <w:tcPr>
            <w:tcW w:w="13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54DE650" w14:textId="4860CFD4" w:rsidR="00FC2EE3" w:rsidRPr="00064CE4" w:rsidRDefault="00D254BD" w:rsidP="00D254BD">
            <w:pPr>
              <w:spacing w:before="0" w:after="0"/>
              <w:jc w:val="right"/>
              <w:rPr>
                <w:rFonts w:cs="Arial"/>
                <w:szCs w:val="22"/>
                <w:lang w:eastAsia="es-CR"/>
              </w:rPr>
            </w:pPr>
            <w:r w:rsidRPr="00A90544">
              <w:rPr>
                <w:rFonts w:cs="Arial"/>
                <w:szCs w:val="22"/>
                <w:lang w:eastAsia="es-CR"/>
              </w:rPr>
              <w:t>114 337,92</w:t>
            </w:r>
          </w:p>
        </w:tc>
        <w:tc>
          <w:tcPr>
            <w:tcW w:w="125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889673A" w14:textId="611C132B" w:rsidR="00FC2EE3" w:rsidRPr="00064CE4" w:rsidRDefault="00B97E30" w:rsidP="00D254BD">
            <w:pPr>
              <w:spacing w:before="0" w:after="0"/>
              <w:jc w:val="right"/>
              <w:rPr>
                <w:rFonts w:cs="Arial"/>
                <w:b/>
                <w:bCs/>
                <w:szCs w:val="22"/>
                <w:lang w:eastAsia="es-CR"/>
              </w:rPr>
            </w:pPr>
            <w:r w:rsidRPr="00624403">
              <w:rPr>
                <w:rFonts w:cs="Arial"/>
                <w:szCs w:val="22"/>
                <w:lang w:eastAsia="es-CR"/>
              </w:rPr>
              <w:t>114 337,92</w:t>
            </w:r>
          </w:p>
        </w:tc>
        <w:tc>
          <w:tcPr>
            <w:tcW w:w="146" w:type="dxa"/>
            <w:gridSpan w:val="2"/>
            <w:tcBorders>
              <w:left w:val="single" w:sz="4" w:space="0" w:color="auto"/>
            </w:tcBorders>
            <w:vAlign w:val="center"/>
          </w:tcPr>
          <w:p w14:paraId="3A49DF95" w14:textId="77777777" w:rsidR="00FC2EE3" w:rsidRPr="00064CE4" w:rsidRDefault="00FC2EE3" w:rsidP="00FC2EE3">
            <w:pPr>
              <w:spacing w:before="0" w:after="0"/>
              <w:jc w:val="left"/>
              <w:rPr>
                <w:sz w:val="20"/>
                <w:lang w:eastAsia="es-CR"/>
              </w:rPr>
            </w:pPr>
          </w:p>
        </w:tc>
      </w:tr>
      <w:tr w:rsidR="008075D8" w:rsidRPr="008075D8" w14:paraId="125D97A6" w14:textId="77777777" w:rsidTr="008075D8">
        <w:trPr>
          <w:gridAfter w:val="1"/>
          <w:wAfter w:w="6" w:type="dxa"/>
          <w:trHeight w:val="280"/>
        </w:trPr>
        <w:tc>
          <w:tcPr>
            <w:tcW w:w="7816" w:type="dxa"/>
            <w:gridSpan w:val="5"/>
            <w:tcBorders>
              <w:top w:val="nil"/>
              <w:left w:val="nil"/>
              <w:bottom w:val="nil"/>
              <w:right w:val="nil"/>
            </w:tcBorders>
            <w:shd w:val="clear" w:color="000000" w:fill="92CDDC"/>
            <w:noWrap/>
            <w:vAlign w:val="bottom"/>
            <w:hideMark/>
          </w:tcPr>
          <w:p w14:paraId="760824DD" w14:textId="56FB3133" w:rsidR="008075D8" w:rsidRPr="00A90544" w:rsidRDefault="008075D8" w:rsidP="008075D8">
            <w:pPr>
              <w:spacing w:before="0" w:after="0"/>
              <w:jc w:val="center"/>
              <w:rPr>
                <w:rFonts w:cs="Arial"/>
                <w:b/>
                <w:bCs/>
                <w:szCs w:val="22"/>
                <w:lang w:eastAsia="es-CR"/>
              </w:rPr>
            </w:pPr>
            <w:r w:rsidRPr="00A90544">
              <w:rPr>
                <w:rFonts w:cs="Arial"/>
                <w:b/>
                <w:bCs/>
                <w:szCs w:val="22"/>
                <w:lang w:eastAsia="es-CR"/>
              </w:rPr>
              <w:t xml:space="preserve">TOTAL GASTO VARIABLE </w:t>
            </w:r>
          </w:p>
        </w:tc>
        <w:tc>
          <w:tcPr>
            <w:tcW w:w="1255" w:type="dxa"/>
            <w:gridSpan w:val="2"/>
            <w:tcBorders>
              <w:top w:val="nil"/>
              <w:left w:val="nil"/>
              <w:bottom w:val="nil"/>
              <w:right w:val="nil"/>
            </w:tcBorders>
            <w:shd w:val="clear" w:color="000000" w:fill="92CDDC"/>
            <w:noWrap/>
            <w:vAlign w:val="bottom"/>
            <w:hideMark/>
          </w:tcPr>
          <w:p w14:paraId="317B17F7" w14:textId="0367312F" w:rsidR="008075D8" w:rsidRPr="002C2381" w:rsidRDefault="00DD78A8" w:rsidP="00DD78A8">
            <w:pPr>
              <w:spacing w:before="0" w:after="0"/>
              <w:jc w:val="right"/>
              <w:rPr>
                <w:rFonts w:ascii="Arial" w:hAnsi="Arial" w:cs="Arial"/>
                <w:b/>
                <w:bCs/>
                <w:szCs w:val="22"/>
                <w:lang w:eastAsia="es-CR"/>
              </w:rPr>
            </w:pPr>
            <w:r w:rsidRPr="00A90544">
              <w:rPr>
                <w:rFonts w:cs="Arial"/>
                <w:b/>
                <w:bCs/>
                <w:szCs w:val="22"/>
                <w:lang w:eastAsia="es-CR"/>
              </w:rPr>
              <w:t>1 173 258</w:t>
            </w:r>
          </w:p>
        </w:tc>
        <w:tc>
          <w:tcPr>
            <w:tcW w:w="146" w:type="dxa"/>
            <w:gridSpan w:val="2"/>
            <w:vAlign w:val="center"/>
            <w:hideMark/>
          </w:tcPr>
          <w:p w14:paraId="5A5324F0" w14:textId="77777777" w:rsidR="008075D8" w:rsidRPr="00A90544" w:rsidRDefault="008075D8" w:rsidP="008075D8">
            <w:pPr>
              <w:spacing w:before="0" w:after="0"/>
              <w:jc w:val="left"/>
              <w:rPr>
                <w:sz w:val="20"/>
                <w:lang w:eastAsia="es-CR"/>
              </w:rPr>
            </w:pPr>
          </w:p>
        </w:tc>
      </w:tr>
    </w:tbl>
    <w:p w14:paraId="466907B5" w14:textId="44CF788A" w:rsidR="008636D6" w:rsidRPr="00033E65" w:rsidRDefault="00EC5306" w:rsidP="00924F24">
      <w:pPr>
        <w:pStyle w:val="Titulo3"/>
        <w:numPr>
          <w:ilvl w:val="0"/>
          <w:numId w:val="0"/>
        </w:numPr>
      </w:pPr>
      <w:bookmarkStart w:id="242" w:name="_Toc132639582"/>
      <w:r>
        <w:t>20</w:t>
      </w:r>
      <w:r w:rsidR="00663318">
        <w:t xml:space="preserve">.1.3 </w:t>
      </w:r>
      <w:r w:rsidR="008636D6" w:rsidRPr="00033E65">
        <w:t>Costo Estimado de la Propuesta</w:t>
      </w:r>
      <w:bookmarkEnd w:id="242"/>
      <w:r w:rsidR="008636D6" w:rsidRPr="00033E65">
        <w:t xml:space="preserve"> </w:t>
      </w:r>
    </w:p>
    <w:p w14:paraId="465983C5" w14:textId="77777777" w:rsidR="008636D6" w:rsidRPr="00033E65" w:rsidRDefault="008636D6" w:rsidP="008636D6">
      <w:pPr>
        <w:rPr>
          <w:szCs w:val="22"/>
          <w:lang w:val="es-ES_tradnl"/>
        </w:rPr>
      </w:pPr>
      <w:r w:rsidRPr="00033E65">
        <w:rPr>
          <w:szCs w:val="22"/>
          <w:lang w:val="es-ES_tradnl"/>
        </w:rPr>
        <w:t>Los cálculos para cuantificar el impacto del Código Procesal Agrario se realizaron en función de la actual carga de trabajo y requerimiento de estructura, sin embrago se hace la observación de que existen datos que no han podido ser cuantificables por las limitaciones actuales de la información cargada en los sistemas informáticos. Por lo tanto, es imposible realizar estimaciones a futuro, sino existen los datos, para analizarlo.</w:t>
      </w:r>
    </w:p>
    <w:p w14:paraId="69DF3579" w14:textId="5BC56E53" w:rsidR="008636D6" w:rsidRPr="00924F24" w:rsidRDefault="008636D6" w:rsidP="00924F24">
      <w:pPr>
        <w:rPr>
          <w:szCs w:val="22"/>
          <w:lang w:val="es-ES_tradnl"/>
        </w:rPr>
      </w:pPr>
      <w:r w:rsidRPr="00033E65">
        <w:rPr>
          <w:szCs w:val="22"/>
          <w:lang w:val="es-ES_tradnl"/>
        </w:rPr>
        <w:t>Se debe valorar por parte de la Dirección de Gestión Humana, en los concursos que se generen que la asignación de nuevas plazas o nombramientos futuros en propiedad para el personal juzgador, tendrán como requisito asumir como parte de sus funciones, la conducción del vehículo asignado al despacho, para las diligencias que deba realizar fuera de la oficina.</w:t>
      </w:r>
    </w:p>
    <w:p w14:paraId="33134989" w14:textId="182B6959" w:rsidR="008636D6" w:rsidRPr="00033E65" w:rsidRDefault="008636D6" w:rsidP="008636D6">
      <w:pPr>
        <w:pStyle w:val="Ttulo"/>
        <w:spacing w:before="0" w:after="0"/>
        <w:ind w:left="720"/>
        <w:jc w:val="center"/>
        <w:rPr>
          <w:rFonts w:eastAsia="Times New Roman" w:cs="Arial"/>
          <w:iCs/>
          <w:spacing w:val="0"/>
          <w:szCs w:val="28"/>
          <w:lang w:val="es-CR" w:eastAsia="es-ES"/>
        </w:rPr>
      </w:pPr>
      <w:r w:rsidRPr="00033E65">
        <w:rPr>
          <w:rFonts w:eastAsia="Times New Roman" w:cs="Arial"/>
          <w:iCs/>
          <w:spacing w:val="0"/>
          <w:szCs w:val="28"/>
          <w:lang w:val="es-CR" w:eastAsia="es-ES"/>
        </w:rPr>
        <w:t xml:space="preserve">Cuadro </w:t>
      </w:r>
      <w:r w:rsidR="004F3F0F" w:rsidRPr="00033E65">
        <w:rPr>
          <w:rFonts w:eastAsia="Times New Roman" w:cs="Arial"/>
          <w:iCs/>
          <w:spacing w:val="0"/>
          <w:szCs w:val="28"/>
          <w:lang w:val="es-CR" w:eastAsia="es-ES"/>
        </w:rPr>
        <w:t>32</w:t>
      </w:r>
    </w:p>
    <w:p w14:paraId="05F8D9CD" w14:textId="77777777" w:rsidR="008636D6" w:rsidRDefault="008636D6" w:rsidP="008636D6">
      <w:pPr>
        <w:pStyle w:val="Ttulo"/>
        <w:spacing w:before="0"/>
        <w:ind w:left="720"/>
        <w:jc w:val="center"/>
        <w:rPr>
          <w:rFonts w:eastAsia="Times New Roman" w:cs="Arial"/>
          <w:iCs/>
          <w:spacing w:val="0"/>
          <w:szCs w:val="28"/>
          <w:lang w:val="es-CR" w:eastAsia="es-ES"/>
        </w:rPr>
      </w:pPr>
      <w:r w:rsidRPr="00033E65">
        <w:rPr>
          <w:rFonts w:eastAsia="Times New Roman" w:cs="Arial"/>
          <w:iCs/>
          <w:spacing w:val="0"/>
          <w:szCs w:val="28"/>
          <w:lang w:val="es-CR" w:eastAsia="es-ES"/>
        </w:rPr>
        <w:t>Costo estimado de recurso humano Requerido para presupuesto 2024</w:t>
      </w:r>
    </w:p>
    <w:tbl>
      <w:tblPr>
        <w:tblW w:w="5974" w:type="pct"/>
        <w:jc w:val="center"/>
        <w:tblCellMar>
          <w:left w:w="70" w:type="dxa"/>
          <w:right w:w="70" w:type="dxa"/>
        </w:tblCellMar>
        <w:tblLook w:val="04A0" w:firstRow="1" w:lastRow="0" w:firstColumn="1" w:lastColumn="0" w:noHBand="0" w:noVBand="1"/>
      </w:tblPr>
      <w:tblGrid>
        <w:gridCol w:w="1988"/>
        <w:gridCol w:w="1069"/>
        <w:gridCol w:w="1430"/>
        <w:gridCol w:w="1655"/>
        <w:gridCol w:w="923"/>
        <w:gridCol w:w="1772"/>
        <w:gridCol w:w="1668"/>
      </w:tblGrid>
      <w:tr w:rsidR="00E92616" w:rsidRPr="00033E65" w14:paraId="6CD3B84A" w14:textId="77777777" w:rsidTr="00F57BFF">
        <w:trPr>
          <w:trHeight w:val="600"/>
          <w:tblHeader/>
          <w:jc w:val="center"/>
        </w:trPr>
        <w:tc>
          <w:tcPr>
            <w:tcW w:w="998" w:type="pct"/>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15FFDE5E" w14:textId="77777777" w:rsidR="00E92616" w:rsidRPr="00033E65" w:rsidRDefault="00E92616" w:rsidP="00F57BFF">
            <w:pPr>
              <w:spacing w:before="0" w:after="0"/>
              <w:jc w:val="center"/>
              <w:rPr>
                <w:rFonts w:cs="Calibri"/>
                <w:b/>
                <w:bCs/>
                <w:color w:val="FFFFFF"/>
                <w:szCs w:val="22"/>
                <w:lang w:eastAsia="es-CR"/>
              </w:rPr>
            </w:pPr>
            <w:r w:rsidRPr="00033E65">
              <w:rPr>
                <w:rFonts w:cs="Calibri"/>
                <w:b/>
                <w:bCs/>
                <w:color w:val="FFFFFF"/>
                <w:szCs w:val="22"/>
                <w:lang w:eastAsia="es-CR"/>
              </w:rPr>
              <w:t>Despacho</w:t>
            </w:r>
          </w:p>
        </w:tc>
        <w:tc>
          <w:tcPr>
            <w:tcW w:w="509" w:type="pct"/>
            <w:tcBorders>
              <w:top w:val="double" w:sz="6" w:space="0" w:color="366092"/>
              <w:left w:val="nil"/>
              <w:bottom w:val="double" w:sz="6" w:space="0" w:color="366092"/>
              <w:right w:val="double" w:sz="6" w:space="0" w:color="366092"/>
            </w:tcBorders>
            <w:shd w:val="clear" w:color="000000" w:fill="0673A5"/>
            <w:vAlign w:val="center"/>
            <w:hideMark/>
          </w:tcPr>
          <w:p w14:paraId="14027433" w14:textId="77777777" w:rsidR="00E92616" w:rsidRPr="00033E65" w:rsidRDefault="00E92616" w:rsidP="00F57BFF">
            <w:pPr>
              <w:spacing w:before="0" w:after="0"/>
              <w:jc w:val="center"/>
              <w:rPr>
                <w:rFonts w:cs="Calibri"/>
                <w:b/>
                <w:bCs/>
                <w:color w:val="FFFFFF"/>
                <w:szCs w:val="22"/>
                <w:lang w:eastAsia="es-CR"/>
              </w:rPr>
            </w:pPr>
            <w:r w:rsidRPr="00033E65">
              <w:rPr>
                <w:rFonts w:cs="Calibri"/>
                <w:b/>
                <w:bCs/>
                <w:color w:val="FFFFFF"/>
                <w:szCs w:val="22"/>
                <w:lang w:eastAsia="es-CR"/>
              </w:rPr>
              <w:t>Cantidad</w:t>
            </w:r>
          </w:p>
        </w:tc>
        <w:tc>
          <w:tcPr>
            <w:tcW w:w="681" w:type="pct"/>
            <w:tcBorders>
              <w:top w:val="double" w:sz="6" w:space="0" w:color="366092"/>
              <w:left w:val="nil"/>
              <w:bottom w:val="double" w:sz="6" w:space="0" w:color="366092"/>
              <w:right w:val="double" w:sz="6" w:space="0" w:color="366092"/>
            </w:tcBorders>
            <w:shd w:val="clear" w:color="000000" w:fill="0673A5"/>
            <w:vAlign w:val="center"/>
            <w:hideMark/>
          </w:tcPr>
          <w:p w14:paraId="3D3076E9" w14:textId="77777777" w:rsidR="00E92616" w:rsidRPr="00033E65" w:rsidRDefault="00E92616" w:rsidP="00F57BFF">
            <w:pPr>
              <w:spacing w:before="0" w:after="0"/>
              <w:jc w:val="center"/>
              <w:rPr>
                <w:rFonts w:cs="Calibri"/>
                <w:b/>
                <w:bCs/>
                <w:color w:val="FFFFFF"/>
                <w:szCs w:val="22"/>
                <w:lang w:eastAsia="es-CR"/>
              </w:rPr>
            </w:pPr>
            <w:r w:rsidRPr="00033E65">
              <w:rPr>
                <w:rFonts w:cs="Calibri"/>
                <w:b/>
                <w:bCs/>
                <w:color w:val="FFFFFF"/>
                <w:szCs w:val="22"/>
                <w:lang w:eastAsia="es-CR"/>
              </w:rPr>
              <w:t>Tipo de plaza</w:t>
            </w:r>
          </w:p>
        </w:tc>
        <w:tc>
          <w:tcPr>
            <w:tcW w:w="788" w:type="pct"/>
            <w:tcBorders>
              <w:top w:val="double" w:sz="6" w:space="0" w:color="366092"/>
              <w:left w:val="nil"/>
              <w:bottom w:val="double" w:sz="6" w:space="0" w:color="366092"/>
              <w:right w:val="double" w:sz="6" w:space="0" w:color="366092"/>
            </w:tcBorders>
            <w:shd w:val="clear" w:color="000000" w:fill="0673A5"/>
            <w:vAlign w:val="center"/>
            <w:hideMark/>
          </w:tcPr>
          <w:p w14:paraId="074E8CD5" w14:textId="77777777" w:rsidR="00E92616" w:rsidRPr="00033E65" w:rsidRDefault="00E92616" w:rsidP="00F57BFF">
            <w:pPr>
              <w:spacing w:before="0" w:after="0"/>
              <w:jc w:val="center"/>
              <w:rPr>
                <w:rFonts w:cs="Calibri"/>
                <w:b/>
                <w:bCs/>
                <w:color w:val="FFFFFF"/>
                <w:szCs w:val="22"/>
                <w:lang w:eastAsia="es-CR"/>
              </w:rPr>
            </w:pPr>
            <w:r w:rsidRPr="00033E65">
              <w:rPr>
                <w:rFonts w:cs="Calibri"/>
                <w:b/>
                <w:bCs/>
                <w:color w:val="FFFFFF"/>
                <w:szCs w:val="22"/>
                <w:lang w:eastAsia="es-CR"/>
              </w:rPr>
              <w:t>Condición</w:t>
            </w:r>
          </w:p>
        </w:tc>
        <w:tc>
          <w:tcPr>
            <w:tcW w:w="440" w:type="pct"/>
            <w:tcBorders>
              <w:top w:val="double" w:sz="6" w:space="0" w:color="366092"/>
              <w:left w:val="nil"/>
              <w:bottom w:val="double" w:sz="6" w:space="0" w:color="366092"/>
              <w:right w:val="double" w:sz="6" w:space="0" w:color="366092"/>
            </w:tcBorders>
            <w:shd w:val="clear" w:color="000000" w:fill="0673A5"/>
            <w:vAlign w:val="center"/>
            <w:hideMark/>
          </w:tcPr>
          <w:p w14:paraId="6B7D8617" w14:textId="77777777" w:rsidR="00E92616" w:rsidRPr="00033E65" w:rsidRDefault="00E92616" w:rsidP="00F57BFF">
            <w:pPr>
              <w:spacing w:before="0" w:after="0"/>
              <w:jc w:val="center"/>
              <w:rPr>
                <w:rFonts w:cs="Calibri"/>
                <w:b/>
                <w:bCs/>
                <w:color w:val="FFFFFF"/>
                <w:szCs w:val="22"/>
                <w:lang w:eastAsia="es-CR"/>
              </w:rPr>
            </w:pPr>
            <w:r w:rsidRPr="00033E65">
              <w:rPr>
                <w:rFonts w:cs="Calibri"/>
                <w:b/>
                <w:bCs/>
                <w:color w:val="FFFFFF"/>
                <w:szCs w:val="22"/>
                <w:lang w:eastAsia="es-CR"/>
              </w:rPr>
              <w:t>Período</w:t>
            </w:r>
          </w:p>
        </w:tc>
        <w:tc>
          <w:tcPr>
            <w:tcW w:w="791" w:type="pct"/>
            <w:tcBorders>
              <w:top w:val="double" w:sz="6" w:space="0" w:color="366092"/>
              <w:left w:val="nil"/>
              <w:bottom w:val="double" w:sz="6" w:space="0" w:color="366092"/>
              <w:right w:val="double" w:sz="6" w:space="0" w:color="366092"/>
            </w:tcBorders>
            <w:shd w:val="clear" w:color="000000" w:fill="0673A5"/>
            <w:vAlign w:val="center"/>
            <w:hideMark/>
          </w:tcPr>
          <w:p w14:paraId="498E21D5" w14:textId="77777777" w:rsidR="00E92616" w:rsidRPr="00033E65" w:rsidRDefault="00E92616" w:rsidP="00F57BFF">
            <w:pPr>
              <w:spacing w:before="0" w:after="0"/>
              <w:jc w:val="center"/>
              <w:rPr>
                <w:rFonts w:cs="Calibri"/>
                <w:b/>
                <w:bCs/>
                <w:color w:val="FFFFFF"/>
                <w:szCs w:val="22"/>
                <w:lang w:eastAsia="es-CR"/>
              </w:rPr>
            </w:pPr>
            <w:r w:rsidRPr="00033E65">
              <w:rPr>
                <w:rFonts w:cs="Calibri"/>
                <w:b/>
                <w:bCs/>
                <w:color w:val="FFFFFF"/>
                <w:szCs w:val="22"/>
                <w:lang w:eastAsia="es-CR"/>
              </w:rPr>
              <w:t>Costo total</w:t>
            </w:r>
          </w:p>
        </w:tc>
        <w:tc>
          <w:tcPr>
            <w:tcW w:w="794" w:type="pct"/>
            <w:tcBorders>
              <w:top w:val="double" w:sz="6" w:space="0" w:color="366092"/>
              <w:left w:val="nil"/>
              <w:bottom w:val="double" w:sz="6" w:space="0" w:color="366092"/>
              <w:right w:val="double" w:sz="6" w:space="0" w:color="366092"/>
            </w:tcBorders>
            <w:shd w:val="clear" w:color="000000" w:fill="0673A5"/>
            <w:vAlign w:val="center"/>
            <w:hideMark/>
          </w:tcPr>
          <w:p w14:paraId="6CB4BD6C" w14:textId="77777777" w:rsidR="00E92616" w:rsidRPr="00033E65" w:rsidRDefault="00E92616" w:rsidP="00F57BFF">
            <w:pPr>
              <w:spacing w:before="0" w:after="0"/>
              <w:jc w:val="center"/>
              <w:rPr>
                <w:rFonts w:cs="Calibri"/>
                <w:b/>
                <w:bCs/>
                <w:color w:val="FFFFFF"/>
                <w:szCs w:val="22"/>
                <w:lang w:eastAsia="es-CR"/>
              </w:rPr>
            </w:pPr>
            <w:r w:rsidRPr="00033E65">
              <w:rPr>
                <w:rFonts w:cs="Calibri"/>
                <w:b/>
                <w:bCs/>
                <w:color w:val="FFFFFF"/>
                <w:szCs w:val="22"/>
                <w:lang w:eastAsia="es-CR"/>
              </w:rPr>
              <w:t>Detalle</w:t>
            </w:r>
          </w:p>
        </w:tc>
      </w:tr>
      <w:tr w:rsidR="00E92616" w:rsidRPr="00033E65" w14:paraId="2DA7B5E0" w14:textId="77777777" w:rsidTr="00F57BFF">
        <w:trPr>
          <w:trHeight w:val="263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1151E9FE" w14:textId="77777777" w:rsidR="00E92616" w:rsidRPr="00033E65" w:rsidRDefault="00E92616" w:rsidP="00F57BFF">
            <w:pPr>
              <w:spacing w:before="0" w:after="0"/>
              <w:jc w:val="left"/>
              <w:rPr>
                <w:rFonts w:cs="Calibri"/>
                <w:color w:val="000000"/>
                <w:szCs w:val="22"/>
                <w:lang w:eastAsia="es-CR"/>
              </w:rPr>
            </w:pPr>
            <w:r w:rsidRPr="00033E65">
              <w:rPr>
                <w:rFonts w:cs="Calibri"/>
                <w:color w:val="000000"/>
                <w:szCs w:val="22"/>
                <w:lang w:eastAsia="es-CR"/>
              </w:rPr>
              <w:t>Juzgado Civil, Trabajo, Agrario, Familia, Penal Juvenil, Contra la Violencia Doméstica y Protección Cautelar II Circuito Judicial de Alajuela, sede Upala</w:t>
            </w:r>
          </w:p>
        </w:tc>
        <w:tc>
          <w:tcPr>
            <w:tcW w:w="509" w:type="pct"/>
            <w:tcBorders>
              <w:top w:val="nil"/>
              <w:left w:val="nil"/>
              <w:bottom w:val="double" w:sz="6" w:space="0" w:color="1F497D"/>
              <w:right w:val="double" w:sz="6" w:space="0" w:color="1F497D"/>
            </w:tcBorders>
            <w:shd w:val="clear" w:color="auto" w:fill="auto"/>
            <w:vAlign w:val="center"/>
            <w:hideMark/>
          </w:tcPr>
          <w:p w14:paraId="0E8A7989" w14:textId="77777777" w:rsidR="00E92616" w:rsidRPr="00033E65" w:rsidRDefault="00E92616" w:rsidP="00F57BFF">
            <w:pPr>
              <w:spacing w:before="0" w:after="0"/>
              <w:jc w:val="center"/>
              <w:rPr>
                <w:rFonts w:cs="Calibri"/>
                <w:color w:val="000000"/>
                <w:szCs w:val="22"/>
                <w:lang w:eastAsia="es-CR"/>
              </w:rPr>
            </w:pPr>
            <w:r w:rsidRPr="00033E65">
              <w:rPr>
                <w:rFonts w:cs="Calibri"/>
                <w:color w:val="000000"/>
                <w:szCs w:val="22"/>
                <w:lang w:eastAsia="es-CR"/>
              </w:rPr>
              <w:t>1</w:t>
            </w:r>
          </w:p>
        </w:tc>
        <w:tc>
          <w:tcPr>
            <w:tcW w:w="681" w:type="pct"/>
            <w:tcBorders>
              <w:top w:val="nil"/>
              <w:left w:val="nil"/>
              <w:bottom w:val="double" w:sz="6" w:space="0" w:color="1F497D"/>
              <w:right w:val="double" w:sz="6" w:space="0" w:color="1F497D"/>
            </w:tcBorders>
            <w:shd w:val="clear" w:color="auto" w:fill="auto"/>
            <w:vAlign w:val="center"/>
            <w:hideMark/>
          </w:tcPr>
          <w:p w14:paraId="71654273" w14:textId="77777777" w:rsidR="00E92616" w:rsidRPr="00033E65" w:rsidRDefault="00E92616" w:rsidP="00F57BFF">
            <w:pPr>
              <w:spacing w:before="0" w:after="0"/>
              <w:jc w:val="center"/>
              <w:rPr>
                <w:rFonts w:cs="Calibri"/>
                <w:color w:val="000000"/>
                <w:szCs w:val="22"/>
                <w:lang w:eastAsia="es-CR"/>
              </w:rPr>
            </w:pPr>
            <w:r w:rsidRPr="00033E65">
              <w:rPr>
                <w:rFonts w:cs="Calibri"/>
                <w:color w:val="000000"/>
                <w:szCs w:val="22"/>
                <w:lang w:eastAsia="es-CR"/>
              </w:rPr>
              <w:t>Jueza o Juez 3</w:t>
            </w:r>
          </w:p>
        </w:tc>
        <w:tc>
          <w:tcPr>
            <w:tcW w:w="788" w:type="pct"/>
            <w:tcBorders>
              <w:top w:val="nil"/>
              <w:left w:val="nil"/>
              <w:bottom w:val="double" w:sz="6" w:space="0" w:color="1F497D"/>
              <w:right w:val="double" w:sz="6" w:space="0" w:color="1F497D"/>
            </w:tcBorders>
            <w:shd w:val="clear" w:color="auto" w:fill="auto"/>
            <w:vAlign w:val="center"/>
            <w:hideMark/>
          </w:tcPr>
          <w:p w14:paraId="54B33322" w14:textId="77777777" w:rsidR="00E92616" w:rsidRPr="00033E65" w:rsidRDefault="00E92616" w:rsidP="00F57BFF">
            <w:pPr>
              <w:spacing w:before="0" w:after="0"/>
              <w:jc w:val="center"/>
              <w:rPr>
                <w:rFonts w:cs="Calibri"/>
                <w:color w:val="000000"/>
                <w:szCs w:val="22"/>
                <w:lang w:eastAsia="es-CR"/>
              </w:rPr>
            </w:pPr>
            <w:r w:rsidRPr="00033E65">
              <w:rPr>
                <w:rFonts w:cs="Calibri"/>
                <w:color w:val="000000"/>
                <w:szCs w:val="22"/>
                <w:lang w:eastAsia="es-CR"/>
              </w:rPr>
              <w:t>Ordinaria</w:t>
            </w:r>
          </w:p>
        </w:tc>
        <w:tc>
          <w:tcPr>
            <w:tcW w:w="440" w:type="pct"/>
            <w:tcBorders>
              <w:top w:val="nil"/>
              <w:left w:val="nil"/>
              <w:bottom w:val="double" w:sz="6" w:space="0" w:color="1F497D"/>
              <w:right w:val="double" w:sz="6" w:space="0" w:color="1F497D"/>
            </w:tcBorders>
            <w:shd w:val="clear" w:color="auto" w:fill="auto"/>
            <w:vAlign w:val="center"/>
            <w:hideMark/>
          </w:tcPr>
          <w:p w14:paraId="79BD74D7" w14:textId="77777777" w:rsidR="00E92616" w:rsidRPr="00033E65" w:rsidRDefault="00E92616" w:rsidP="00F57BFF">
            <w:pPr>
              <w:spacing w:before="0" w:after="0"/>
              <w:jc w:val="center"/>
              <w:rPr>
                <w:rFonts w:cs="Calibri"/>
                <w:color w:val="000000"/>
                <w:szCs w:val="22"/>
                <w:lang w:eastAsia="es-CR"/>
              </w:rPr>
            </w:pPr>
            <w:r w:rsidRPr="00033E65">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hideMark/>
          </w:tcPr>
          <w:p w14:paraId="743865F8" w14:textId="77777777" w:rsidR="00E92616" w:rsidRPr="00033E65" w:rsidRDefault="00E92616" w:rsidP="00F57BFF">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₡54.293.000,00 </w:t>
            </w:r>
          </w:p>
        </w:tc>
        <w:tc>
          <w:tcPr>
            <w:tcW w:w="794" w:type="pct"/>
            <w:tcBorders>
              <w:top w:val="nil"/>
              <w:left w:val="nil"/>
              <w:bottom w:val="double" w:sz="6" w:space="0" w:color="1F497D"/>
              <w:right w:val="double" w:sz="6" w:space="0" w:color="1F497D"/>
            </w:tcBorders>
            <w:shd w:val="clear" w:color="auto" w:fill="auto"/>
            <w:vAlign w:val="center"/>
            <w:hideMark/>
          </w:tcPr>
          <w:p w14:paraId="32ACE3B0" w14:textId="77777777" w:rsidR="00E92616" w:rsidRPr="00033E65" w:rsidRDefault="00E92616" w:rsidP="00F57BFF">
            <w:pPr>
              <w:spacing w:before="0" w:after="0"/>
              <w:jc w:val="left"/>
              <w:rPr>
                <w:rFonts w:cs="Calibri"/>
                <w:color w:val="000000"/>
                <w:szCs w:val="22"/>
                <w:lang w:eastAsia="es-CR"/>
              </w:rPr>
            </w:pPr>
            <w:r w:rsidRPr="00033E65">
              <w:rPr>
                <w:rFonts w:cs="Calibri"/>
                <w:color w:val="000000"/>
                <w:szCs w:val="22"/>
                <w:lang w:eastAsia="es-CR"/>
              </w:rPr>
              <w:t xml:space="preserve">Jueza o Juez 3 Agrario adscrita a la Jurisdicción Agraria  </w:t>
            </w:r>
          </w:p>
        </w:tc>
      </w:tr>
      <w:tr w:rsidR="00E92616" w:rsidRPr="00033E65" w14:paraId="2884E3D5" w14:textId="77777777" w:rsidTr="00F57BFF">
        <w:trPr>
          <w:trHeight w:val="118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15F90B2C" w14:textId="77777777" w:rsidR="00E92616" w:rsidRPr="00033E65" w:rsidRDefault="00E92616" w:rsidP="00F57BFF">
            <w:pPr>
              <w:spacing w:before="0" w:after="0"/>
              <w:jc w:val="left"/>
              <w:rPr>
                <w:rFonts w:cs="Calibri"/>
                <w:color w:val="000000"/>
                <w:szCs w:val="22"/>
                <w:lang w:eastAsia="es-CR"/>
              </w:rPr>
            </w:pPr>
            <w:r w:rsidRPr="00033E65">
              <w:rPr>
                <w:rFonts w:cs="Calibri"/>
                <w:color w:val="000000"/>
                <w:szCs w:val="22"/>
                <w:lang w:eastAsia="es-CR"/>
              </w:rPr>
              <w:t xml:space="preserve">Tribunal Agrario </w:t>
            </w:r>
          </w:p>
        </w:tc>
        <w:tc>
          <w:tcPr>
            <w:tcW w:w="509" w:type="pct"/>
            <w:tcBorders>
              <w:top w:val="nil"/>
              <w:left w:val="nil"/>
              <w:bottom w:val="double" w:sz="6" w:space="0" w:color="1F497D"/>
              <w:right w:val="double" w:sz="6" w:space="0" w:color="1F497D"/>
            </w:tcBorders>
            <w:shd w:val="clear" w:color="auto" w:fill="auto"/>
            <w:vAlign w:val="center"/>
            <w:hideMark/>
          </w:tcPr>
          <w:p w14:paraId="0E2E64B0" w14:textId="77777777" w:rsidR="00E92616" w:rsidRPr="00033E65" w:rsidRDefault="00E92616" w:rsidP="00F57BFF">
            <w:pPr>
              <w:spacing w:before="0" w:after="0"/>
              <w:jc w:val="center"/>
              <w:rPr>
                <w:rFonts w:cs="Calibri"/>
                <w:color w:val="000000"/>
                <w:szCs w:val="22"/>
                <w:lang w:eastAsia="es-CR"/>
              </w:rPr>
            </w:pPr>
            <w:r w:rsidRPr="00033E65">
              <w:rPr>
                <w:rFonts w:cs="Calibri"/>
                <w:color w:val="000000"/>
                <w:szCs w:val="22"/>
                <w:lang w:eastAsia="es-CR"/>
              </w:rPr>
              <w:t>7</w:t>
            </w:r>
          </w:p>
        </w:tc>
        <w:tc>
          <w:tcPr>
            <w:tcW w:w="681" w:type="pct"/>
            <w:tcBorders>
              <w:top w:val="nil"/>
              <w:left w:val="nil"/>
              <w:bottom w:val="double" w:sz="6" w:space="0" w:color="1F497D"/>
              <w:right w:val="double" w:sz="6" w:space="0" w:color="1F497D"/>
            </w:tcBorders>
            <w:shd w:val="clear" w:color="auto" w:fill="auto"/>
            <w:vAlign w:val="center"/>
            <w:hideMark/>
          </w:tcPr>
          <w:p w14:paraId="24D97547" w14:textId="77777777" w:rsidR="00E92616" w:rsidRPr="00033E65" w:rsidRDefault="00E92616" w:rsidP="00F57BFF">
            <w:pPr>
              <w:spacing w:before="0" w:after="0"/>
              <w:jc w:val="center"/>
              <w:rPr>
                <w:rFonts w:cs="Calibri"/>
                <w:color w:val="000000"/>
                <w:szCs w:val="22"/>
                <w:lang w:eastAsia="es-CR"/>
              </w:rPr>
            </w:pPr>
            <w:r w:rsidRPr="00033E65">
              <w:rPr>
                <w:rFonts w:cs="Calibri"/>
                <w:color w:val="000000"/>
                <w:szCs w:val="22"/>
                <w:lang w:eastAsia="es-CR"/>
              </w:rPr>
              <w:t>Reasignación de Juez 4 a Juez 5</w:t>
            </w:r>
          </w:p>
        </w:tc>
        <w:tc>
          <w:tcPr>
            <w:tcW w:w="788" w:type="pct"/>
            <w:tcBorders>
              <w:top w:val="nil"/>
              <w:left w:val="nil"/>
              <w:bottom w:val="double" w:sz="6" w:space="0" w:color="1F497D"/>
              <w:right w:val="double" w:sz="6" w:space="0" w:color="1F497D"/>
            </w:tcBorders>
            <w:shd w:val="clear" w:color="auto" w:fill="auto"/>
            <w:vAlign w:val="center"/>
            <w:hideMark/>
          </w:tcPr>
          <w:p w14:paraId="4574E741" w14:textId="77777777" w:rsidR="00E92616" w:rsidRPr="00033E65" w:rsidRDefault="00E92616" w:rsidP="00F57BFF">
            <w:pPr>
              <w:spacing w:before="0" w:after="0"/>
              <w:jc w:val="center"/>
              <w:rPr>
                <w:rFonts w:cs="Calibri"/>
                <w:color w:val="000000"/>
                <w:szCs w:val="22"/>
                <w:lang w:eastAsia="es-CR"/>
              </w:rPr>
            </w:pPr>
            <w:r w:rsidRPr="00033E65">
              <w:rPr>
                <w:rFonts w:cs="Calibri"/>
                <w:color w:val="000000"/>
                <w:szCs w:val="22"/>
                <w:lang w:eastAsia="es-CR"/>
              </w:rPr>
              <w:t>Ordinaria</w:t>
            </w:r>
          </w:p>
        </w:tc>
        <w:tc>
          <w:tcPr>
            <w:tcW w:w="440" w:type="pct"/>
            <w:tcBorders>
              <w:top w:val="nil"/>
              <w:left w:val="nil"/>
              <w:bottom w:val="double" w:sz="6" w:space="0" w:color="1F497D"/>
              <w:right w:val="double" w:sz="6" w:space="0" w:color="1F497D"/>
            </w:tcBorders>
            <w:shd w:val="clear" w:color="auto" w:fill="auto"/>
            <w:vAlign w:val="center"/>
            <w:hideMark/>
          </w:tcPr>
          <w:p w14:paraId="30D886E0" w14:textId="77777777" w:rsidR="00E92616" w:rsidRPr="00033E65" w:rsidRDefault="00E92616" w:rsidP="00F57BFF">
            <w:pPr>
              <w:spacing w:before="0" w:after="0"/>
              <w:jc w:val="center"/>
              <w:rPr>
                <w:rFonts w:cs="Calibri"/>
                <w:color w:val="000000"/>
                <w:szCs w:val="22"/>
                <w:lang w:eastAsia="es-CR"/>
              </w:rPr>
            </w:pPr>
            <w:r w:rsidRPr="00033E65">
              <w:rPr>
                <w:rFonts w:cs="Calibri"/>
                <w:color w:val="000000"/>
                <w:szCs w:val="22"/>
                <w:lang w:eastAsia="es-CR"/>
              </w:rPr>
              <w:t xml:space="preserve">12 meses </w:t>
            </w:r>
          </w:p>
        </w:tc>
        <w:tc>
          <w:tcPr>
            <w:tcW w:w="791" w:type="pct"/>
            <w:tcBorders>
              <w:top w:val="nil"/>
              <w:left w:val="nil"/>
              <w:bottom w:val="double" w:sz="6" w:space="0" w:color="1F497D"/>
              <w:right w:val="double" w:sz="6" w:space="0" w:color="1F497D"/>
            </w:tcBorders>
            <w:shd w:val="clear" w:color="auto" w:fill="auto"/>
            <w:vAlign w:val="center"/>
            <w:hideMark/>
          </w:tcPr>
          <w:p w14:paraId="7DBB062E" w14:textId="77777777" w:rsidR="00E92616" w:rsidRPr="00033E65" w:rsidRDefault="00E92616" w:rsidP="00F57BFF">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₡49.287.000,00</w:t>
            </w:r>
          </w:p>
        </w:tc>
        <w:tc>
          <w:tcPr>
            <w:tcW w:w="794" w:type="pct"/>
            <w:tcBorders>
              <w:top w:val="nil"/>
              <w:left w:val="nil"/>
              <w:bottom w:val="double" w:sz="6" w:space="0" w:color="1F497D"/>
              <w:right w:val="double" w:sz="6" w:space="0" w:color="1F497D"/>
            </w:tcBorders>
            <w:shd w:val="clear" w:color="auto" w:fill="auto"/>
            <w:vAlign w:val="center"/>
            <w:hideMark/>
          </w:tcPr>
          <w:p w14:paraId="0AE90581" w14:textId="77777777" w:rsidR="00E92616" w:rsidRPr="00033E65" w:rsidRDefault="00E92616" w:rsidP="00F57BFF">
            <w:pPr>
              <w:spacing w:before="0" w:after="0"/>
              <w:jc w:val="left"/>
              <w:rPr>
                <w:rFonts w:cs="Calibri"/>
                <w:color w:val="000000"/>
                <w:szCs w:val="22"/>
                <w:lang w:eastAsia="es-CR"/>
              </w:rPr>
            </w:pPr>
            <w:r w:rsidRPr="00033E65">
              <w:rPr>
                <w:rFonts w:cs="Calibri"/>
                <w:color w:val="000000"/>
                <w:szCs w:val="22"/>
                <w:lang w:eastAsia="es-CR"/>
              </w:rPr>
              <w:t>Siete plazas del Tribunal Agrario</w:t>
            </w:r>
          </w:p>
        </w:tc>
      </w:tr>
      <w:tr w:rsidR="00E92616" w:rsidRPr="00033E65" w14:paraId="6F51D809" w14:textId="77777777" w:rsidTr="00F57BFF">
        <w:trPr>
          <w:trHeight w:val="600"/>
          <w:jc w:val="center"/>
        </w:trPr>
        <w:tc>
          <w:tcPr>
            <w:tcW w:w="998" w:type="pct"/>
            <w:tcBorders>
              <w:top w:val="nil"/>
              <w:left w:val="double" w:sz="6" w:space="0" w:color="1F497D"/>
              <w:bottom w:val="double" w:sz="6" w:space="0" w:color="1F497D"/>
              <w:right w:val="double" w:sz="6" w:space="0" w:color="1F497D"/>
            </w:tcBorders>
            <w:shd w:val="clear" w:color="auto" w:fill="auto"/>
            <w:vAlign w:val="center"/>
          </w:tcPr>
          <w:p w14:paraId="0D251E2D" w14:textId="77777777" w:rsidR="00E92616" w:rsidRPr="00033E65" w:rsidRDefault="00E92616" w:rsidP="00F57BFF">
            <w:pPr>
              <w:spacing w:before="0" w:after="0"/>
              <w:jc w:val="left"/>
              <w:rPr>
                <w:rFonts w:cs="Calibri"/>
                <w:color w:val="000000"/>
                <w:szCs w:val="22"/>
                <w:lang w:eastAsia="es-CR"/>
              </w:rPr>
            </w:pPr>
            <w:r w:rsidRPr="00033E65">
              <w:rPr>
                <w:rStyle w:val="normaltextrun"/>
                <w:color w:val="000000"/>
                <w:szCs w:val="22"/>
                <w:shd w:val="clear" w:color="auto" w:fill="FFFFFF"/>
              </w:rPr>
              <w:t>Centro de Apoyo Coordinación y Mejoramiento de la Función Jurisdiccional</w:t>
            </w:r>
            <w:r w:rsidRPr="00033E65">
              <w:rPr>
                <w:rStyle w:val="eop"/>
                <w:rFonts w:eastAsiaTheme="majorEastAsia"/>
                <w:color w:val="000000"/>
                <w:szCs w:val="22"/>
                <w:shd w:val="clear" w:color="auto" w:fill="FFFFFF"/>
              </w:rPr>
              <w:t> </w:t>
            </w:r>
          </w:p>
        </w:tc>
        <w:tc>
          <w:tcPr>
            <w:tcW w:w="509" w:type="pct"/>
            <w:tcBorders>
              <w:top w:val="nil"/>
              <w:left w:val="nil"/>
              <w:bottom w:val="double" w:sz="6" w:space="0" w:color="1F497D"/>
              <w:right w:val="double" w:sz="6" w:space="0" w:color="1F497D"/>
            </w:tcBorders>
            <w:shd w:val="clear" w:color="auto" w:fill="auto"/>
            <w:vAlign w:val="center"/>
          </w:tcPr>
          <w:p w14:paraId="640355E0" w14:textId="77777777" w:rsidR="00E92616" w:rsidRPr="00033E65" w:rsidRDefault="00E92616" w:rsidP="00F57BFF">
            <w:pPr>
              <w:spacing w:before="0" w:after="0"/>
              <w:jc w:val="center"/>
              <w:rPr>
                <w:rFonts w:cs="Calibri"/>
                <w:color w:val="000000"/>
                <w:szCs w:val="22"/>
                <w:lang w:eastAsia="es-CR"/>
              </w:rPr>
            </w:pPr>
            <w:r w:rsidRPr="00033E65">
              <w:rPr>
                <w:rFonts w:cs="Calibri"/>
                <w:color w:val="000000"/>
                <w:szCs w:val="22"/>
                <w:lang w:eastAsia="es-CR"/>
              </w:rPr>
              <w:t>4</w:t>
            </w:r>
          </w:p>
        </w:tc>
        <w:tc>
          <w:tcPr>
            <w:tcW w:w="681" w:type="pct"/>
            <w:tcBorders>
              <w:top w:val="nil"/>
              <w:left w:val="nil"/>
              <w:bottom w:val="double" w:sz="6" w:space="0" w:color="1F497D"/>
              <w:right w:val="double" w:sz="6" w:space="0" w:color="1F497D"/>
            </w:tcBorders>
            <w:shd w:val="clear" w:color="auto" w:fill="auto"/>
            <w:vAlign w:val="center"/>
          </w:tcPr>
          <w:p w14:paraId="6F024EAF" w14:textId="77777777" w:rsidR="00E92616" w:rsidRPr="00033E65" w:rsidRDefault="00E92616" w:rsidP="00F57BFF">
            <w:pPr>
              <w:spacing w:before="0" w:after="0"/>
              <w:jc w:val="center"/>
              <w:rPr>
                <w:rFonts w:cs="Calibri"/>
                <w:color w:val="000000"/>
                <w:szCs w:val="22"/>
                <w:lang w:eastAsia="es-CR"/>
              </w:rPr>
            </w:pPr>
            <w:r w:rsidRPr="00033E65">
              <w:rPr>
                <w:rStyle w:val="normaltextrun"/>
                <w:color w:val="000000"/>
                <w:szCs w:val="22"/>
                <w:shd w:val="clear" w:color="auto" w:fill="FFFFFF"/>
              </w:rPr>
              <w:t>Jueza o Juez 3</w:t>
            </w:r>
            <w:r w:rsidRPr="00033E65">
              <w:rPr>
                <w:rStyle w:val="eop"/>
                <w:rFonts w:eastAsiaTheme="majorEastAsia"/>
                <w:color w:val="000000"/>
                <w:szCs w:val="22"/>
                <w:shd w:val="clear" w:color="auto" w:fill="FFFFFF"/>
              </w:rPr>
              <w:t> </w:t>
            </w:r>
          </w:p>
        </w:tc>
        <w:tc>
          <w:tcPr>
            <w:tcW w:w="788" w:type="pct"/>
            <w:tcBorders>
              <w:top w:val="nil"/>
              <w:left w:val="nil"/>
              <w:bottom w:val="double" w:sz="6" w:space="0" w:color="1F497D"/>
              <w:right w:val="double" w:sz="6" w:space="0" w:color="1F497D"/>
            </w:tcBorders>
            <w:shd w:val="clear" w:color="auto" w:fill="auto"/>
            <w:vAlign w:val="center"/>
          </w:tcPr>
          <w:p w14:paraId="46918762" w14:textId="77777777" w:rsidR="00E92616" w:rsidRPr="00033E65" w:rsidRDefault="00E92616" w:rsidP="00F57BFF">
            <w:pPr>
              <w:spacing w:before="0" w:after="0"/>
              <w:jc w:val="center"/>
              <w:rPr>
                <w:rFonts w:cs="Calibri"/>
                <w:color w:val="000000"/>
                <w:szCs w:val="22"/>
                <w:lang w:eastAsia="es-CR"/>
              </w:rPr>
            </w:pPr>
            <w:r w:rsidRPr="00033E65">
              <w:rPr>
                <w:rStyle w:val="normaltextrun"/>
                <w:color w:val="000000"/>
                <w:szCs w:val="22"/>
                <w:shd w:val="clear" w:color="auto" w:fill="FFFFFF"/>
              </w:rPr>
              <w:t>Extraordinaria</w:t>
            </w:r>
            <w:r w:rsidRPr="00033E65">
              <w:rPr>
                <w:rStyle w:val="eop"/>
                <w:rFonts w:eastAsiaTheme="majorEastAsia"/>
                <w:color w:val="000000"/>
                <w:szCs w:val="22"/>
                <w:shd w:val="clear" w:color="auto" w:fill="FFFFFF"/>
              </w:rPr>
              <w:t> </w:t>
            </w:r>
          </w:p>
        </w:tc>
        <w:tc>
          <w:tcPr>
            <w:tcW w:w="440" w:type="pct"/>
            <w:tcBorders>
              <w:top w:val="nil"/>
              <w:left w:val="nil"/>
              <w:bottom w:val="double" w:sz="6" w:space="0" w:color="1F497D"/>
              <w:right w:val="double" w:sz="6" w:space="0" w:color="1F497D"/>
            </w:tcBorders>
            <w:shd w:val="clear" w:color="auto" w:fill="auto"/>
            <w:vAlign w:val="center"/>
          </w:tcPr>
          <w:p w14:paraId="5803A586" w14:textId="77777777" w:rsidR="00E92616" w:rsidRPr="00033E65" w:rsidRDefault="00E92616" w:rsidP="00F57BFF">
            <w:pPr>
              <w:spacing w:before="0" w:after="0"/>
              <w:jc w:val="center"/>
              <w:rPr>
                <w:rFonts w:cs="Calibri"/>
                <w:color w:val="000000"/>
                <w:szCs w:val="22"/>
                <w:lang w:eastAsia="es-CR"/>
              </w:rPr>
            </w:pPr>
            <w:r w:rsidRPr="00033E65">
              <w:rPr>
                <w:rStyle w:val="normaltextrun"/>
                <w:color w:val="000000"/>
                <w:szCs w:val="22"/>
                <w:shd w:val="clear" w:color="auto" w:fill="FFFFFF"/>
              </w:rPr>
              <w:t>12 meses</w:t>
            </w:r>
            <w:r w:rsidRPr="00033E65">
              <w:rPr>
                <w:rStyle w:val="eop"/>
                <w:rFonts w:eastAsiaTheme="majorEastAsia"/>
                <w:color w:val="000000"/>
                <w:szCs w:val="22"/>
                <w:shd w:val="clear" w:color="auto" w:fill="FFFFFF"/>
              </w:rPr>
              <w:t> </w:t>
            </w:r>
          </w:p>
        </w:tc>
        <w:tc>
          <w:tcPr>
            <w:tcW w:w="791" w:type="pct"/>
            <w:tcBorders>
              <w:top w:val="nil"/>
              <w:left w:val="nil"/>
              <w:bottom w:val="double" w:sz="6" w:space="0" w:color="1F497D"/>
              <w:right w:val="double" w:sz="6" w:space="0" w:color="1F497D"/>
            </w:tcBorders>
            <w:shd w:val="clear" w:color="auto" w:fill="auto"/>
            <w:vAlign w:val="center"/>
          </w:tcPr>
          <w:p w14:paraId="1EF1E73D" w14:textId="77777777" w:rsidR="00E92616" w:rsidRPr="00033E65" w:rsidRDefault="00E92616" w:rsidP="00F57BFF">
            <w:pPr>
              <w:spacing w:before="0" w:after="0"/>
              <w:jc w:val="center"/>
              <w:rPr>
                <w:rFonts w:ascii="Times New Roman" w:hAnsi="Times New Roman"/>
                <w:color w:val="000000"/>
                <w:szCs w:val="22"/>
                <w:lang w:eastAsia="es-CR"/>
              </w:rPr>
            </w:pPr>
            <w:r w:rsidRPr="00033E65">
              <w:rPr>
                <w:rStyle w:val="normaltextrun"/>
                <w:rFonts w:ascii="Times New Roman" w:hAnsi="Times New Roman"/>
                <w:color w:val="000000"/>
                <w:szCs w:val="22"/>
                <w:shd w:val="clear" w:color="auto" w:fill="FFFFFF"/>
              </w:rPr>
              <w:t>₡</w:t>
            </w:r>
            <w:r w:rsidRPr="00033E65">
              <w:rPr>
                <w:rStyle w:val="normaltextrun"/>
                <w:color w:val="000000"/>
                <w:szCs w:val="22"/>
                <w:shd w:val="clear" w:color="auto" w:fill="FFFFFF"/>
              </w:rPr>
              <w:t>217.172.000,00 </w:t>
            </w:r>
            <w:r w:rsidRPr="00033E65">
              <w:rPr>
                <w:rStyle w:val="eop"/>
                <w:rFonts w:eastAsiaTheme="majorEastAsia"/>
                <w:color w:val="000000"/>
                <w:szCs w:val="22"/>
                <w:shd w:val="clear" w:color="auto" w:fill="FFFFFF"/>
              </w:rPr>
              <w:t> </w:t>
            </w:r>
          </w:p>
        </w:tc>
        <w:tc>
          <w:tcPr>
            <w:tcW w:w="794" w:type="pct"/>
            <w:tcBorders>
              <w:top w:val="nil"/>
              <w:left w:val="nil"/>
              <w:bottom w:val="double" w:sz="6" w:space="0" w:color="1F497D"/>
              <w:right w:val="double" w:sz="6" w:space="0" w:color="1F497D"/>
            </w:tcBorders>
            <w:shd w:val="clear" w:color="auto" w:fill="auto"/>
            <w:vAlign w:val="center"/>
          </w:tcPr>
          <w:p w14:paraId="4140D5AB" w14:textId="77777777" w:rsidR="00E92616" w:rsidRPr="00033E65" w:rsidRDefault="00E92616" w:rsidP="00F57BFF">
            <w:pPr>
              <w:spacing w:before="0" w:after="0"/>
              <w:jc w:val="left"/>
              <w:rPr>
                <w:rFonts w:cs="Calibri"/>
                <w:color w:val="000000"/>
                <w:szCs w:val="22"/>
                <w:lang w:eastAsia="es-CR"/>
              </w:rPr>
            </w:pPr>
            <w:r w:rsidRPr="00033E65">
              <w:rPr>
                <w:rStyle w:val="normaltextrun"/>
                <w:color w:val="000000"/>
                <w:szCs w:val="22"/>
                <w:shd w:val="clear" w:color="auto" w:fill="FFFFFF"/>
              </w:rPr>
              <w:t>Jueza o Juez 3 Agrario adscrita al CACMFJ</w:t>
            </w:r>
            <w:r w:rsidRPr="00033E65">
              <w:rPr>
                <w:rStyle w:val="eop"/>
                <w:rFonts w:eastAsiaTheme="majorEastAsia"/>
                <w:color w:val="000000"/>
                <w:szCs w:val="22"/>
                <w:shd w:val="clear" w:color="auto" w:fill="FFFFFF"/>
              </w:rPr>
              <w:t> </w:t>
            </w:r>
          </w:p>
        </w:tc>
      </w:tr>
      <w:tr w:rsidR="00E92616" w:rsidRPr="00033E65" w14:paraId="33051761" w14:textId="77777777" w:rsidTr="00F57BFF">
        <w:trPr>
          <w:trHeight w:val="60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31D9C615" w14:textId="77777777" w:rsidR="00E92616" w:rsidRPr="00033E65" w:rsidRDefault="00E92616" w:rsidP="00F57BFF">
            <w:pPr>
              <w:spacing w:before="0" w:after="0"/>
              <w:jc w:val="left"/>
              <w:rPr>
                <w:rFonts w:cs="Calibri"/>
                <w:color w:val="000000"/>
                <w:szCs w:val="22"/>
                <w:lang w:eastAsia="es-CR"/>
              </w:rPr>
            </w:pPr>
            <w:r w:rsidRPr="00033E65">
              <w:rPr>
                <w:rFonts w:cs="Calibri"/>
                <w:color w:val="000000"/>
                <w:szCs w:val="22"/>
                <w:lang w:eastAsia="es-CR"/>
              </w:rPr>
              <w:t>Dirección Ejecutiva</w:t>
            </w:r>
          </w:p>
        </w:tc>
        <w:tc>
          <w:tcPr>
            <w:tcW w:w="509" w:type="pct"/>
            <w:tcBorders>
              <w:top w:val="nil"/>
              <w:left w:val="nil"/>
              <w:bottom w:val="double" w:sz="6" w:space="0" w:color="1F497D"/>
              <w:right w:val="double" w:sz="6" w:space="0" w:color="1F497D"/>
            </w:tcBorders>
            <w:shd w:val="clear" w:color="auto" w:fill="auto"/>
            <w:vAlign w:val="center"/>
            <w:hideMark/>
          </w:tcPr>
          <w:p w14:paraId="0A90F45D" w14:textId="77777777" w:rsidR="00E92616" w:rsidRPr="00033E65" w:rsidRDefault="00E92616" w:rsidP="00F57BFF">
            <w:pPr>
              <w:spacing w:before="0" w:after="0"/>
              <w:jc w:val="center"/>
              <w:rPr>
                <w:rFonts w:cs="Calibri"/>
                <w:color w:val="000000"/>
                <w:szCs w:val="22"/>
                <w:lang w:eastAsia="es-CR"/>
              </w:rPr>
            </w:pPr>
            <w:r w:rsidRPr="00033E65">
              <w:rPr>
                <w:rFonts w:cs="Calibri"/>
                <w:color w:val="000000"/>
                <w:szCs w:val="22"/>
                <w:lang w:eastAsia="es-CR"/>
              </w:rPr>
              <w:t>12</w:t>
            </w:r>
          </w:p>
        </w:tc>
        <w:tc>
          <w:tcPr>
            <w:tcW w:w="681" w:type="pct"/>
            <w:tcBorders>
              <w:top w:val="nil"/>
              <w:left w:val="nil"/>
              <w:bottom w:val="double" w:sz="6" w:space="0" w:color="1F497D"/>
              <w:right w:val="double" w:sz="6" w:space="0" w:color="1F497D"/>
            </w:tcBorders>
            <w:shd w:val="clear" w:color="auto" w:fill="auto"/>
            <w:vAlign w:val="center"/>
            <w:hideMark/>
          </w:tcPr>
          <w:p w14:paraId="75FB5A5D" w14:textId="77777777" w:rsidR="00E92616" w:rsidRPr="00033E65" w:rsidRDefault="00E92616" w:rsidP="00F57BFF">
            <w:pPr>
              <w:spacing w:before="0" w:after="0"/>
              <w:jc w:val="center"/>
              <w:rPr>
                <w:rFonts w:cs="Calibri"/>
                <w:color w:val="000000"/>
                <w:szCs w:val="22"/>
                <w:lang w:eastAsia="es-CR"/>
              </w:rPr>
            </w:pPr>
            <w:r w:rsidRPr="00033E65">
              <w:rPr>
                <w:rFonts w:cs="Calibri"/>
                <w:color w:val="000000"/>
                <w:szCs w:val="22"/>
                <w:lang w:eastAsia="es-CR"/>
              </w:rPr>
              <w:t>Chofer</w:t>
            </w:r>
          </w:p>
        </w:tc>
        <w:tc>
          <w:tcPr>
            <w:tcW w:w="788" w:type="pct"/>
            <w:tcBorders>
              <w:top w:val="nil"/>
              <w:left w:val="nil"/>
              <w:bottom w:val="double" w:sz="6" w:space="0" w:color="1F497D"/>
              <w:right w:val="double" w:sz="6" w:space="0" w:color="1F497D"/>
            </w:tcBorders>
            <w:shd w:val="clear" w:color="auto" w:fill="auto"/>
            <w:vAlign w:val="center"/>
            <w:hideMark/>
          </w:tcPr>
          <w:p w14:paraId="46C6A609" w14:textId="77777777" w:rsidR="00E92616" w:rsidRPr="00033E65" w:rsidRDefault="00E92616" w:rsidP="00F57BFF">
            <w:pPr>
              <w:spacing w:before="0" w:after="0"/>
              <w:jc w:val="center"/>
              <w:rPr>
                <w:rFonts w:cs="Calibri"/>
                <w:color w:val="000000"/>
                <w:szCs w:val="22"/>
                <w:lang w:eastAsia="es-CR"/>
              </w:rPr>
            </w:pPr>
            <w:r w:rsidRPr="00033E65">
              <w:rPr>
                <w:rFonts w:cs="Calibri"/>
                <w:color w:val="000000"/>
                <w:szCs w:val="22"/>
                <w:lang w:eastAsia="es-CR"/>
              </w:rPr>
              <w:t>Extraordinarias</w:t>
            </w:r>
          </w:p>
        </w:tc>
        <w:tc>
          <w:tcPr>
            <w:tcW w:w="440" w:type="pct"/>
            <w:tcBorders>
              <w:top w:val="nil"/>
              <w:left w:val="nil"/>
              <w:bottom w:val="double" w:sz="6" w:space="0" w:color="1F497D"/>
              <w:right w:val="double" w:sz="6" w:space="0" w:color="1F497D"/>
            </w:tcBorders>
            <w:shd w:val="clear" w:color="auto" w:fill="auto"/>
            <w:vAlign w:val="center"/>
            <w:hideMark/>
          </w:tcPr>
          <w:p w14:paraId="4DDC71AC" w14:textId="77777777" w:rsidR="00E92616" w:rsidRPr="00033E65" w:rsidRDefault="00E92616" w:rsidP="00F57BFF">
            <w:pPr>
              <w:spacing w:before="0" w:after="0"/>
              <w:jc w:val="center"/>
              <w:rPr>
                <w:rFonts w:cs="Calibri"/>
                <w:color w:val="000000"/>
                <w:szCs w:val="22"/>
                <w:lang w:eastAsia="es-CR"/>
              </w:rPr>
            </w:pPr>
            <w:r w:rsidRPr="00033E65">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hideMark/>
          </w:tcPr>
          <w:p w14:paraId="1D01BB7D" w14:textId="77777777" w:rsidR="00E92616" w:rsidRPr="0043490A" w:rsidRDefault="00E92616" w:rsidP="00F57BFF">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₡162.564.000,00 </w:t>
            </w:r>
          </w:p>
        </w:tc>
        <w:tc>
          <w:tcPr>
            <w:tcW w:w="794" w:type="pct"/>
            <w:tcBorders>
              <w:top w:val="nil"/>
              <w:left w:val="nil"/>
              <w:bottom w:val="double" w:sz="6" w:space="0" w:color="1F497D"/>
              <w:right w:val="double" w:sz="6" w:space="0" w:color="1F497D"/>
            </w:tcBorders>
            <w:shd w:val="clear" w:color="auto" w:fill="auto"/>
            <w:vAlign w:val="center"/>
            <w:hideMark/>
          </w:tcPr>
          <w:p w14:paraId="66826261" w14:textId="77777777" w:rsidR="00E92616" w:rsidRPr="00033E65" w:rsidRDefault="00E92616" w:rsidP="00F57BFF">
            <w:pPr>
              <w:spacing w:before="0" w:after="0"/>
              <w:jc w:val="left"/>
              <w:rPr>
                <w:rFonts w:cs="Calibri"/>
                <w:color w:val="000000"/>
                <w:szCs w:val="22"/>
                <w:lang w:eastAsia="es-CR"/>
              </w:rPr>
            </w:pPr>
            <w:r w:rsidRPr="00033E65">
              <w:rPr>
                <w:rFonts w:cs="Calibri"/>
                <w:color w:val="000000"/>
                <w:szCs w:val="22"/>
                <w:lang w:eastAsia="es-CR"/>
              </w:rPr>
              <w:t xml:space="preserve">Choferes adscritos a la Administración </w:t>
            </w:r>
          </w:p>
        </w:tc>
      </w:tr>
      <w:tr w:rsidR="00E92616" w:rsidRPr="00033E65" w14:paraId="6C378C30" w14:textId="77777777" w:rsidTr="00F57BFF">
        <w:trPr>
          <w:trHeight w:val="600"/>
          <w:jc w:val="center"/>
        </w:trPr>
        <w:tc>
          <w:tcPr>
            <w:tcW w:w="998" w:type="pct"/>
            <w:tcBorders>
              <w:top w:val="nil"/>
              <w:left w:val="double" w:sz="6" w:space="0" w:color="1F497D"/>
              <w:bottom w:val="double" w:sz="6" w:space="0" w:color="1F497D"/>
              <w:right w:val="double" w:sz="6" w:space="0" w:color="1F497D"/>
            </w:tcBorders>
            <w:shd w:val="clear" w:color="auto" w:fill="auto"/>
            <w:vAlign w:val="center"/>
          </w:tcPr>
          <w:p w14:paraId="655EAC8B" w14:textId="77777777" w:rsidR="00E92616" w:rsidRPr="00033E65" w:rsidRDefault="00E92616" w:rsidP="00F57BFF">
            <w:pPr>
              <w:spacing w:before="0" w:after="0"/>
              <w:jc w:val="left"/>
              <w:rPr>
                <w:rFonts w:cs="Calibri"/>
                <w:color w:val="000000"/>
                <w:szCs w:val="22"/>
                <w:lang w:eastAsia="es-CR"/>
              </w:rPr>
            </w:pPr>
            <w:r>
              <w:rPr>
                <w:rFonts w:cs="Calibri"/>
                <w:color w:val="000000"/>
                <w:szCs w:val="22"/>
                <w:lang w:eastAsia="es-CR"/>
              </w:rPr>
              <w:t>Defensa Pública</w:t>
            </w:r>
          </w:p>
        </w:tc>
        <w:tc>
          <w:tcPr>
            <w:tcW w:w="509" w:type="pct"/>
            <w:tcBorders>
              <w:top w:val="nil"/>
              <w:left w:val="nil"/>
              <w:bottom w:val="double" w:sz="6" w:space="0" w:color="1F497D"/>
              <w:right w:val="double" w:sz="6" w:space="0" w:color="1F497D"/>
            </w:tcBorders>
            <w:shd w:val="clear" w:color="auto" w:fill="auto"/>
            <w:vAlign w:val="center"/>
          </w:tcPr>
          <w:p w14:paraId="7C0E3532" w14:textId="77777777" w:rsidR="00E92616" w:rsidRPr="00033E65" w:rsidRDefault="00E92616" w:rsidP="00F57BFF">
            <w:pPr>
              <w:spacing w:before="0" w:after="0"/>
              <w:jc w:val="center"/>
              <w:rPr>
                <w:rFonts w:cs="Calibri"/>
                <w:color w:val="000000"/>
                <w:szCs w:val="22"/>
                <w:lang w:eastAsia="es-CR"/>
              </w:rPr>
            </w:pPr>
            <w:r>
              <w:rPr>
                <w:rFonts w:cs="Calibri"/>
                <w:color w:val="000000"/>
                <w:szCs w:val="22"/>
                <w:lang w:eastAsia="es-CR"/>
              </w:rPr>
              <w:t>1</w:t>
            </w:r>
          </w:p>
        </w:tc>
        <w:tc>
          <w:tcPr>
            <w:tcW w:w="681" w:type="pct"/>
            <w:tcBorders>
              <w:top w:val="nil"/>
              <w:left w:val="nil"/>
              <w:bottom w:val="double" w:sz="6" w:space="0" w:color="1F497D"/>
              <w:right w:val="double" w:sz="6" w:space="0" w:color="1F497D"/>
            </w:tcBorders>
            <w:shd w:val="clear" w:color="auto" w:fill="auto"/>
            <w:vAlign w:val="center"/>
          </w:tcPr>
          <w:p w14:paraId="481BC429" w14:textId="77777777" w:rsidR="00E92616" w:rsidRPr="00033E65" w:rsidRDefault="00E92616" w:rsidP="00F57BFF">
            <w:pPr>
              <w:spacing w:before="0" w:after="0"/>
              <w:jc w:val="center"/>
              <w:rPr>
                <w:rFonts w:cs="Calibri"/>
                <w:color w:val="000000"/>
                <w:szCs w:val="22"/>
                <w:lang w:eastAsia="es-CR"/>
              </w:rPr>
            </w:pPr>
            <w:r>
              <w:rPr>
                <w:rFonts w:cs="Calibri"/>
                <w:color w:val="000000"/>
                <w:szCs w:val="22"/>
                <w:lang w:eastAsia="es-CR"/>
              </w:rPr>
              <w:t>Profesional 1</w:t>
            </w:r>
          </w:p>
        </w:tc>
        <w:tc>
          <w:tcPr>
            <w:tcW w:w="788" w:type="pct"/>
            <w:tcBorders>
              <w:top w:val="nil"/>
              <w:left w:val="nil"/>
              <w:bottom w:val="double" w:sz="6" w:space="0" w:color="1F497D"/>
              <w:right w:val="double" w:sz="6" w:space="0" w:color="1F497D"/>
            </w:tcBorders>
            <w:shd w:val="clear" w:color="auto" w:fill="auto"/>
            <w:vAlign w:val="center"/>
          </w:tcPr>
          <w:p w14:paraId="6C41429E" w14:textId="6D3A835C" w:rsidR="00E92616" w:rsidRPr="00033E65" w:rsidRDefault="004D349A" w:rsidP="00F57BFF">
            <w:pPr>
              <w:spacing w:before="0" w:after="0"/>
              <w:jc w:val="center"/>
              <w:rPr>
                <w:rFonts w:cs="Calibri"/>
                <w:color w:val="000000"/>
                <w:szCs w:val="22"/>
                <w:lang w:eastAsia="es-CR"/>
              </w:rPr>
            </w:pPr>
            <w:r>
              <w:rPr>
                <w:rFonts w:cs="Calibri"/>
                <w:color w:val="000000"/>
                <w:szCs w:val="22"/>
                <w:lang w:eastAsia="es-CR"/>
              </w:rPr>
              <w:t>Ordinaria</w:t>
            </w:r>
          </w:p>
        </w:tc>
        <w:tc>
          <w:tcPr>
            <w:tcW w:w="440" w:type="pct"/>
            <w:tcBorders>
              <w:top w:val="nil"/>
              <w:left w:val="nil"/>
              <w:bottom w:val="double" w:sz="6" w:space="0" w:color="1F497D"/>
              <w:right w:val="double" w:sz="6" w:space="0" w:color="1F497D"/>
            </w:tcBorders>
            <w:shd w:val="clear" w:color="auto" w:fill="auto"/>
            <w:vAlign w:val="center"/>
          </w:tcPr>
          <w:p w14:paraId="1EA58C8E" w14:textId="77777777" w:rsidR="00E92616" w:rsidRPr="00033E65" w:rsidRDefault="00E92616" w:rsidP="00F57BFF">
            <w:pPr>
              <w:spacing w:before="0" w:after="0"/>
              <w:jc w:val="center"/>
              <w:rPr>
                <w:rFonts w:cs="Calibri"/>
                <w:color w:val="000000"/>
                <w:szCs w:val="22"/>
                <w:lang w:eastAsia="es-CR"/>
              </w:rPr>
            </w:pPr>
            <w:r>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tcPr>
          <w:p w14:paraId="500DDF74" w14:textId="77777777" w:rsidR="00E92616" w:rsidRPr="00033E65" w:rsidRDefault="00E92616" w:rsidP="00F57BFF">
            <w:pPr>
              <w:spacing w:before="0" w:after="0"/>
              <w:jc w:val="center"/>
              <w:rPr>
                <w:rFonts w:ascii="Times New Roman" w:hAnsi="Times New Roman"/>
                <w:color w:val="000000"/>
                <w:szCs w:val="22"/>
                <w:lang w:eastAsia="es-CR"/>
              </w:rPr>
            </w:pPr>
            <w:r>
              <w:rPr>
                <w:rFonts w:cs="Arial"/>
                <w:szCs w:val="22"/>
                <w:lang w:eastAsia="es-CR"/>
              </w:rPr>
              <w:t>¢</w:t>
            </w:r>
            <w:r w:rsidRPr="00624403">
              <w:rPr>
                <w:rFonts w:cs="Arial"/>
                <w:szCs w:val="22"/>
                <w:lang w:eastAsia="es-CR"/>
              </w:rPr>
              <w:t>25</w:t>
            </w:r>
            <w:r>
              <w:rPr>
                <w:rFonts w:cs="Arial"/>
                <w:szCs w:val="22"/>
                <w:lang w:eastAsia="es-CR"/>
              </w:rPr>
              <w:t xml:space="preserve"> </w:t>
            </w:r>
            <w:r w:rsidRPr="00624403">
              <w:rPr>
                <w:rFonts w:cs="Arial"/>
                <w:szCs w:val="22"/>
                <w:lang w:eastAsia="es-CR"/>
              </w:rPr>
              <w:t>913</w:t>
            </w:r>
            <w:r>
              <w:rPr>
                <w:rFonts w:cs="Arial"/>
                <w:szCs w:val="22"/>
                <w:lang w:eastAsia="es-CR"/>
              </w:rPr>
              <w:t xml:space="preserve"> 000</w:t>
            </w:r>
          </w:p>
        </w:tc>
        <w:tc>
          <w:tcPr>
            <w:tcW w:w="794" w:type="pct"/>
            <w:tcBorders>
              <w:top w:val="nil"/>
              <w:left w:val="nil"/>
              <w:bottom w:val="double" w:sz="6" w:space="0" w:color="1F497D"/>
              <w:right w:val="double" w:sz="6" w:space="0" w:color="1F497D"/>
            </w:tcBorders>
            <w:shd w:val="clear" w:color="auto" w:fill="auto"/>
            <w:vAlign w:val="center"/>
          </w:tcPr>
          <w:p w14:paraId="3F424400" w14:textId="77777777" w:rsidR="00E92616" w:rsidRPr="00033E65" w:rsidRDefault="00E92616" w:rsidP="00F57BFF">
            <w:pPr>
              <w:spacing w:before="0" w:after="0"/>
              <w:jc w:val="left"/>
              <w:rPr>
                <w:rFonts w:cs="Calibri"/>
                <w:color w:val="000000"/>
                <w:szCs w:val="22"/>
                <w:lang w:eastAsia="es-CR"/>
              </w:rPr>
            </w:pPr>
            <w:r>
              <w:rPr>
                <w:rFonts w:cs="Calibri"/>
                <w:color w:val="000000"/>
                <w:szCs w:val="22"/>
                <w:lang w:eastAsia="es-CR"/>
              </w:rPr>
              <w:t>Plaza requerida para la Administración de la Defensa Pública</w:t>
            </w:r>
          </w:p>
        </w:tc>
      </w:tr>
      <w:tr w:rsidR="00E92616" w:rsidRPr="00033E65" w14:paraId="5D868C16" w14:textId="77777777" w:rsidTr="00F57BFF">
        <w:trPr>
          <w:trHeight w:val="310"/>
          <w:jc w:val="center"/>
        </w:trPr>
        <w:tc>
          <w:tcPr>
            <w:tcW w:w="5000" w:type="pct"/>
            <w:gridSpan w:val="7"/>
            <w:tcBorders>
              <w:top w:val="double" w:sz="6" w:space="0" w:color="1F497D"/>
              <w:left w:val="double" w:sz="6" w:space="0" w:color="0673A5"/>
              <w:bottom w:val="nil"/>
              <w:right w:val="double" w:sz="6" w:space="0" w:color="0673A5"/>
            </w:tcBorders>
            <w:shd w:val="clear" w:color="000000" w:fill="DCE6F1"/>
            <w:vAlign w:val="center"/>
            <w:hideMark/>
          </w:tcPr>
          <w:p w14:paraId="2A0A05A0" w14:textId="77777777" w:rsidR="00E92616" w:rsidRPr="00033E65" w:rsidRDefault="00E92616" w:rsidP="00F57BFF">
            <w:pPr>
              <w:spacing w:before="0" w:after="0"/>
              <w:jc w:val="center"/>
              <w:rPr>
                <w:rFonts w:cs="Calibri"/>
                <w:b/>
                <w:bCs/>
                <w:color w:val="000000"/>
                <w:szCs w:val="22"/>
                <w:lang w:eastAsia="es-CR"/>
              </w:rPr>
            </w:pPr>
            <w:r w:rsidRPr="00033E65">
              <w:rPr>
                <w:rFonts w:cs="Calibri"/>
                <w:b/>
                <w:bCs/>
                <w:color w:val="000000"/>
                <w:szCs w:val="22"/>
                <w:lang w:eastAsia="es-CR"/>
              </w:rPr>
              <w:t>Existe un dato inestimable al no poder contar con la carga de todos los asuntos.</w:t>
            </w:r>
          </w:p>
        </w:tc>
      </w:tr>
      <w:tr w:rsidR="00E92616" w:rsidRPr="00033E65" w14:paraId="466B4CBC" w14:textId="77777777" w:rsidTr="00F57BFF">
        <w:trPr>
          <w:trHeight w:val="310"/>
          <w:jc w:val="center"/>
        </w:trPr>
        <w:tc>
          <w:tcPr>
            <w:tcW w:w="998" w:type="pct"/>
            <w:tcBorders>
              <w:top w:val="double" w:sz="6" w:space="0" w:color="0673A5"/>
              <w:left w:val="double" w:sz="6" w:space="0" w:color="0673A5"/>
              <w:bottom w:val="double" w:sz="6" w:space="0" w:color="0673A5"/>
              <w:right w:val="double" w:sz="6" w:space="0" w:color="0673A5"/>
            </w:tcBorders>
            <w:shd w:val="clear" w:color="000000" w:fill="DCE6F1"/>
            <w:vAlign w:val="center"/>
            <w:hideMark/>
          </w:tcPr>
          <w:p w14:paraId="0DB91458" w14:textId="77777777" w:rsidR="00E92616" w:rsidRPr="00033E65" w:rsidRDefault="00E92616" w:rsidP="00F57BFF">
            <w:pPr>
              <w:spacing w:before="0" w:after="0"/>
              <w:jc w:val="right"/>
              <w:rPr>
                <w:rFonts w:cs="Calibri"/>
                <w:b/>
                <w:bCs/>
                <w:color w:val="000000"/>
                <w:szCs w:val="22"/>
                <w:lang w:eastAsia="es-CR"/>
              </w:rPr>
            </w:pPr>
            <w:r w:rsidRPr="00033E65">
              <w:rPr>
                <w:rFonts w:cs="Calibri"/>
                <w:b/>
                <w:bCs/>
                <w:color w:val="000000"/>
                <w:szCs w:val="22"/>
                <w:lang w:eastAsia="es-CR"/>
              </w:rPr>
              <w:t>Total</w:t>
            </w:r>
          </w:p>
        </w:tc>
        <w:tc>
          <w:tcPr>
            <w:tcW w:w="509" w:type="pct"/>
            <w:tcBorders>
              <w:top w:val="double" w:sz="6" w:space="0" w:color="0673A5"/>
              <w:left w:val="nil"/>
              <w:bottom w:val="double" w:sz="6" w:space="0" w:color="0673A5"/>
              <w:right w:val="double" w:sz="6" w:space="0" w:color="0673A5"/>
            </w:tcBorders>
            <w:shd w:val="clear" w:color="000000" w:fill="DCE6F1"/>
            <w:vAlign w:val="center"/>
            <w:hideMark/>
          </w:tcPr>
          <w:p w14:paraId="104E1A1C" w14:textId="77777777" w:rsidR="00E92616" w:rsidRPr="00033E65" w:rsidRDefault="00E92616" w:rsidP="00F57BFF">
            <w:pPr>
              <w:spacing w:before="0" w:after="0"/>
              <w:jc w:val="center"/>
              <w:rPr>
                <w:rFonts w:cs="Calibri"/>
                <w:b/>
                <w:bCs/>
                <w:color w:val="000000"/>
                <w:szCs w:val="22"/>
                <w:lang w:eastAsia="es-CR"/>
              </w:rPr>
            </w:pPr>
            <w:r w:rsidRPr="00033E65">
              <w:rPr>
                <w:rFonts w:cs="Calibri"/>
                <w:b/>
                <w:bCs/>
                <w:color w:val="000000"/>
                <w:szCs w:val="22"/>
                <w:lang w:eastAsia="es-CR"/>
              </w:rPr>
              <w:t>24</w:t>
            </w:r>
          </w:p>
        </w:tc>
        <w:tc>
          <w:tcPr>
            <w:tcW w:w="1909" w:type="pct"/>
            <w:gridSpan w:val="3"/>
            <w:tcBorders>
              <w:top w:val="double" w:sz="6" w:space="0" w:color="1F497D"/>
              <w:left w:val="nil"/>
              <w:bottom w:val="double" w:sz="6" w:space="0" w:color="1F497D"/>
              <w:right w:val="double" w:sz="6" w:space="0" w:color="1F497D"/>
            </w:tcBorders>
            <w:shd w:val="clear" w:color="000000" w:fill="DCE6F1"/>
            <w:vAlign w:val="center"/>
            <w:hideMark/>
          </w:tcPr>
          <w:p w14:paraId="1F4C691C" w14:textId="77777777" w:rsidR="00E92616" w:rsidRPr="00033E65" w:rsidRDefault="00E92616" w:rsidP="00F57BFF">
            <w:pPr>
              <w:spacing w:before="0" w:after="0"/>
              <w:jc w:val="center"/>
              <w:rPr>
                <w:rFonts w:cs="Calibri"/>
                <w:color w:val="000000"/>
                <w:szCs w:val="22"/>
                <w:lang w:eastAsia="es-CR"/>
              </w:rPr>
            </w:pPr>
            <w:r w:rsidRPr="00033E65">
              <w:rPr>
                <w:rFonts w:cs="Calibri"/>
                <w:color w:val="000000"/>
                <w:szCs w:val="22"/>
                <w:lang w:eastAsia="es-CR"/>
              </w:rPr>
              <w:t> </w:t>
            </w:r>
          </w:p>
        </w:tc>
        <w:tc>
          <w:tcPr>
            <w:tcW w:w="1585" w:type="pct"/>
            <w:gridSpan w:val="2"/>
            <w:tcBorders>
              <w:top w:val="double" w:sz="6" w:space="0" w:color="1F497D"/>
              <w:left w:val="nil"/>
              <w:bottom w:val="double" w:sz="6" w:space="0" w:color="1F497D"/>
              <w:right w:val="double" w:sz="6" w:space="0" w:color="1F497D"/>
            </w:tcBorders>
            <w:shd w:val="clear" w:color="000000" w:fill="DCE6F1"/>
            <w:vAlign w:val="center"/>
            <w:hideMark/>
          </w:tcPr>
          <w:p w14:paraId="51690ED8" w14:textId="77777777" w:rsidR="00E92616" w:rsidRPr="00033E65" w:rsidRDefault="00E92616" w:rsidP="00F57BFF">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w:t>
            </w:r>
            <w:r>
              <w:rPr>
                <w:rFonts w:ascii="Times New Roman" w:hAnsi="Times New Roman"/>
                <w:b/>
                <w:bCs/>
                <w:color w:val="000000"/>
                <w:szCs w:val="22"/>
                <w:lang w:eastAsia="es-CR"/>
              </w:rPr>
              <w:t xml:space="preserve">509 229 </w:t>
            </w:r>
            <w:r w:rsidRPr="00033E65">
              <w:rPr>
                <w:rFonts w:ascii="Times New Roman" w:hAnsi="Times New Roman"/>
                <w:b/>
                <w:bCs/>
                <w:color w:val="000000"/>
                <w:szCs w:val="22"/>
                <w:lang w:eastAsia="es-CR"/>
              </w:rPr>
              <w:t xml:space="preserve">000,00 </w:t>
            </w:r>
          </w:p>
        </w:tc>
      </w:tr>
    </w:tbl>
    <w:p w14:paraId="62DCF1EA" w14:textId="40264B3B" w:rsidR="008636D6" w:rsidRPr="00033E65" w:rsidRDefault="008636D6" w:rsidP="00924F24">
      <w:pPr>
        <w:rPr>
          <w:bCs/>
          <w:i/>
          <w:sz w:val="18"/>
        </w:rPr>
      </w:pPr>
      <w:r w:rsidRPr="00033E65">
        <w:rPr>
          <w:bCs/>
          <w:i/>
          <w:sz w:val="18"/>
        </w:rPr>
        <w:t>Fuente: Subproceso de Modernización Institucional, área No Penal.</w:t>
      </w:r>
    </w:p>
    <w:p w14:paraId="51397932" w14:textId="77777777" w:rsidR="008636D6" w:rsidRPr="00033E65" w:rsidRDefault="008636D6" w:rsidP="00924F24">
      <w:pPr>
        <w:ind w:left="-567"/>
        <w:rPr>
          <w:bCs/>
          <w:i/>
          <w:sz w:val="18"/>
        </w:rPr>
      </w:pPr>
    </w:p>
    <w:p w14:paraId="24EB4F2E" w14:textId="77777777" w:rsidR="008636D6" w:rsidRPr="00033E65" w:rsidRDefault="008636D6" w:rsidP="008636D6">
      <w:pPr>
        <w:pStyle w:val="Ttulo"/>
        <w:spacing w:line="240" w:lineRule="auto"/>
        <w:jc w:val="both"/>
        <w:rPr>
          <w:rFonts w:eastAsia="Times New Roman" w:cs="Times New Roman"/>
          <w:bCs/>
          <w:color w:val="auto"/>
          <w:spacing w:val="0"/>
          <w:sz w:val="22"/>
          <w:szCs w:val="22"/>
          <w:lang w:val="es-CR" w:eastAsia="es-ES"/>
        </w:rPr>
      </w:pPr>
      <w:r w:rsidRPr="00033E65">
        <w:rPr>
          <w:rFonts w:eastAsia="Times New Roman" w:cs="Times New Roman"/>
          <w:b w:val="0"/>
          <w:color w:val="auto"/>
          <w:spacing w:val="0"/>
          <w:sz w:val="22"/>
          <w:szCs w:val="22"/>
          <w:lang w:val="es-CR" w:eastAsia="es-ES"/>
        </w:rPr>
        <w:t xml:space="preserve">La propuesta de recurso humano necesario para la implementación del Nuevo Código Procesal Agrario tiene un monto total de </w:t>
      </w:r>
      <w:r w:rsidRPr="00033E65">
        <w:rPr>
          <w:rFonts w:ascii="Times New Roman" w:eastAsia="Times New Roman" w:hAnsi="Times New Roman" w:cs="Times New Roman"/>
          <w:bCs/>
          <w:color w:val="auto"/>
          <w:spacing w:val="0"/>
          <w:sz w:val="22"/>
          <w:szCs w:val="22"/>
          <w:lang w:val="es-CR" w:eastAsia="es-ES"/>
        </w:rPr>
        <w:t>₡483</w:t>
      </w:r>
      <w:r w:rsidRPr="00033E65">
        <w:rPr>
          <w:rFonts w:eastAsia="Times New Roman" w:cs="Times New Roman"/>
          <w:bCs/>
          <w:color w:val="auto"/>
          <w:spacing w:val="0"/>
          <w:sz w:val="22"/>
          <w:szCs w:val="22"/>
          <w:lang w:val="es-CR" w:eastAsia="es-ES"/>
        </w:rPr>
        <w:t xml:space="preserve">.316.000,00 </w:t>
      </w:r>
    </w:p>
    <w:p w14:paraId="72494D48" w14:textId="77777777" w:rsidR="008636D6" w:rsidRPr="00033E65" w:rsidRDefault="008636D6" w:rsidP="008636D6">
      <w:pPr>
        <w:pStyle w:val="Ttulo"/>
        <w:spacing w:line="240" w:lineRule="auto"/>
        <w:jc w:val="both"/>
        <w:rPr>
          <w:rFonts w:eastAsia="Times New Roman" w:cs="Times New Roman"/>
          <w:b w:val="0"/>
          <w:color w:val="auto"/>
          <w:spacing w:val="0"/>
          <w:sz w:val="22"/>
          <w:szCs w:val="22"/>
          <w:lang w:val="es-CR" w:eastAsia="es-ES"/>
        </w:rPr>
      </w:pPr>
      <w:r w:rsidRPr="00033E65">
        <w:rPr>
          <w:rFonts w:eastAsia="Times New Roman" w:cs="Times New Roman"/>
          <w:b w:val="0"/>
          <w:color w:val="auto"/>
          <w:spacing w:val="0"/>
          <w:sz w:val="22"/>
          <w:szCs w:val="22"/>
          <w:lang w:val="es-CR" w:eastAsia="es-ES"/>
        </w:rPr>
        <w:t>Los siguientes montos están asociados gastos variables a los costos de equipo y mobiliario, como en la adquisición de vehículos con sus respectivos mantenimientos y demás.</w:t>
      </w:r>
    </w:p>
    <w:p w14:paraId="0126BE7E" w14:textId="77777777" w:rsidR="008636D6" w:rsidRPr="00033E65" w:rsidRDefault="008636D6" w:rsidP="008636D6">
      <w:pPr>
        <w:pStyle w:val="Ttulo"/>
        <w:spacing w:line="240" w:lineRule="auto"/>
        <w:jc w:val="both"/>
        <w:rPr>
          <w:rFonts w:eastAsia="Times New Roman" w:cs="Times New Roman"/>
          <w:b w:val="0"/>
          <w:color w:val="auto"/>
          <w:spacing w:val="0"/>
          <w:sz w:val="22"/>
          <w:szCs w:val="22"/>
          <w:lang w:val="es-CR" w:eastAsia="es-ES"/>
        </w:rPr>
      </w:pPr>
    </w:p>
    <w:p w14:paraId="46669AA6" w14:textId="216820AE" w:rsidR="008636D6" w:rsidRPr="00033E65" w:rsidRDefault="008636D6" w:rsidP="008636D6">
      <w:pPr>
        <w:pStyle w:val="Ttulo"/>
        <w:spacing w:before="0" w:after="0"/>
        <w:ind w:left="1080"/>
        <w:jc w:val="center"/>
        <w:rPr>
          <w:rFonts w:eastAsia="Times New Roman" w:cs="Arial"/>
          <w:iCs/>
          <w:spacing w:val="0"/>
          <w:szCs w:val="28"/>
          <w:lang w:val="es-CR" w:eastAsia="es-ES"/>
        </w:rPr>
      </w:pPr>
      <w:r w:rsidRPr="00033E65">
        <w:rPr>
          <w:rFonts w:eastAsia="Times New Roman" w:cs="Arial"/>
          <w:iCs/>
          <w:spacing w:val="0"/>
          <w:szCs w:val="28"/>
          <w:lang w:val="es-CR" w:eastAsia="es-ES"/>
        </w:rPr>
        <w:t>Cuadro 3</w:t>
      </w:r>
      <w:r w:rsidR="00924F24">
        <w:rPr>
          <w:rFonts w:eastAsia="Times New Roman" w:cs="Arial"/>
          <w:iCs/>
          <w:spacing w:val="0"/>
          <w:szCs w:val="28"/>
          <w:lang w:val="es-CR" w:eastAsia="es-ES"/>
        </w:rPr>
        <w:t>3</w:t>
      </w:r>
    </w:p>
    <w:p w14:paraId="6947B8F5" w14:textId="77777777" w:rsidR="008636D6" w:rsidRPr="00033E65" w:rsidRDefault="008636D6" w:rsidP="008636D6">
      <w:pPr>
        <w:pStyle w:val="Ttulo"/>
        <w:spacing w:before="0" w:after="0"/>
        <w:ind w:left="1080"/>
        <w:jc w:val="center"/>
        <w:rPr>
          <w:rFonts w:eastAsia="Times New Roman" w:cs="Arial"/>
          <w:iCs/>
          <w:spacing w:val="0"/>
          <w:szCs w:val="28"/>
          <w:lang w:val="es-CR" w:eastAsia="es-ES"/>
        </w:rPr>
      </w:pPr>
      <w:r w:rsidRPr="00033E65">
        <w:rPr>
          <w:rFonts w:eastAsia="Times New Roman" w:cs="Arial"/>
          <w:iCs/>
          <w:spacing w:val="0"/>
          <w:szCs w:val="28"/>
          <w:lang w:val="es-CR" w:eastAsia="es-ES"/>
        </w:rPr>
        <w:t>Costo total estimado de gasto variable para presupuesto 2024</w:t>
      </w:r>
    </w:p>
    <w:p w14:paraId="40006C6F" w14:textId="77777777" w:rsidR="00D62483" w:rsidRDefault="00D62483" w:rsidP="008636D6">
      <w:pPr>
        <w:pStyle w:val="Ttulo"/>
        <w:spacing w:before="0" w:after="0"/>
        <w:ind w:left="1080"/>
        <w:jc w:val="center"/>
        <w:rPr>
          <w:rFonts w:eastAsia="Times New Roman" w:cs="Arial"/>
          <w:iCs/>
          <w:spacing w:val="0"/>
          <w:szCs w:val="28"/>
          <w:lang w:val="es-CR" w:eastAsia="es-ES"/>
        </w:rPr>
      </w:pP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70" w:type="dxa"/>
          <w:right w:w="70" w:type="dxa"/>
        </w:tblCellMar>
        <w:tblLook w:val="04A0" w:firstRow="1" w:lastRow="0" w:firstColumn="1" w:lastColumn="0" w:noHBand="0" w:noVBand="1"/>
      </w:tblPr>
      <w:tblGrid>
        <w:gridCol w:w="1582"/>
        <w:gridCol w:w="828"/>
        <w:gridCol w:w="2126"/>
        <w:gridCol w:w="2127"/>
        <w:gridCol w:w="2126"/>
        <w:gridCol w:w="2126"/>
      </w:tblGrid>
      <w:tr w:rsidR="00D62483" w:rsidRPr="00033E65" w14:paraId="5B2C0252" w14:textId="77777777" w:rsidTr="00A90544">
        <w:trPr>
          <w:trHeight w:val="678"/>
          <w:tblHeader/>
          <w:jc w:val="center"/>
        </w:trPr>
        <w:tc>
          <w:tcPr>
            <w:tcW w:w="1582" w:type="dxa"/>
            <w:shd w:val="clear" w:color="000000" w:fill="0673A5"/>
          </w:tcPr>
          <w:p w14:paraId="4E3C73B9" w14:textId="77777777" w:rsidR="00D62483" w:rsidRPr="00033E65" w:rsidRDefault="00D62483">
            <w:pPr>
              <w:spacing w:before="0" w:after="0"/>
              <w:jc w:val="center"/>
              <w:rPr>
                <w:rFonts w:cs="Calibri"/>
                <w:b/>
                <w:bCs/>
                <w:color w:val="FFFFFF"/>
                <w:szCs w:val="22"/>
                <w:lang w:eastAsia="es-CR"/>
              </w:rPr>
            </w:pPr>
          </w:p>
        </w:tc>
        <w:tc>
          <w:tcPr>
            <w:tcW w:w="9333" w:type="dxa"/>
            <w:gridSpan w:val="5"/>
            <w:shd w:val="clear" w:color="000000" w:fill="0673A5"/>
            <w:vAlign w:val="center"/>
            <w:hideMark/>
          </w:tcPr>
          <w:p w14:paraId="003061FE" w14:textId="77777777" w:rsidR="00D62483" w:rsidRPr="00033E65" w:rsidRDefault="00D62483">
            <w:pPr>
              <w:spacing w:before="0" w:after="0"/>
              <w:jc w:val="center"/>
              <w:rPr>
                <w:rFonts w:cs="Calibri"/>
                <w:b/>
                <w:bCs/>
                <w:color w:val="FFFFFF"/>
                <w:szCs w:val="22"/>
                <w:lang w:eastAsia="es-CR"/>
              </w:rPr>
            </w:pPr>
            <w:r w:rsidRPr="00033E65">
              <w:rPr>
                <w:rFonts w:cs="Calibri"/>
                <w:b/>
                <w:bCs/>
                <w:color w:val="FFFFFF"/>
                <w:szCs w:val="22"/>
                <w:lang w:eastAsia="es-CR"/>
              </w:rPr>
              <w:t>Estimación de costos para la implementación de la reforma con cargo al presupuesto del periodo 2024, según programa presupuestario</w:t>
            </w:r>
          </w:p>
        </w:tc>
      </w:tr>
      <w:tr w:rsidR="00D62483" w:rsidRPr="00033E65" w14:paraId="7B8F4133" w14:textId="77777777" w:rsidTr="00A90544">
        <w:trPr>
          <w:trHeight w:val="334"/>
          <w:tblHeader/>
          <w:jc w:val="center"/>
        </w:trPr>
        <w:tc>
          <w:tcPr>
            <w:tcW w:w="2410" w:type="dxa"/>
            <w:gridSpan w:val="2"/>
            <w:vMerge w:val="restart"/>
            <w:shd w:val="clear" w:color="000000" w:fill="0673A5"/>
            <w:vAlign w:val="center"/>
            <w:hideMark/>
          </w:tcPr>
          <w:p w14:paraId="4261F4B5" w14:textId="77777777" w:rsidR="00D62483" w:rsidRPr="00033E65" w:rsidRDefault="00D62483">
            <w:pPr>
              <w:spacing w:before="0" w:after="0"/>
              <w:jc w:val="center"/>
              <w:rPr>
                <w:rFonts w:cs="Calibri"/>
                <w:b/>
                <w:bCs/>
                <w:color w:val="FFFFFF"/>
                <w:szCs w:val="22"/>
                <w:lang w:eastAsia="es-CR"/>
              </w:rPr>
            </w:pPr>
            <w:r w:rsidRPr="00033E65">
              <w:rPr>
                <w:rFonts w:cs="Calibri"/>
                <w:b/>
                <w:bCs/>
                <w:color w:val="FFFFFF"/>
                <w:szCs w:val="22"/>
                <w:lang w:eastAsia="es-CR"/>
              </w:rPr>
              <w:t>REQUERIMIENTO</w:t>
            </w:r>
          </w:p>
        </w:tc>
        <w:tc>
          <w:tcPr>
            <w:tcW w:w="2126" w:type="dxa"/>
            <w:shd w:val="clear" w:color="000000" w:fill="0673A5"/>
          </w:tcPr>
          <w:p w14:paraId="42F5A1B7" w14:textId="77777777" w:rsidR="00D62483" w:rsidRPr="00033E65" w:rsidRDefault="00D62483">
            <w:pPr>
              <w:spacing w:before="0" w:after="0"/>
              <w:jc w:val="center"/>
              <w:rPr>
                <w:rFonts w:cs="Calibri"/>
                <w:b/>
                <w:bCs/>
                <w:color w:val="FFFFFF"/>
                <w:szCs w:val="22"/>
                <w:lang w:eastAsia="es-CR"/>
              </w:rPr>
            </w:pPr>
          </w:p>
        </w:tc>
        <w:tc>
          <w:tcPr>
            <w:tcW w:w="6379" w:type="dxa"/>
            <w:gridSpan w:val="3"/>
            <w:shd w:val="clear" w:color="000000" w:fill="0673A5"/>
            <w:vAlign w:val="center"/>
            <w:hideMark/>
          </w:tcPr>
          <w:p w14:paraId="6449BAC7" w14:textId="77777777" w:rsidR="00D62483" w:rsidRPr="00033E65" w:rsidRDefault="00D62483">
            <w:pPr>
              <w:spacing w:before="0" w:after="0"/>
              <w:jc w:val="center"/>
              <w:rPr>
                <w:rFonts w:cs="Calibri"/>
                <w:b/>
                <w:bCs/>
                <w:color w:val="FFFFFF"/>
                <w:szCs w:val="22"/>
                <w:lang w:eastAsia="es-CR"/>
              </w:rPr>
            </w:pPr>
            <w:r w:rsidRPr="00033E65">
              <w:rPr>
                <w:rFonts w:cs="Calibri"/>
                <w:b/>
                <w:bCs/>
                <w:color w:val="FFFFFF"/>
                <w:szCs w:val="22"/>
                <w:lang w:eastAsia="es-CR"/>
              </w:rPr>
              <w:t>PROGRAMA</w:t>
            </w:r>
          </w:p>
        </w:tc>
      </w:tr>
      <w:tr w:rsidR="00D62483" w:rsidRPr="00033E65" w14:paraId="3BEC3724" w14:textId="77777777" w:rsidTr="00A90544">
        <w:trPr>
          <w:trHeight w:val="229"/>
          <w:tblHeader/>
          <w:jc w:val="center"/>
        </w:trPr>
        <w:tc>
          <w:tcPr>
            <w:tcW w:w="2410" w:type="dxa"/>
            <w:gridSpan w:val="2"/>
            <w:vMerge/>
            <w:vAlign w:val="center"/>
            <w:hideMark/>
          </w:tcPr>
          <w:p w14:paraId="41C54AB9" w14:textId="77777777" w:rsidR="00D62483" w:rsidRPr="00033E65" w:rsidRDefault="00D62483">
            <w:pPr>
              <w:spacing w:before="0" w:after="0"/>
              <w:jc w:val="left"/>
              <w:rPr>
                <w:rFonts w:cs="Calibri"/>
                <w:b/>
                <w:bCs/>
                <w:color w:val="FFFFFF"/>
                <w:szCs w:val="22"/>
                <w:lang w:eastAsia="es-CR"/>
              </w:rPr>
            </w:pPr>
          </w:p>
        </w:tc>
        <w:tc>
          <w:tcPr>
            <w:tcW w:w="2126" w:type="dxa"/>
            <w:shd w:val="clear" w:color="000000" w:fill="0673A5"/>
            <w:vAlign w:val="center"/>
            <w:hideMark/>
          </w:tcPr>
          <w:p w14:paraId="48D06529" w14:textId="77777777" w:rsidR="00D62483" w:rsidRPr="00033E65" w:rsidRDefault="00D62483">
            <w:pPr>
              <w:spacing w:before="0" w:after="0"/>
              <w:jc w:val="center"/>
              <w:rPr>
                <w:rFonts w:cs="Calibri"/>
                <w:b/>
                <w:bCs/>
                <w:color w:val="FFFFFF"/>
                <w:szCs w:val="22"/>
                <w:lang w:eastAsia="es-CR"/>
              </w:rPr>
            </w:pPr>
            <w:r w:rsidRPr="00033E65">
              <w:rPr>
                <w:rFonts w:cs="Calibri"/>
                <w:b/>
                <w:bCs/>
                <w:color w:val="FFFFFF"/>
                <w:szCs w:val="22"/>
                <w:lang w:eastAsia="es-CR"/>
              </w:rPr>
              <w:t>926</w:t>
            </w:r>
          </w:p>
        </w:tc>
        <w:tc>
          <w:tcPr>
            <w:tcW w:w="2127" w:type="dxa"/>
            <w:shd w:val="clear" w:color="000000" w:fill="0673A5"/>
            <w:vAlign w:val="center"/>
            <w:hideMark/>
          </w:tcPr>
          <w:p w14:paraId="7DC5BA72" w14:textId="77777777" w:rsidR="00D62483" w:rsidRPr="00033E65" w:rsidRDefault="00D62483">
            <w:pPr>
              <w:spacing w:before="0" w:after="0"/>
              <w:jc w:val="center"/>
              <w:rPr>
                <w:rFonts w:cs="Calibri"/>
                <w:b/>
                <w:bCs/>
                <w:color w:val="FFFFFF"/>
                <w:szCs w:val="22"/>
                <w:lang w:eastAsia="es-CR"/>
              </w:rPr>
            </w:pPr>
            <w:r w:rsidRPr="00033E65">
              <w:rPr>
                <w:rFonts w:cs="Calibri"/>
                <w:b/>
                <w:bCs/>
                <w:color w:val="FFFFFF"/>
                <w:szCs w:val="22"/>
                <w:lang w:eastAsia="es-CR"/>
              </w:rPr>
              <w:t>927</w:t>
            </w:r>
          </w:p>
        </w:tc>
        <w:tc>
          <w:tcPr>
            <w:tcW w:w="2126" w:type="dxa"/>
            <w:shd w:val="clear" w:color="000000" w:fill="0673A5"/>
          </w:tcPr>
          <w:p w14:paraId="258E9E7A" w14:textId="77777777" w:rsidR="00D62483" w:rsidRPr="00033E65" w:rsidRDefault="00D62483">
            <w:pPr>
              <w:spacing w:before="0" w:after="0"/>
              <w:jc w:val="center"/>
              <w:rPr>
                <w:rFonts w:cs="Calibri"/>
                <w:b/>
                <w:bCs/>
                <w:color w:val="FFFFFF"/>
                <w:szCs w:val="22"/>
                <w:lang w:eastAsia="es-CR"/>
              </w:rPr>
            </w:pPr>
            <w:r>
              <w:rPr>
                <w:rFonts w:cs="Calibri"/>
                <w:b/>
                <w:bCs/>
                <w:color w:val="FFFFFF"/>
                <w:szCs w:val="22"/>
                <w:lang w:eastAsia="es-CR"/>
              </w:rPr>
              <w:t>930</w:t>
            </w:r>
          </w:p>
        </w:tc>
        <w:tc>
          <w:tcPr>
            <w:tcW w:w="2126" w:type="dxa"/>
            <w:vMerge w:val="restart"/>
            <w:shd w:val="clear" w:color="000000" w:fill="0673A5"/>
            <w:vAlign w:val="center"/>
            <w:hideMark/>
          </w:tcPr>
          <w:p w14:paraId="6B6279EC" w14:textId="77777777" w:rsidR="00D62483" w:rsidRPr="00033E65" w:rsidRDefault="00D62483">
            <w:pPr>
              <w:spacing w:before="0" w:after="0"/>
              <w:jc w:val="center"/>
              <w:rPr>
                <w:rFonts w:cs="Calibri"/>
                <w:b/>
                <w:bCs/>
                <w:color w:val="FFFFFF"/>
                <w:szCs w:val="22"/>
                <w:lang w:eastAsia="es-CR"/>
              </w:rPr>
            </w:pPr>
            <w:r w:rsidRPr="00033E65">
              <w:rPr>
                <w:rFonts w:cs="Calibri"/>
                <w:b/>
                <w:bCs/>
                <w:color w:val="FFFFFF"/>
                <w:szCs w:val="22"/>
                <w:lang w:eastAsia="es-CR"/>
              </w:rPr>
              <w:t>Costo total</w:t>
            </w:r>
          </w:p>
        </w:tc>
      </w:tr>
      <w:tr w:rsidR="00D62483" w:rsidRPr="00033E65" w14:paraId="07860888" w14:textId="77777777" w:rsidTr="00A90544">
        <w:trPr>
          <w:trHeight w:val="286"/>
          <w:tblHeader/>
          <w:jc w:val="center"/>
        </w:trPr>
        <w:tc>
          <w:tcPr>
            <w:tcW w:w="2410" w:type="dxa"/>
            <w:gridSpan w:val="2"/>
            <w:vMerge/>
            <w:vAlign w:val="center"/>
            <w:hideMark/>
          </w:tcPr>
          <w:p w14:paraId="700C22D6" w14:textId="77777777" w:rsidR="00D62483" w:rsidRPr="00033E65" w:rsidRDefault="00D62483">
            <w:pPr>
              <w:spacing w:before="0" w:after="0"/>
              <w:jc w:val="left"/>
              <w:rPr>
                <w:rFonts w:cs="Calibri"/>
                <w:b/>
                <w:bCs/>
                <w:color w:val="FFFFFF"/>
                <w:szCs w:val="22"/>
                <w:lang w:eastAsia="es-CR"/>
              </w:rPr>
            </w:pPr>
          </w:p>
        </w:tc>
        <w:tc>
          <w:tcPr>
            <w:tcW w:w="2126" w:type="dxa"/>
            <w:shd w:val="clear" w:color="000000" w:fill="0673A5"/>
            <w:vAlign w:val="center"/>
            <w:hideMark/>
          </w:tcPr>
          <w:p w14:paraId="1CA165E1" w14:textId="77777777" w:rsidR="00D62483" w:rsidRPr="00033E65" w:rsidRDefault="00D62483">
            <w:pPr>
              <w:spacing w:before="0" w:after="0"/>
              <w:jc w:val="center"/>
              <w:rPr>
                <w:rFonts w:cs="Calibri"/>
                <w:b/>
                <w:bCs/>
                <w:color w:val="FFFFFF"/>
                <w:szCs w:val="22"/>
                <w:lang w:eastAsia="es-CR"/>
              </w:rPr>
            </w:pPr>
            <w:r w:rsidRPr="00033E65">
              <w:rPr>
                <w:rFonts w:cs="Calibri"/>
                <w:b/>
                <w:bCs/>
                <w:color w:val="FFFFFF"/>
                <w:szCs w:val="22"/>
                <w:lang w:eastAsia="es-CR"/>
              </w:rPr>
              <w:t>Administrativo</w:t>
            </w:r>
          </w:p>
        </w:tc>
        <w:tc>
          <w:tcPr>
            <w:tcW w:w="2127" w:type="dxa"/>
            <w:shd w:val="clear" w:color="000000" w:fill="0673A5"/>
            <w:vAlign w:val="center"/>
            <w:hideMark/>
          </w:tcPr>
          <w:p w14:paraId="76CE1F35" w14:textId="77777777" w:rsidR="00D62483" w:rsidRPr="00033E65" w:rsidRDefault="00D62483">
            <w:pPr>
              <w:spacing w:before="0" w:after="0"/>
              <w:jc w:val="center"/>
              <w:rPr>
                <w:rFonts w:cs="Calibri"/>
                <w:b/>
                <w:bCs/>
                <w:color w:val="FFFFFF"/>
                <w:szCs w:val="22"/>
                <w:lang w:eastAsia="es-CR"/>
              </w:rPr>
            </w:pPr>
            <w:r w:rsidRPr="00033E65">
              <w:rPr>
                <w:rFonts w:cs="Calibri"/>
                <w:b/>
                <w:bCs/>
                <w:color w:val="FFFFFF"/>
                <w:szCs w:val="22"/>
                <w:lang w:eastAsia="es-CR"/>
              </w:rPr>
              <w:t xml:space="preserve">Jurisdiccional </w:t>
            </w:r>
          </w:p>
        </w:tc>
        <w:tc>
          <w:tcPr>
            <w:tcW w:w="2126" w:type="dxa"/>
            <w:shd w:val="clear" w:color="000000" w:fill="0673A5"/>
            <w:vAlign w:val="center"/>
          </w:tcPr>
          <w:p w14:paraId="5C90367A" w14:textId="77777777" w:rsidR="00D62483" w:rsidRPr="00033E65" w:rsidRDefault="00D62483">
            <w:pPr>
              <w:spacing w:before="0" w:after="0"/>
              <w:jc w:val="center"/>
              <w:rPr>
                <w:rFonts w:cs="Calibri"/>
                <w:b/>
                <w:bCs/>
                <w:color w:val="FFFFFF"/>
                <w:szCs w:val="22"/>
                <w:lang w:eastAsia="es-CR"/>
              </w:rPr>
            </w:pPr>
            <w:r>
              <w:rPr>
                <w:rFonts w:cs="Calibri"/>
                <w:b/>
                <w:bCs/>
                <w:color w:val="FFFFFF"/>
                <w:szCs w:val="22"/>
                <w:lang w:eastAsia="es-CR"/>
              </w:rPr>
              <w:t>Defensa Pública</w:t>
            </w:r>
          </w:p>
        </w:tc>
        <w:tc>
          <w:tcPr>
            <w:tcW w:w="2126" w:type="dxa"/>
            <w:vMerge/>
            <w:vAlign w:val="center"/>
            <w:hideMark/>
          </w:tcPr>
          <w:p w14:paraId="2386DAD6" w14:textId="77777777" w:rsidR="00D62483" w:rsidRPr="00033E65" w:rsidRDefault="00D62483">
            <w:pPr>
              <w:spacing w:before="0" w:after="0"/>
              <w:jc w:val="left"/>
              <w:rPr>
                <w:rFonts w:cs="Calibri"/>
                <w:b/>
                <w:bCs/>
                <w:color w:val="FFFFFF"/>
                <w:szCs w:val="22"/>
                <w:lang w:eastAsia="es-CR"/>
              </w:rPr>
            </w:pPr>
          </w:p>
        </w:tc>
      </w:tr>
      <w:tr w:rsidR="00D62483" w:rsidRPr="00033E65" w14:paraId="60972765" w14:textId="77777777" w:rsidTr="00A90544">
        <w:trPr>
          <w:trHeight w:val="334"/>
          <w:jc w:val="center"/>
        </w:trPr>
        <w:tc>
          <w:tcPr>
            <w:tcW w:w="2410" w:type="dxa"/>
            <w:gridSpan w:val="2"/>
            <w:shd w:val="clear" w:color="auto" w:fill="auto"/>
            <w:vAlign w:val="center"/>
            <w:hideMark/>
          </w:tcPr>
          <w:p w14:paraId="3C01F324" w14:textId="77777777" w:rsidR="00D62483" w:rsidRPr="0043490A" w:rsidRDefault="00D62483">
            <w:pPr>
              <w:spacing w:before="0" w:after="0"/>
              <w:jc w:val="left"/>
              <w:rPr>
                <w:rFonts w:cs="Calibri"/>
                <w:b/>
                <w:bCs/>
                <w:color w:val="000000"/>
                <w:szCs w:val="22"/>
                <w:lang w:eastAsia="es-CR"/>
              </w:rPr>
            </w:pPr>
            <w:r w:rsidRPr="00033E65">
              <w:rPr>
                <w:rFonts w:cs="Calibri"/>
                <w:b/>
                <w:bCs/>
                <w:color w:val="000000"/>
                <w:szCs w:val="22"/>
                <w:lang w:eastAsia="es-CR"/>
              </w:rPr>
              <w:t>Recurso humano</w:t>
            </w:r>
          </w:p>
        </w:tc>
        <w:tc>
          <w:tcPr>
            <w:tcW w:w="2126" w:type="dxa"/>
            <w:shd w:val="clear" w:color="auto" w:fill="auto"/>
            <w:vAlign w:val="center"/>
            <w:hideMark/>
          </w:tcPr>
          <w:p w14:paraId="31D98C96"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162 564 000,00 </w:t>
            </w:r>
          </w:p>
        </w:tc>
        <w:tc>
          <w:tcPr>
            <w:tcW w:w="2127" w:type="dxa"/>
            <w:shd w:val="clear" w:color="auto" w:fill="auto"/>
            <w:noWrap/>
            <w:vAlign w:val="center"/>
            <w:hideMark/>
          </w:tcPr>
          <w:p w14:paraId="01F32E89"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320 752 000,00 </w:t>
            </w:r>
          </w:p>
        </w:tc>
        <w:tc>
          <w:tcPr>
            <w:tcW w:w="2126" w:type="dxa"/>
          </w:tcPr>
          <w:p w14:paraId="694D01A7" w14:textId="77777777" w:rsidR="00D62483" w:rsidRPr="00033E65" w:rsidRDefault="00D62483">
            <w:pPr>
              <w:spacing w:before="0" w:after="0"/>
              <w:jc w:val="center"/>
              <w:rPr>
                <w:rFonts w:ascii="Times New Roman" w:hAnsi="Times New Roman"/>
                <w:b/>
                <w:bCs/>
                <w:color w:val="000000"/>
                <w:szCs w:val="22"/>
                <w:lang w:eastAsia="es-CR"/>
              </w:rPr>
            </w:pPr>
            <w:r>
              <w:rPr>
                <w:rFonts w:cs="Arial"/>
                <w:szCs w:val="22"/>
                <w:lang w:eastAsia="es-CR"/>
              </w:rPr>
              <w:t>¢</w:t>
            </w:r>
            <w:r w:rsidRPr="00624403">
              <w:rPr>
                <w:rFonts w:cs="Arial"/>
                <w:szCs w:val="22"/>
                <w:lang w:eastAsia="es-CR"/>
              </w:rPr>
              <w:t>25</w:t>
            </w:r>
            <w:r>
              <w:rPr>
                <w:rFonts w:cs="Arial"/>
                <w:szCs w:val="22"/>
                <w:lang w:eastAsia="es-CR"/>
              </w:rPr>
              <w:t xml:space="preserve"> </w:t>
            </w:r>
            <w:r w:rsidRPr="00624403">
              <w:rPr>
                <w:rFonts w:cs="Arial"/>
                <w:szCs w:val="22"/>
                <w:lang w:eastAsia="es-CR"/>
              </w:rPr>
              <w:t>913</w:t>
            </w:r>
            <w:r>
              <w:rPr>
                <w:rFonts w:cs="Arial"/>
                <w:szCs w:val="22"/>
                <w:lang w:eastAsia="es-CR"/>
              </w:rPr>
              <w:t xml:space="preserve"> 000</w:t>
            </w:r>
          </w:p>
        </w:tc>
        <w:tc>
          <w:tcPr>
            <w:tcW w:w="2126" w:type="dxa"/>
            <w:shd w:val="clear" w:color="auto" w:fill="auto"/>
            <w:noWrap/>
            <w:vAlign w:val="center"/>
            <w:hideMark/>
          </w:tcPr>
          <w:p w14:paraId="4A45533D" w14:textId="77777777" w:rsidR="00D62483" w:rsidRPr="00033E65" w:rsidRDefault="00D62483">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 xml:space="preserve">509 229 </w:t>
            </w:r>
            <w:r w:rsidRPr="00033E65">
              <w:rPr>
                <w:rFonts w:ascii="Times New Roman" w:hAnsi="Times New Roman"/>
                <w:b/>
                <w:bCs/>
                <w:color w:val="000000"/>
                <w:szCs w:val="22"/>
                <w:lang w:eastAsia="es-CR"/>
              </w:rPr>
              <w:t>000,00</w:t>
            </w:r>
          </w:p>
        </w:tc>
      </w:tr>
      <w:tr w:rsidR="00D62483" w:rsidRPr="00033E65" w14:paraId="043DAA31" w14:textId="77777777" w:rsidTr="00A90544">
        <w:trPr>
          <w:trHeight w:val="334"/>
          <w:jc w:val="center"/>
        </w:trPr>
        <w:tc>
          <w:tcPr>
            <w:tcW w:w="2410" w:type="dxa"/>
            <w:gridSpan w:val="2"/>
            <w:shd w:val="clear" w:color="auto" w:fill="auto"/>
            <w:vAlign w:val="center"/>
            <w:hideMark/>
          </w:tcPr>
          <w:p w14:paraId="21CF3E89"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 xml:space="preserve">Equipo de cómputo </w:t>
            </w:r>
          </w:p>
        </w:tc>
        <w:tc>
          <w:tcPr>
            <w:tcW w:w="2126" w:type="dxa"/>
            <w:shd w:val="clear" w:color="auto" w:fill="auto"/>
            <w:noWrap/>
            <w:vAlign w:val="center"/>
            <w:hideMark/>
          </w:tcPr>
          <w:p w14:paraId="269ED660"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7" w:type="dxa"/>
            <w:shd w:val="clear" w:color="auto" w:fill="auto"/>
            <w:noWrap/>
            <w:vAlign w:val="center"/>
            <w:hideMark/>
          </w:tcPr>
          <w:p w14:paraId="3692FB17"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6 590 541,38 </w:t>
            </w:r>
          </w:p>
        </w:tc>
        <w:tc>
          <w:tcPr>
            <w:tcW w:w="2126" w:type="dxa"/>
          </w:tcPr>
          <w:p w14:paraId="3FB76F82"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7B3D9302"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6 590 541,38 </w:t>
            </w:r>
          </w:p>
        </w:tc>
      </w:tr>
      <w:tr w:rsidR="00D62483" w:rsidRPr="00033E65" w14:paraId="228DA951" w14:textId="77777777" w:rsidTr="00A90544">
        <w:trPr>
          <w:trHeight w:val="334"/>
          <w:jc w:val="center"/>
        </w:trPr>
        <w:tc>
          <w:tcPr>
            <w:tcW w:w="2410" w:type="dxa"/>
            <w:gridSpan w:val="2"/>
            <w:shd w:val="clear" w:color="auto" w:fill="auto"/>
            <w:vAlign w:val="center"/>
            <w:hideMark/>
          </w:tcPr>
          <w:p w14:paraId="4CB6D405"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Mobiliario de plazas nuevas.</w:t>
            </w:r>
          </w:p>
        </w:tc>
        <w:tc>
          <w:tcPr>
            <w:tcW w:w="2126" w:type="dxa"/>
            <w:shd w:val="clear" w:color="auto" w:fill="auto"/>
            <w:noWrap/>
            <w:vAlign w:val="center"/>
            <w:hideMark/>
          </w:tcPr>
          <w:p w14:paraId="1CF0A2D4"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7" w:type="dxa"/>
            <w:shd w:val="clear" w:color="auto" w:fill="auto"/>
            <w:noWrap/>
            <w:vAlign w:val="center"/>
            <w:hideMark/>
          </w:tcPr>
          <w:p w14:paraId="56A35EC7"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1 302 171,34 </w:t>
            </w:r>
          </w:p>
        </w:tc>
        <w:tc>
          <w:tcPr>
            <w:tcW w:w="2126" w:type="dxa"/>
          </w:tcPr>
          <w:p w14:paraId="5477E83C"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17152DE0"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1 302 171,34 </w:t>
            </w:r>
          </w:p>
        </w:tc>
      </w:tr>
      <w:tr w:rsidR="00D62483" w:rsidRPr="00033E65" w14:paraId="53DAB3ED" w14:textId="77777777" w:rsidTr="00A90544">
        <w:trPr>
          <w:trHeight w:val="334"/>
          <w:jc w:val="center"/>
        </w:trPr>
        <w:tc>
          <w:tcPr>
            <w:tcW w:w="2410" w:type="dxa"/>
            <w:gridSpan w:val="2"/>
            <w:shd w:val="clear" w:color="auto" w:fill="auto"/>
            <w:vAlign w:val="center"/>
            <w:hideMark/>
          </w:tcPr>
          <w:p w14:paraId="2FA55215"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Uniformes (2 pantalones y 3 camisas)</w:t>
            </w:r>
          </w:p>
        </w:tc>
        <w:tc>
          <w:tcPr>
            <w:tcW w:w="2126" w:type="dxa"/>
            <w:shd w:val="clear" w:color="auto" w:fill="auto"/>
            <w:vAlign w:val="center"/>
            <w:hideMark/>
          </w:tcPr>
          <w:p w14:paraId="744AB84E"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377 708,40 </w:t>
            </w:r>
          </w:p>
        </w:tc>
        <w:tc>
          <w:tcPr>
            <w:tcW w:w="2127" w:type="dxa"/>
            <w:shd w:val="clear" w:color="auto" w:fill="auto"/>
            <w:noWrap/>
            <w:vAlign w:val="center"/>
            <w:hideMark/>
          </w:tcPr>
          <w:p w14:paraId="718D8FE1"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5ED59B34"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43B00C75"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377 708,40 </w:t>
            </w:r>
          </w:p>
        </w:tc>
      </w:tr>
      <w:tr w:rsidR="00D62483" w:rsidRPr="00033E65" w14:paraId="464AC95F" w14:textId="77777777" w:rsidTr="00A90544">
        <w:trPr>
          <w:trHeight w:val="334"/>
          <w:jc w:val="center"/>
        </w:trPr>
        <w:tc>
          <w:tcPr>
            <w:tcW w:w="2410" w:type="dxa"/>
            <w:gridSpan w:val="2"/>
            <w:shd w:val="clear" w:color="auto" w:fill="auto"/>
            <w:vAlign w:val="center"/>
            <w:hideMark/>
          </w:tcPr>
          <w:p w14:paraId="0835799F"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Capa</w:t>
            </w:r>
          </w:p>
        </w:tc>
        <w:tc>
          <w:tcPr>
            <w:tcW w:w="2126" w:type="dxa"/>
            <w:shd w:val="clear" w:color="auto" w:fill="auto"/>
            <w:vAlign w:val="center"/>
            <w:hideMark/>
          </w:tcPr>
          <w:p w14:paraId="0687792B"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168 000,00 </w:t>
            </w:r>
          </w:p>
        </w:tc>
        <w:tc>
          <w:tcPr>
            <w:tcW w:w="2127" w:type="dxa"/>
            <w:shd w:val="clear" w:color="auto" w:fill="auto"/>
            <w:noWrap/>
            <w:vAlign w:val="center"/>
            <w:hideMark/>
          </w:tcPr>
          <w:p w14:paraId="16402723"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362A2C41"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0AF0787B"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168 000,00 </w:t>
            </w:r>
          </w:p>
        </w:tc>
      </w:tr>
      <w:tr w:rsidR="00D62483" w:rsidRPr="00033E65" w14:paraId="3D21E59B" w14:textId="77777777" w:rsidTr="00A90544">
        <w:trPr>
          <w:trHeight w:val="334"/>
          <w:jc w:val="center"/>
        </w:trPr>
        <w:tc>
          <w:tcPr>
            <w:tcW w:w="2410" w:type="dxa"/>
            <w:gridSpan w:val="2"/>
            <w:shd w:val="clear" w:color="auto" w:fill="auto"/>
            <w:vAlign w:val="center"/>
            <w:hideMark/>
          </w:tcPr>
          <w:p w14:paraId="3E1C0E50"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Bota de hule</w:t>
            </w:r>
          </w:p>
        </w:tc>
        <w:tc>
          <w:tcPr>
            <w:tcW w:w="2126" w:type="dxa"/>
            <w:shd w:val="clear" w:color="auto" w:fill="auto"/>
            <w:vAlign w:val="center"/>
            <w:hideMark/>
          </w:tcPr>
          <w:p w14:paraId="555DF3DE"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72 000,00 </w:t>
            </w:r>
          </w:p>
        </w:tc>
        <w:tc>
          <w:tcPr>
            <w:tcW w:w="2127" w:type="dxa"/>
            <w:shd w:val="clear" w:color="auto" w:fill="auto"/>
            <w:noWrap/>
            <w:vAlign w:val="center"/>
            <w:hideMark/>
          </w:tcPr>
          <w:p w14:paraId="10617F91"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07679115"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2B3576F9"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72 000,00 </w:t>
            </w:r>
          </w:p>
        </w:tc>
      </w:tr>
      <w:tr w:rsidR="00D62483" w:rsidRPr="00033E65" w14:paraId="0FD81028" w14:textId="77777777" w:rsidTr="00A90544">
        <w:trPr>
          <w:trHeight w:val="334"/>
          <w:jc w:val="center"/>
        </w:trPr>
        <w:tc>
          <w:tcPr>
            <w:tcW w:w="2410" w:type="dxa"/>
            <w:gridSpan w:val="2"/>
            <w:shd w:val="clear" w:color="auto" w:fill="auto"/>
            <w:noWrap/>
            <w:vAlign w:val="center"/>
            <w:hideMark/>
          </w:tcPr>
          <w:p w14:paraId="58723928"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Viáticos (solo chofer)</w:t>
            </w:r>
          </w:p>
        </w:tc>
        <w:tc>
          <w:tcPr>
            <w:tcW w:w="2126" w:type="dxa"/>
            <w:shd w:val="clear" w:color="auto" w:fill="auto"/>
            <w:vAlign w:val="center"/>
            <w:hideMark/>
          </w:tcPr>
          <w:p w14:paraId="3107A92B"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6 104 750,00 </w:t>
            </w:r>
          </w:p>
        </w:tc>
        <w:tc>
          <w:tcPr>
            <w:tcW w:w="2127" w:type="dxa"/>
            <w:shd w:val="clear" w:color="auto" w:fill="auto"/>
            <w:noWrap/>
            <w:vAlign w:val="center"/>
            <w:hideMark/>
          </w:tcPr>
          <w:p w14:paraId="0DF1B735"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0D0E24E7"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72AA71AE"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6 104 750,00 </w:t>
            </w:r>
          </w:p>
        </w:tc>
      </w:tr>
      <w:tr w:rsidR="00D62483" w:rsidRPr="00033E65" w14:paraId="6424974C" w14:textId="77777777" w:rsidTr="00A90544">
        <w:trPr>
          <w:trHeight w:val="458"/>
          <w:jc w:val="center"/>
        </w:trPr>
        <w:tc>
          <w:tcPr>
            <w:tcW w:w="2410" w:type="dxa"/>
            <w:gridSpan w:val="2"/>
            <w:shd w:val="clear" w:color="auto" w:fill="auto"/>
            <w:vAlign w:val="center"/>
            <w:hideMark/>
          </w:tcPr>
          <w:p w14:paraId="6EF09064"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Mantenimiento preventivo de vehículo (incluyen los cambios de aceite)</w:t>
            </w:r>
          </w:p>
        </w:tc>
        <w:tc>
          <w:tcPr>
            <w:tcW w:w="2126" w:type="dxa"/>
            <w:shd w:val="clear" w:color="auto" w:fill="auto"/>
            <w:vAlign w:val="center"/>
            <w:hideMark/>
          </w:tcPr>
          <w:p w14:paraId="1DE03F92"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3 390 000,00 </w:t>
            </w:r>
          </w:p>
        </w:tc>
        <w:tc>
          <w:tcPr>
            <w:tcW w:w="2127" w:type="dxa"/>
            <w:shd w:val="clear" w:color="auto" w:fill="auto"/>
            <w:noWrap/>
            <w:vAlign w:val="center"/>
            <w:hideMark/>
          </w:tcPr>
          <w:p w14:paraId="3EF3859A"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1F593C50"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3D6B9AF6"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3 390 000,00 </w:t>
            </w:r>
          </w:p>
        </w:tc>
      </w:tr>
      <w:tr w:rsidR="00D62483" w:rsidRPr="00033E65" w14:paraId="7FA4D9E8" w14:textId="77777777" w:rsidTr="00A90544">
        <w:trPr>
          <w:trHeight w:val="334"/>
          <w:jc w:val="center"/>
        </w:trPr>
        <w:tc>
          <w:tcPr>
            <w:tcW w:w="2410" w:type="dxa"/>
            <w:gridSpan w:val="2"/>
            <w:shd w:val="clear" w:color="auto" w:fill="auto"/>
            <w:vAlign w:val="center"/>
            <w:hideMark/>
          </w:tcPr>
          <w:p w14:paraId="6ACD26D5"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Llantas</w:t>
            </w:r>
          </w:p>
        </w:tc>
        <w:tc>
          <w:tcPr>
            <w:tcW w:w="2126" w:type="dxa"/>
            <w:shd w:val="clear" w:color="auto" w:fill="auto"/>
            <w:vAlign w:val="center"/>
            <w:hideMark/>
          </w:tcPr>
          <w:p w14:paraId="5B57AC9E"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2 300 485,27 </w:t>
            </w:r>
          </w:p>
        </w:tc>
        <w:tc>
          <w:tcPr>
            <w:tcW w:w="2127" w:type="dxa"/>
            <w:shd w:val="clear" w:color="auto" w:fill="auto"/>
            <w:noWrap/>
            <w:vAlign w:val="center"/>
            <w:hideMark/>
          </w:tcPr>
          <w:p w14:paraId="4D861153"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2B537485"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3BA9E437"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2 300 485,27 </w:t>
            </w:r>
          </w:p>
        </w:tc>
      </w:tr>
      <w:tr w:rsidR="00D62483" w:rsidRPr="00033E65" w14:paraId="2030726A" w14:textId="77777777" w:rsidTr="00A90544">
        <w:trPr>
          <w:trHeight w:val="334"/>
          <w:jc w:val="center"/>
        </w:trPr>
        <w:tc>
          <w:tcPr>
            <w:tcW w:w="2410" w:type="dxa"/>
            <w:gridSpan w:val="2"/>
            <w:shd w:val="clear" w:color="auto" w:fill="auto"/>
            <w:vAlign w:val="center"/>
            <w:hideMark/>
          </w:tcPr>
          <w:p w14:paraId="7248A7DE"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Repuestos</w:t>
            </w:r>
          </w:p>
        </w:tc>
        <w:tc>
          <w:tcPr>
            <w:tcW w:w="2126" w:type="dxa"/>
            <w:shd w:val="clear" w:color="auto" w:fill="auto"/>
            <w:vAlign w:val="center"/>
            <w:hideMark/>
          </w:tcPr>
          <w:p w14:paraId="685CE2F6"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3 390 000,00 </w:t>
            </w:r>
          </w:p>
        </w:tc>
        <w:tc>
          <w:tcPr>
            <w:tcW w:w="2127" w:type="dxa"/>
            <w:shd w:val="clear" w:color="auto" w:fill="auto"/>
            <w:noWrap/>
            <w:vAlign w:val="center"/>
            <w:hideMark/>
          </w:tcPr>
          <w:p w14:paraId="4E7BE630"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023A8BB8"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1B0EC1E0"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3 390 000,00 </w:t>
            </w:r>
          </w:p>
        </w:tc>
      </w:tr>
      <w:tr w:rsidR="00D62483" w:rsidRPr="00033E65" w14:paraId="45282526" w14:textId="77777777" w:rsidTr="00A90544">
        <w:trPr>
          <w:trHeight w:val="334"/>
          <w:jc w:val="center"/>
        </w:trPr>
        <w:tc>
          <w:tcPr>
            <w:tcW w:w="2410" w:type="dxa"/>
            <w:gridSpan w:val="2"/>
            <w:shd w:val="clear" w:color="auto" w:fill="auto"/>
            <w:vAlign w:val="center"/>
            <w:hideMark/>
          </w:tcPr>
          <w:p w14:paraId="7DA21449"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Mantenimiento Correctivo</w:t>
            </w:r>
          </w:p>
        </w:tc>
        <w:tc>
          <w:tcPr>
            <w:tcW w:w="2126" w:type="dxa"/>
            <w:shd w:val="clear" w:color="auto" w:fill="auto"/>
            <w:vAlign w:val="center"/>
            <w:hideMark/>
          </w:tcPr>
          <w:p w14:paraId="4DF1352C"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2 034 000,00 </w:t>
            </w:r>
          </w:p>
        </w:tc>
        <w:tc>
          <w:tcPr>
            <w:tcW w:w="2127" w:type="dxa"/>
            <w:shd w:val="clear" w:color="auto" w:fill="auto"/>
            <w:noWrap/>
            <w:vAlign w:val="center"/>
            <w:hideMark/>
          </w:tcPr>
          <w:p w14:paraId="3991AE2E"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24D3E258"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6F9F1651"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2 034 000,00 </w:t>
            </w:r>
          </w:p>
        </w:tc>
      </w:tr>
      <w:tr w:rsidR="00D62483" w:rsidRPr="00033E65" w14:paraId="7651EE0A" w14:textId="77777777" w:rsidTr="00A90544">
        <w:trPr>
          <w:trHeight w:val="334"/>
          <w:jc w:val="center"/>
        </w:trPr>
        <w:tc>
          <w:tcPr>
            <w:tcW w:w="2410" w:type="dxa"/>
            <w:gridSpan w:val="2"/>
            <w:shd w:val="clear" w:color="auto" w:fill="auto"/>
            <w:vAlign w:val="center"/>
            <w:hideMark/>
          </w:tcPr>
          <w:p w14:paraId="3026093C"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Batería para carro</w:t>
            </w:r>
          </w:p>
        </w:tc>
        <w:tc>
          <w:tcPr>
            <w:tcW w:w="2126" w:type="dxa"/>
            <w:shd w:val="clear" w:color="auto" w:fill="auto"/>
            <w:vAlign w:val="center"/>
            <w:hideMark/>
          </w:tcPr>
          <w:p w14:paraId="3E3D01E3"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406 800,00 </w:t>
            </w:r>
          </w:p>
        </w:tc>
        <w:tc>
          <w:tcPr>
            <w:tcW w:w="2127" w:type="dxa"/>
            <w:shd w:val="clear" w:color="auto" w:fill="auto"/>
            <w:noWrap/>
            <w:vAlign w:val="center"/>
            <w:hideMark/>
          </w:tcPr>
          <w:p w14:paraId="457E390E"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165FB4E4"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70AB4A65"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406 800,00 </w:t>
            </w:r>
          </w:p>
        </w:tc>
      </w:tr>
      <w:tr w:rsidR="00D62483" w:rsidRPr="00033E65" w14:paraId="587FE08D" w14:textId="77777777" w:rsidTr="00A90544">
        <w:trPr>
          <w:trHeight w:val="334"/>
          <w:jc w:val="center"/>
        </w:trPr>
        <w:tc>
          <w:tcPr>
            <w:tcW w:w="2410" w:type="dxa"/>
            <w:gridSpan w:val="2"/>
            <w:shd w:val="clear" w:color="auto" w:fill="auto"/>
            <w:vAlign w:val="center"/>
            <w:hideMark/>
          </w:tcPr>
          <w:p w14:paraId="4025DE75"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Lavado</w:t>
            </w:r>
          </w:p>
        </w:tc>
        <w:tc>
          <w:tcPr>
            <w:tcW w:w="2126" w:type="dxa"/>
            <w:shd w:val="clear" w:color="auto" w:fill="auto"/>
            <w:vAlign w:val="center"/>
            <w:hideMark/>
          </w:tcPr>
          <w:p w14:paraId="07D40CD8"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813 600,00 </w:t>
            </w:r>
          </w:p>
        </w:tc>
        <w:tc>
          <w:tcPr>
            <w:tcW w:w="2127" w:type="dxa"/>
            <w:shd w:val="clear" w:color="auto" w:fill="auto"/>
            <w:noWrap/>
            <w:vAlign w:val="center"/>
            <w:hideMark/>
          </w:tcPr>
          <w:p w14:paraId="6CFD61E1"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4FA0E368"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6A40F18F"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813 600,00 </w:t>
            </w:r>
          </w:p>
        </w:tc>
      </w:tr>
      <w:tr w:rsidR="00D62483" w:rsidRPr="00033E65" w14:paraId="2DDEC839" w14:textId="77777777" w:rsidTr="00A90544">
        <w:trPr>
          <w:trHeight w:val="334"/>
          <w:jc w:val="center"/>
        </w:trPr>
        <w:tc>
          <w:tcPr>
            <w:tcW w:w="2410" w:type="dxa"/>
            <w:gridSpan w:val="2"/>
            <w:shd w:val="clear" w:color="auto" w:fill="auto"/>
            <w:vAlign w:val="center"/>
            <w:hideMark/>
          </w:tcPr>
          <w:p w14:paraId="3CD666C0"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Reparación de llantas</w:t>
            </w:r>
          </w:p>
        </w:tc>
        <w:tc>
          <w:tcPr>
            <w:tcW w:w="2126" w:type="dxa"/>
            <w:shd w:val="clear" w:color="auto" w:fill="auto"/>
            <w:vAlign w:val="center"/>
            <w:hideMark/>
          </w:tcPr>
          <w:p w14:paraId="0830B250"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203 400,00 </w:t>
            </w:r>
          </w:p>
        </w:tc>
        <w:tc>
          <w:tcPr>
            <w:tcW w:w="2127" w:type="dxa"/>
            <w:shd w:val="clear" w:color="auto" w:fill="auto"/>
            <w:noWrap/>
            <w:vAlign w:val="center"/>
            <w:hideMark/>
          </w:tcPr>
          <w:p w14:paraId="4F356361"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4E32628B"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7DFB5452"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203 400,00 </w:t>
            </w:r>
          </w:p>
        </w:tc>
      </w:tr>
      <w:tr w:rsidR="00D62483" w:rsidRPr="00033E65" w14:paraId="26783FF9" w14:textId="77777777" w:rsidTr="00A90544">
        <w:trPr>
          <w:trHeight w:val="334"/>
          <w:jc w:val="center"/>
        </w:trPr>
        <w:tc>
          <w:tcPr>
            <w:tcW w:w="2410" w:type="dxa"/>
            <w:gridSpan w:val="2"/>
            <w:shd w:val="clear" w:color="auto" w:fill="auto"/>
            <w:vAlign w:val="center"/>
            <w:hideMark/>
          </w:tcPr>
          <w:p w14:paraId="56B4050D"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Bloqueador solar</w:t>
            </w:r>
          </w:p>
        </w:tc>
        <w:tc>
          <w:tcPr>
            <w:tcW w:w="2126" w:type="dxa"/>
            <w:shd w:val="clear" w:color="auto" w:fill="auto"/>
            <w:vAlign w:val="center"/>
            <w:hideMark/>
          </w:tcPr>
          <w:p w14:paraId="5332B577"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90 000,00 </w:t>
            </w:r>
          </w:p>
        </w:tc>
        <w:tc>
          <w:tcPr>
            <w:tcW w:w="2127" w:type="dxa"/>
            <w:shd w:val="clear" w:color="auto" w:fill="auto"/>
            <w:noWrap/>
            <w:vAlign w:val="center"/>
            <w:hideMark/>
          </w:tcPr>
          <w:p w14:paraId="5B6865BA"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4F13860F"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3B0AC019"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90 000,00 </w:t>
            </w:r>
          </w:p>
        </w:tc>
      </w:tr>
      <w:tr w:rsidR="00D62483" w:rsidRPr="00033E65" w14:paraId="5E7183DB" w14:textId="77777777" w:rsidTr="00A90544">
        <w:trPr>
          <w:trHeight w:val="334"/>
          <w:jc w:val="center"/>
        </w:trPr>
        <w:tc>
          <w:tcPr>
            <w:tcW w:w="2410" w:type="dxa"/>
            <w:gridSpan w:val="2"/>
            <w:shd w:val="clear" w:color="auto" w:fill="auto"/>
            <w:vAlign w:val="center"/>
            <w:hideMark/>
          </w:tcPr>
          <w:p w14:paraId="6E3AF278"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Mangas protectoras</w:t>
            </w:r>
          </w:p>
        </w:tc>
        <w:tc>
          <w:tcPr>
            <w:tcW w:w="2126" w:type="dxa"/>
            <w:shd w:val="clear" w:color="auto" w:fill="auto"/>
            <w:vAlign w:val="center"/>
            <w:hideMark/>
          </w:tcPr>
          <w:p w14:paraId="6674DC94"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36 000,00 </w:t>
            </w:r>
          </w:p>
        </w:tc>
        <w:tc>
          <w:tcPr>
            <w:tcW w:w="2127" w:type="dxa"/>
            <w:shd w:val="clear" w:color="auto" w:fill="auto"/>
            <w:noWrap/>
            <w:vAlign w:val="center"/>
            <w:hideMark/>
          </w:tcPr>
          <w:p w14:paraId="2C3F04B1"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08A3B57F"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0B768FA6"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36 000,00 </w:t>
            </w:r>
          </w:p>
        </w:tc>
      </w:tr>
      <w:tr w:rsidR="00D62483" w:rsidRPr="00033E65" w14:paraId="3670D5A5" w14:textId="77777777" w:rsidTr="00A90544">
        <w:trPr>
          <w:trHeight w:val="334"/>
          <w:jc w:val="center"/>
        </w:trPr>
        <w:tc>
          <w:tcPr>
            <w:tcW w:w="2410" w:type="dxa"/>
            <w:gridSpan w:val="2"/>
            <w:shd w:val="clear" w:color="auto" w:fill="auto"/>
            <w:vAlign w:val="center"/>
            <w:hideMark/>
          </w:tcPr>
          <w:p w14:paraId="43DC5D5F" w14:textId="77777777" w:rsidR="00D62483" w:rsidRPr="00033E65" w:rsidRDefault="00D62483">
            <w:pPr>
              <w:spacing w:before="0" w:after="0"/>
              <w:jc w:val="left"/>
              <w:rPr>
                <w:rFonts w:cs="Calibri"/>
                <w:color w:val="000000"/>
                <w:szCs w:val="22"/>
                <w:lang w:eastAsia="es-CR"/>
              </w:rPr>
            </w:pPr>
            <w:r w:rsidRPr="00033E65">
              <w:rPr>
                <w:rFonts w:cs="Calibri"/>
                <w:color w:val="000000"/>
                <w:szCs w:val="22"/>
                <w:lang w:eastAsia="es-CR"/>
              </w:rPr>
              <w:t>Repelente</w:t>
            </w:r>
          </w:p>
        </w:tc>
        <w:tc>
          <w:tcPr>
            <w:tcW w:w="2126" w:type="dxa"/>
            <w:shd w:val="clear" w:color="auto" w:fill="auto"/>
            <w:vAlign w:val="center"/>
            <w:hideMark/>
          </w:tcPr>
          <w:p w14:paraId="77F6E62B" w14:textId="77777777" w:rsidR="00D62483" w:rsidRPr="00033E65" w:rsidRDefault="00D62483">
            <w:pPr>
              <w:spacing w:before="0" w:after="0"/>
              <w:jc w:val="center"/>
              <w:rPr>
                <w:rFonts w:ascii="Times New Roman" w:hAnsi="Times New Roman"/>
                <w:color w:val="000000"/>
                <w:szCs w:val="22"/>
                <w:lang w:eastAsia="es-CR"/>
              </w:rPr>
            </w:pPr>
            <w:r w:rsidRPr="00033E65">
              <w:rPr>
                <w:rFonts w:ascii="Times New Roman" w:hAnsi="Times New Roman"/>
                <w:color w:val="000000"/>
                <w:szCs w:val="22"/>
                <w:lang w:eastAsia="es-CR"/>
              </w:rPr>
              <w:t xml:space="preserve"> ₡               36 000,00 </w:t>
            </w:r>
          </w:p>
        </w:tc>
        <w:tc>
          <w:tcPr>
            <w:tcW w:w="2127" w:type="dxa"/>
            <w:shd w:val="clear" w:color="auto" w:fill="auto"/>
            <w:noWrap/>
            <w:vAlign w:val="center"/>
            <w:hideMark/>
          </w:tcPr>
          <w:p w14:paraId="55E8E599" w14:textId="77777777" w:rsidR="00D62483" w:rsidRPr="00033E65" w:rsidRDefault="00D62483">
            <w:pPr>
              <w:spacing w:before="0" w:after="0"/>
              <w:rPr>
                <w:rFonts w:ascii="Times New Roman" w:hAnsi="Times New Roman"/>
                <w:color w:val="000000"/>
                <w:szCs w:val="22"/>
                <w:lang w:eastAsia="es-CR"/>
              </w:rPr>
            </w:pPr>
            <w:r w:rsidRPr="00033E65">
              <w:rPr>
                <w:rFonts w:ascii="Times New Roman" w:hAnsi="Times New Roman"/>
                <w:color w:val="000000"/>
                <w:szCs w:val="22"/>
                <w:lang w:eastAsia="es-CR"/>
              </w:rPr>
              <w:t xml:space="preserve"> ₡                         -    </w:t>
            </w:r>
          </w:p>
        </w:tc>
        <w:tc>
          <w:tcPr>
            <w:tcW w:w="2126" w:type="dxa"/>
          </w:tcPr>
          <w:p w14:paraId="62BD00A9" w14:textId="77777777" w:rsidR="00D62483" w:rsidRPr="00033E65" w:rsidRDefault="00D62483">
            <w:pPr>
              <w:spacing w:before="0" w:after="0"/>
              <w:jc w:val="center"/>
              <w:rPr>
                <w:rFonts w:ascii="Times New Roman" w:hAnsi="Times New Roman"/>
                <w:b/>
                <w:bCs/>
                <w:color w:val="000000"/>
                <w:szCs w:val="22"/>
                <w:lang w:eastAsia="es-CR"/>
              </w:rPr>
            </w:pPr>
          </w:p>
        </w:tc>
        <w:tc>
          <w:tcPr>
            <w:tcW w:w="2126" w:type="dxa"/>
            <w:shd w:val="clear" w:color="auto" w:fill="auto"/>
            <w:noWrap/>
            <w:vAlign w:val="center"/>
            <w:hideMark/>
          </w:tcPr>
          <w:p w14:paraId="07CF4AAF"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36 000,00 </w:t>
            </w:r>
          </w:p>
        </w:tc>
      </w:tr>
      <w:tr w:rsidR="00D62483" w:rsidRPr="00033E65" w14:paraId="63B26A0F" w14:textId="77777777" w:rsidTr="00A90544">
        <w:trPr>
          <w:trHeight w:val="334"/>
          <w:jc w:val="center"/>
        </w:trPr>
        <w:tc>
          <w:tcPr>
            <w:tcW w:w="2410" w:type="dxa"/>
            <w:gridSpan w:val="2"/>
            <w:shd w:val="clear" w:color="auto" w:fill="auto"/>
            <w:vAlign w:val="bottom"/>
          </w:tcPr>
          <w:p w14:paraId="21C0EC04" w14:textId="77777777" w:rsidR="00D62483" w:rsidRPr="00033E65" w:rsidRDefault="00D62483">
            <w:pPr>
              <w:spacing w:before="0" w:after="0"/>
              <w:jc w:val="left"/>
              <w:rPr>
                <w:rFonts w:cs="Calibri"/>
                <w:color w:val="000000"/>
                <w:szCs w:val="22"/>
                <w:lang w:eastAsia="es-CR"/>
              </w:rPr>
            </w:pPr>
            <w:r w:rsidRPr="00624403">
              <w:rPr>
                <w:rFonts w:cs="Arial"/>
                <w:szCs w:val="22"/>
                <w:lang w:eastAsia="es-CR"/>
              </w:rPr>
              <w:t>Computadora</w:t>
            </w:r>
          </w:p>
        </w:tc>
        <w:tc>
          <w:tcPr>
            <w:tcW w:w="2126" w:type="dxa"/>
            <w:shd w:val="clear" w:color="auto" w:fill="auto"/>
            <w:vAlign w:val="center"/>
          </w:tcPr>
          <w:p w14:paraId="012B1D77" w14:textId="77777777" w:rsidR="00D62483" w:rsidRPr="00033E65" w:rsidRDefault="00D62483">
            <w:pPr>
              <w:spacing w:before="0" w:after="0"/>
              <w:jc w:val="center"/>
              <w:rPr>
                <w:rFonts w:ascii="Times New Roman" w:hAnsi="Times New Roman"/>
                <w:color w:val="000000"/>
                <w:szCs w:val="22"/>
                <w:lang w:eastAsia="es-CR"/>
              </w:rPr>
            </w:pPr>
          </w:p>
        </w:tc>
        <w:tc>
          <w:tcPr>
            <w:tcW w:w="2127" w:type="dxa"/>
            <w:shd w:val="clear" w:color="auto" w:fill="auto"/>
            <w:noWrap/>
            <w:vAlign w:val="center"/>
          </w:tcPr>
          <w:p w14:paraId="6E1600B2" w14:textId="77777777" w:rsidR="00D62483" w:rsidRPr="00033E65" w:rsidRDefault="00D62483">
            <w:pPr>
              <w:spacing w:before="0" w:after="0"/>
              <w:rPr>
                <w:rFonts w:ascii="Times New Roman" w:hAnsi="Times New Roman"/>
                <w:color w:val="000000"/>
                <w:szCs w:val="22"/>
                <w:lang w:eastAsia="es-CR"/>
              </w:rPr>
            </w:pPr>
          </w:p>
        </w:tc>
        <w:tc>
          <w:tcPr>
            <w:tcW w:w="2126" w:type="dxa"/>
            <w:vAlign w:val="center"/>
          </w:tcPr>
          <w:p w14:paraId="5D259BC8" w14:textId="77777777" w:rsidR="00D62483" w:rsidRPr="00033E65" w:rsidRDefault="00D62483">
            <w:pPr>
              <w:spacing w:before="0" w:after="0"/>
              <w:jc w:val="center"/>
              <w:rPr>
                <w:rFonts w:ascii="Times New Roman" w:hAnsi="Times New Roman"/>
                <w:b/>
                <w:bCs/>
                <w:color w:val="000000"/>
                <w:szCs w:val="22"/>
                <w:lang w:eastAsia="es-CR"/>
              </w:rPr>
            </w:pPr>
            <w:r w:rsidRPr="00624403">
              <w:rPr>
                <w:rFonts w:cs="Arial"/>
                <w:b/>
                <w:bCs/>
                <w:szCs w:val="22"/>
                <w:lang w:eastAsia="es-CR"/>
              </w:rPr>
              <w:t>823 610</w:t>
            </w:r>
          </w:p>
        </w:tc>
        <w:tc>
          <w:tcPr>
            <w:tcW w:w="2126" w:type="dxa"/>
            <w:shd w:val="clear" w:color="auto" w:fill="auto"/>
            <w:noWrap/>
            <w:vAlign w:val="center"/>
          </w:tcPr>
          <w:p w14:paraId="06D63B6D" w14:textId="77777777" w:rsidR="00D62483" w:rsidRPr="00033E65" w:rsidRDefault="00D62483">
            <w:pPr>
              <w:spacing w:before="0" w:after="0"/>
              <w:jc w:val="center"/>
              <w:rPr>
                <w:rFonts w:ascii="Times New Roman" w:hAnsi="Times New Roman"/>
                <w:b/>
                <w:bCs/>
                <w:color w:val="000000"/>
                <w:szCs w:val="22"/>
                <w:lang w:eastAsia="es-CR"/>
              </w:rPr>
            </w:pPr>
          </w:p>
        </w:tc>
      </w:tr>
      <w:tr w:rsidR="00D62483" w:rsidRPr="00033E65" w14:paraId="0786D539" w14:textId="77777777" w:rsidTr="00A90544">
        <w:trPr>
          <w:trHeight w:val="334"/>
          <w:jc w:val="center"/>
        </w:trPr>
        <w:tc>
          <w:tcPr>
            <w:tcW w:w="2410" w:type="dxa"/>
            <w:gridSpan w:val="2"/>
            <w:shd w:val="clear" w:color="auto" w:fill="auto"/>
            <w:vAlign w:val="bottom"/>
          </w:tcPr>
          <w:p w14:paraId="4E9BBAC2" w14:textId="77777777" w:rsidR="00D62483" w:rsidRPr="00033E65" w:rsidRDefault="00D62483">
            <w:pPr>
              <w:spacing w:before="0" w:after="0"/>
              <w:jc w:val="left"/>
              <w:rPr>
                <w:rFonts w:cs="Calibri"/>
                <w:color w:val="000000"/>
                <w:szCs w:val="22"/>
                <w:lang w:eastAsia="es-CR"/>
              </w:rPr>
            </w:pPr>
            <w:r w:rsidRPr="00624403">
              <w:rPr>
                <w:rFonts w:cs="Arial"/>
                <w:szCs w:val="22"/>
                <w:lang w:eastAsia="es-CR"/>
              </w:rPr>
              <w:t>Estación de servicio con aditamiento para mouse</w:t>
            </w:r>
          </w:p>
        </w:tc>
        <w:tc>
          <w:tcPr>
            <w:tcW w:w="2126" w:type="dxa"/>
            <w:shd w:val="clear" w:color="auto" w:fill="auto"/>
            <w:vAlign w:val="center"/>
          </w:tcPr>
          <w:p w14:paraId="4758813D" w14:textId="77777777" w:rsidR="00D62483" w:rsidRPr="00033E65" w:rsidRDefault="00D62483">
            <w:pPr>
              <w:spacing w:before="0" w:after="0"/>
              <w:jc w:val="center"/>
              <w:rPr>
                <w:rFonts w:ascii="Times New Roman" w:hAnsi="Times New Roman"/>
                <w:color w:val="000000"/>
                <w:szCs w:val="22"/>
                <w:lang w:eastAsia="es-CR"/>
              </w:rPr>
            </w:pPr>
          </w:p>
        </w:tc>
        <w:tc>
          <w:tcPr>
            <w:tcW w:w="2127" w:type="dxa"/>
            <w:shd w:val="clear" w:color="auto" w:fill="auto"/>
            <w:noWrap/>
            <w:vAlign w:val="center"/>
          </w:tcPr>
          <w:p w14:paraId="2962D60E" w14:textId="77777777" w:rsidR="00D62483" w:rsidRPr="00033E65" w:rsidRDefault="00D62483">
            <w:pPr>
              <w:spacing w:before="0" w:after="0"/>
              <w:rPr>
                <w:rFonts w:ascii="Times New Roman" w:hAnsi="Times New Roman"/>
                <w:color w:val="000000"/>
                <w:szCs w:val="22"/>
                <w:lang w:eastAsia="es-CR"/>
              </w:rPr>
            </w:pPr>
          </w:p>
        </w:tc>
        <w:tc>
          <w:tcPr>
            <w:tcW w:w="2126" w:type="dxa"/>
            <w:vAlign w:val="center"/>
          </w:tcPr>
          <w:p w14:paraId="4FBAA935" w14:textId="77777777" w:rsidR="00D62483" w:rsidRPr="00033E65" w:rsidRDefault="00D62483">
            <w:pPr>
              <w:spacing w:before="0" w:after="0"/>
              <w:jc w:val="center"/>
              <w:rPr>
                <w:rFonts w:ascii="Times New Roman" w:hAnsi="Times New Roman"/>
                <w:b/>
                <w:bCs/>
                <w:color w:val="000000"/>
                <w:szCs w:val="22"/>
                <w:lang w:eastAsia="es-CR"/>
              </w:rPr>
            </w:pPr>
            <w:r w:rsidRPr="00624403">
              <w:rPr>
                <w:rFonts w:cs="Arial"/>
                <w:b/>
                <w:bCs/>
                <w:szCs w:val="22"/>
                <w:lang w:eastAsia="es-CR"/>
              </w:rPr>
              <w:t>153 950</w:t>
            </w:r>
          </w:p>
        </w:tc>
        <w:tc>
          <w:tcPr>
            <w:tcW w:w="2126" w:type="dxa"/>
            <w:shd w:val="clear" w:color="auto" w:fill="auto"/>
            <w:noWrap/>
            <w:vAlign w:val="center"/>
          </w:tcPr>
          <w:p w14:paraId="46FA3317" w14:textId="77777777" w:rsidR="00D62483" w:rsidRPr="00033E65" w:rsidRDefault="00D62483">
            <w:pPr>
              <w:spacing w:before="0" w:after="0"/>
              <w:jc w:val="center"/>
              <w:rPr>
                <w:rFonts w:ascii="Times New Roman" w:hAnsi="Times New Roman"/>
                <w:b/>
                <w:bCs/>
                <w:color w:val="000000"/>
                <w:szCs w:val="22"/>
                <w:lang w:eastAsia="es-CR"/>
              </w:rPr>
            </w:pPr>
          </w:p>
        </w:tc>
      </w:tr>
      <w:tr w:rsidR="00D62483" w:rsidRPr="00033E65" w14:paraId="6E06F630" w14:textId="77777777" w:rsidTr="00A90544">
        <w:trPr>
          <w:trHeight w:val="334"/>
          <w:jc w:val="center"/>
        </w:trPr>
        <w:tc>
          <w:tcPr>
            <w:tcW w:w="2410" w:type="dxa"/>
            <w:gridSpan w:val="2"/>
            <w:shd w:val="clear" w:color="auto" w:fill="auto"/>
            <w:vAlign w:val="bottom"/>
          </w:tcPr>
          <w:p w14:paraId="5AAE9358" w14:textId="77777777" w:rsidR="00D62483" w:rsidRPr="00033E65" w:rsidRDefault="00D62483">
            <w:pPr>
              <w:spacing w:before="0" w:after="0"/>
              <w:jc w:val="left"/>
              <w:rPr>
                <w:rFonts w:cs="Calibri"/>
                <w:color w:val="000000"/>
                <w:szCs w:val="22"/>
                <w:lang w:eastAsia="es-CR"/>
              </w:rPr>
            </w:pPr>
            <w:r w:rsidRPr="00624403">
              <w:rPr>
                <w:rFonts w:cs="Arial"/>
                <w:szCs w:val="22"/>
                <w:lang w:eastAsia="es-CR"/>
              </w:rPr>
              <w:t>Silla giratoria secretarial (ergonómica)</w:t>
            </w:r>
          </w:p>
        </w:tc>
        <w:tc>
          <w:tcPr>
            <w:tcW w:w="2126" w:type="dxa"/>
            <w:shd w:val="clear" w:color="auto" w:fill="auto"/>
            <w:vAlign w:val="center"/>
          </w:tcPr>
          <w:p w14:paraId="7657742D" w14:textId="77777777" w:rsidR="00D62483" w:rsidRPr="00033E65" w:rsidRDefault="00D62483">
            <w:pPr>
              <w:spacing w:before="0" w:after="0"/>
              <w:jc w:val="center"/>
              <w:rPr>
                <w:rFonts w:ascii="Times New Roman" w:hAnsi="Times New Roman"/>
                <w:color w:val="000000"/>
                <w:szCs w:val="22"/>
                <w:lang w:eastAsia="es-CR"/>
              </w:rPr>
            </w:pPr>
          </w:p>
        </w:tc>
        <w:tc>
          <w:tcPr>
            <w:tcW w:w="2127" w:type="dxa"/>
            <w:shd w:val="clear" w:color="auto" w:fill="auto"/>
            <w:noWrap/>
            <w:vAlign w:val="center"/>
          </w:tcPr>
          <w:p w14:paraId="1410E10E" w14:textId="77777777" w:rsidR="00D62483" w:rsidRPr="00033E65" w:rsidRDefault="00D62483">
            <w:pPr>
              <w:spacing w:before="0" w:after="0"/>
              <w:rPr>
                <w:rFonts w:ascii="Times New Roman" w:hAnsi="Times New Roman"/>
                <w:color w:val="000000"/>
                <w:szCs w:val="22"/>
                <w:lang w:eastAsia="es-CR"/>
              </w:rPr>
            </w:pPr>
          </w:p>
        </w:tc>
        <w:tc>
          <w:tcPr>
            <w:tcW w:w="2126" w:type="dxa"/>
            <w:vAlign w:val="center"/>
          </w:tcPr>
          <w:p w14:paraId="66968F8E" w14:textId="77777777" w:rsidR="00D62483" w:rsidRPr="00033E65" w:rsidRDefault="00D62483">
            <w:pPr>
              <w:spacing w:before="0" w:after="0"/>
              <w:jc w:val="center"/>
              <w:rPr>
                <w:rFonts w:ascii="Times New Roman" w:hAnsi="Times New Roman"/>
                <w:b/>
                <w:bCs/>
                <w:color w:val="000000"/>
                <w:szCs w:val="22"/>
                <w:lang w:eastAsia="es-CR"/>
              </w:rPr>
            </w:pPr>
            <w:r w:rsidRPr="00624403">
              <w:rPr>
                <w:rFonts w:cs="Arial"/>
                <w:b/>
                <w:bCs/>
                <w:szCs w:val="22"/>
                <w:lang w:eastAsia="es-CR"/>
              </w:rPr>
              <w:t>81 360</w:t>
            </w:r>
          </w:p>
        </w:tc>
        <w:tc>
          <w:tcPr>
            <w:tcW w:w="2126" w:type="dxa"/>
            <w:shd w:val="clear" w:color="auto" w:fill="auto"/>
            <w:noWrap/>
            <w:vAlign w:val="center"/>
          </w:tcPr>
          <w:p w14:paraId="390E20A4" w14:textId="77777777" w:rsidR="00D62483" w:rsidRPr="00033E65" w:rsidRDefault="00D62483">
            <w:pPr>
              <w:spacing w:before="0" w:after="0"/>
              <w:jc w:val="center"/>
              <w:rPr>
                <w:rFonts w:ascii="Times New Roman" w:hAnsi="Times New Roman"/>
                <w:b/>
                <w:bCs/>
                <w:color w:val="000000"/>
                <w:szCs w:val="22"/>
                <w:lang w:eastAsia="es-CR"/>
              </w:rPr>
            </w:pPr>
          </w:p>
        </w:tc>
      </w:tr>
      <w:tr w:rsidR="00D62483" w:rsidRPr="00033E65" w14:paraId="336D6B98" w14:textId="77777777" w:rsidTr="00A90544">
        <w:trPr>
          <w:trHeight w:val="334"/>
          <w:jc w:val="center"/>
        </w:trPr>
        <w:tc>
          <w:tcPr>
            <w:tcW w:w="2410" w:type="dxa"/>
            <w:gridSpan w:val="2"/>
            <w:shd w:val="clear" w:color="auto" w:fill="auto"/>
            <w:vAlign w:val="center"/>
          </w:tcPr>
          <w:p w14:paraId="1C1F7BA3" w14:textId="77777777" w:rsidR="00D62483" w:rsidRPr="00033E65" w:rsidRDefault="00D62483">
            <w:pPr>
              <w:spacing w:before="0" w:after="0"/>
              <w:jc w:val="left"/>
              <w:rPr>
                <w:rFonts w:cs="Calibri"/>
                <w:color w:val="000000"/>
                <w:szCs w:val="22"/>
                <w:lang w:eastAsia="es-CR"/>
              </w:rPr>
            </w:pPr>
            <w:r w:rsidRPr="00624403">
              <w:rPr>
                <w:rFonts w:cs="Arial"/>
                <w:color w:val="000000"/>
                <w:szCs w:val="22"/>
              </w:rPr>
              <w:t xml:space="preserve">Licencias de software o </w:t>
            </w:r>
            <w:r>
              <w:rPr>
                <w:rFonts w:cs="Arial"/>
                <w:color w:val="000000"/>
                <w:szCs w:val="22"/>
              </w:rPr>
              <w:t>renovación (Licencia E3)</w:t>
            </w:r>
          </w:p>
        </w:tc>
        <w:tc>
          <w:tcPr>
            <w:tcW w:w="2126" w:type="dxa"/>
            <w:shd w:val="clear" w:color="auto" w:fill="auto"/>
            <w:vAlign w:val="center"/>
          </w:tcPr>
          <w:p w14:paraId="7ED6DAC7" w14:textId="77777777" w:rsidR="00D62483" w:rsidRPr="00033E65" w:rsidRDefault="00D62483">
            <w:pPr>
              <w:spacing w:before="0" w:after="0"/>
              <w:jc w:val="center"/>
              <w:rPr>
                <w:rFonts w:ascii="Times New Roman" w:hAnsi="Times New Roman"/>
                <w:color w:val="000000"/>
                <w:szCs w:val="22"/>
                <w:lang w:eastAsia="es-CR"/>
              </w:rPr>
            </w:pPr>
          </w:p>
        </w:tc>
        <w:tc>
          <w:tcPr>
            <w:tcW w:w="2127" w:type="dxa"/>
            <w:shd w:val="clear" w:color="auto" w:fill="auto"/>
            <w:noWrap/>
            <w:vAlign w:val="center"/>
          </w:tcPr>
          <w:p w14:paraId="1393F7D6" w14:textId="77777777" w:rsidR="00D62483" w:rsidRPr="00033E65" w:rsidRDefault="00D62483">
            <w:pPr>
              <w:spacing w:before="0" w:after="0"/>
              <w:rPr>
                <w:rFonts w:ascii="Times New Roman" w:hAnsi="Times New Roman"/>
                <w:color w:val="000000"/>
                <w:szCs w:val="22"/>
                <w:lang w:eastAsia="es-CR"/>
              </w:rPr>
            </w:pPr>
          </w:p>
        </w:tc>
        <w:tc>
          <w:tcPr>
            <w:tcW w:w="2126" w:type="dxa"/>
            <w:vAlign w:val="center"/>
          </w:tcPr>
          <w:p w14:paraId="2E9783D1" w14:textId="77777777" w:rsidR="00D62483" w:rsidRPr="00033E65" w:rsidRDefault="00D62483">
            <w:pPr>
              <w:spacing w:before="0" w:after="0"/>
              <w:jc w:val="center"/>
              <w:rPr>
                <w:rFonts w:ascii="Times New Roman" w:hAnsi="Times New Roman"/>
                <w:b/>
                <w:bCs/>
                <w:color w:val="000000"/>
                <w:szCs w:val="22"/>
                <w:lang w:eastAsia="es-CR"/>
              </w:rPr>
            </w:pPr>
            <w:r w:rsidRPr="00624403">
              <w:rPr>
                <w:rFonts w:cs="Arial"/>
                <w:szCs w:val="22"/>
                <w:lang w:eastAsia="es-CR"/>
              </w:rPr>
              <w:t>114 337,92</w:t>
            </w:r>
          </w:p>
        </w:tc>
        <w:tc>
          <w:tcPr>
            <w:tcW w:w="2126" w:type="dxa"/>
            <w:shd w:val="clear" w:color="auto" w:fill="auto"/>
            <w:noWrap/>
            <w:vAlign w:val="center"/>
          </w:tcPr>
          <w:p w14:paraId="05A8AFD0" w14:textId="77777777" w:rsidR="00D62483" w:rsidRPr="00033E65" w:rsidRDefault="00D62483">
            <w:pPr>
              <w:spacing w:before="0" w:after="0"/>
              <w:jc w:val="center"/>
              <w:rPr>
                <w:rFonts w:ascii="Times New Roman" w:hAnsi="Times New Roman"/>
                <w:b/>
                <w:bCs/>
                <w:color w:val="000000"/>
                <w:szCs w:val="22"/>
                <w:lang w:eastAsia="es-CR"/>
              </w:rPr>
            </w:pPr>
          </w:p>
        </w:tc>
      </w:tr>
      <w:tr w:rsidR="00D62483" w:rsidRPr="00033E65" w14:paraId="7C64BDEF" w14:textId="77777777" w:rsidTr="00A90544">
        <w:trPr>
          <w:trHeight w:val="455"/>
          <w:jc w:val="center"/>
        </w:trPr>
        <w:tc>
          <w:tcPr>
            <w:tcW w:w="2410" w:type="dxa"/>
            <w:gridSpan w:val="2"/>
            <w:vMerge w:val="restart"/>
            <w:shd w:val="clear" w:color="000000" w:fill="DCE6F1"/>
            <w:noWrap/>
            <w:vAlign w:val="center"/>
            <w:hideMark/>
          </w:tcPr>
          <w:p w14:paraId="07C5866E" w14:textId="77777777" w:rsidR="00D62483" w:rsidRPr="00033E65" w:rsidRDefault="00D62483">
            <w:pPr>
              <w:spacing w:before="0" w:after="0"/>
              <w:jc w:val="right"/>
              <w:rPr>
                <w:rFonts w:cs="Calibri"/>
                <w:b/>
                <w:bCs/>
                <w:color w:val="000000"/>
                <w:szCs w:val="22"/>
                <w:lang w:eastAsia="es-CR"/>
              </w:rPr>
            </w:pPr>
            <w:r w:rsidRPr="00033E65">
              <w:rPr>
                <w:rFonts w:cs="Calibri"/>
                <w:b/>
                <w:bCs/>
                <w:color w:val="000000"/>
                <w:szCs w:val="22"/>
                <w:lang w:eastAsia="es-CR"/>
              </w:rPr>
              <w:t>Total por programa presupuestario</w:t>
            </w:r>
          </w:p>
        </w:tc>
        <w:tc>
          <w:tcPr>
            <w:tcW w:w="2126" w:type="dxa"/>
            <w:vMerge w:val="restart"/>
            <w:shd w:val="clear" w:color="000000" w:fill="DCE6F1"/>
            <w:noWrap/>
            <w:vAlign w:val="center"/>
            <w:hideMark/>
          </w:tcPr>
          <w:p w14:paraId="3FC2E621"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181 986 743,67 </w:t>
            </w:r>
          </w:p>
        </w:tc>
        <w:tc>
          <w:tcPr>
            <w:tcW w:w="2127" w:type="dxa"/>
            <w:vMerge w:val="restart"/>
            <w:shd w:val="clear" w:color="000000" w:fill="DCE6F1"/>
            <w:noWrap/>
            <w:vAlign w:val="center"/>
            <w:hideMark/>
          </w:tcPr>
          <w:p w14:paraId="3303545C"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szCs w:val="22"/>
                <w:lang w:eastAsia="es-CR"/>
              </w:rPr>
              <w:t xml:space="preserve"> ₡     328 644 712,72 </w:t>
            </w:r>
          </w:p>
        </w:tc>
        <w:tc>
          <w:tcPr>
            <w:tcW w:w="2126" w:type="dxa"/>
            <w:vMerge w:val="restart"/>
            <w:shd w:val="clear" w:color="000000" w:fill="DCE6F1"/>
            <w:vAlign w:val="center"/>
          </w:tcPr>
          <w:p w14:paraId="21C81521" w14:textId="77777777" w:rsidR="00D62483" w:rsidRPr="00033E65" w:rsidRDefault="00D62483">
            <w:pPr>
              <w:spacing w:before="0" w:after="0"/>
              <w:jc w:val="center"/>
              <w:rPr>
                <w:rFonts w:ascii="Times New Roman" w:hAnsi="Times New Roman"/>
                <w:b/>
                <w:bCs/>
                <w:color w:val="000000" w:themeColor="text1"/>
                <w:szCs w:val="22"/>
                <w:lang w:eastAsia="es-CR"/>
              </w:rPr>
            </w:pPr>
            <w:r w:rsidRPr="004E4646">
              <w:rPr>
                <w:rFonts w:ascii="Times New Roman" w:hAnsi="Times New Roman"/>
                <w:b/>
                <w:bCs/>
                <w:color w:val="000000" w:themeColor="text1"/>
                <w:szCs w:val="22"/>
                <w:lang w:eastAsia="es-CR"/>
              </w:rPr>
              <w:t>27 086 257,92</w:t>
            </w:r>
          </w:p>
        </w:tc>
        <w:tc>
          <w:tcPr>
            <w:tcW w:w="2126" w:type="dxa"/>
            <w:vMerge w:val="restart"/>
            <w:shd w:val="clear" w:color="000000" w:fill="DCE6F1"/>
            <w:noWrap/>
            <w:vAlign w:val="center"/>
            <w:hideMark/>
          </w:tcPr>
          <w:p w14:paraId="13DF6650" w14:textId="77777777" w:rsidR="00D62483" w:rsidRPr="00033E65" w:rsidRDefault="00D62483">
            <w:pPr>
              <w:spacing w:before="0" w:after="0"/>
              <w:jc w:val="center"/>
              <w:rPr>
                <w:rFonts w:ascii="Times New Roman" w:hAnsi="Times New Roman"/>
                <w:b/>
                <w:bCs/>
                <w:color w:val="000000"/>
                <w:szCs w:val="22"/>
                <w:lang w:eastAsia="es-CR"/>
              </w:rPr>
            </w:pPr>
            <w:r w:rsidRPr="00033E65">
              <w:rPr>
                <w:rFonts w:ascii="Times New Roman" w:hAnsi="Times New Roman"/>
                <w:b/>
                <w:bCs/>
                <w:color w:val="000000" w:themeColor="text1"/>
                <w:szCs w:val="22"/>
                <w:lang w:eastAsia="es-CR"/>
              </w:rPr>
              <w:t xml:space="preserve"> ₡     </w:t>
            </w:r>
            <w:r w:rsidRPr="00D62483">
              <w:rPr>
                <w:rFonts w:ascii="Times New Roman" w:hAnsi="Times New Roman"/>
                <w:b/>
                <w:bCs/>
                <w:color w:val="000000" w:themeColor="text1"/>
                <w:szCs w:val="22"/>
                <w:lang w:eastAsia="es-CR"/>
              </w:rPr>
              <w:t>537 717 715,31</w:t>
            </w:r>
          </w:p>
        </w:tc>
      </w:tr>
      <w:tr w:rsidR="00D62483" w:rsidRPr="00033E65" w14:paraId="3C4F8328" w14:textId="77777777" w:rsidTr="00A90544">
        <w:trPr>
          <w:trHeight w:val="455"/>
          <w:jc w:val="center"/>
        </w:trPr>
        <w:tc>
          <w:tcPr>
            <w:tcW w:w="2410" w:type="dxa"/>
            <w:gridSpan w:val="2"/>
            <w:vMerge/>
            <w:vAlign w:val="center"/>
            <w:hideMark/>
          </w:tcPr>
          <w:p w14:paraId="3FD786D7" w14:textId="77777777" w:rsidR="00D62483" w:rsidRPr="00033E65" w:rsidRDefault="00D62483">
            <w:pPr>
              <w:spacing w:before="0" w:after="0"/>
              <w:jc w:val="left"/>
              <w:rPr>
                <w:rFonts w:cs="Calibri"/>
                <w:b/>
                <w:bCs/>
                <w:color w:val="000000"/>
                <w:szCs w:val="22"/>
                <w:lang w:eastAsia="es-CR"/>
              </w:rPr>
            </w:pPr>
          </w:p>
        </w:tc>
        <w:tc>
          <w:tcPr>
            <w:tcW w:w="2126" w:type="dxa"/>
            <w:vMerge/>
            <w:vAlign w:val="center"/>
            <w:hideMark/>
          </w:tcPr>
          <w:p w14:paraId="4A5CBA40" w14:textId="77777777" w:rsidR="00D62483" w:rsidRPr="00033E65" w:rsidRDefault="00D62483">
            <w:pPr>
              <w:spacing w:before="0" w:after="0"/>
              <w:jc w:val="left"/>
              <w:rPr>
                <w:rFonts w:ascii="Times New Roman" w:hAnsi="Times New Roman"/>
                <w:b/>
                <w:bCs/>
                <w:color w:val="000000"/>
                <w:szCs w:val="22"/>
                <w:lang w:eastAsia="es-CR"/>
              </w:rPr>
            </w:pPr>
          </w:p>
        </w:tc>
        <w:tc>
          <w:tcPr>
            <w:tcW w:w="2127" w:type="dxa"/>
            <w:vMerge/>
            <w:vAlign w:val="center"/>
            <w:hideMark/>
          </w:tcPr>
          <w:p w14:paraId="6262026A" w14:textId="77777777" w:rsidR="00D62483" w:rsidRPr="00033E65" w:rsidRDefault="00D62483">
            <w:pPr>
              <w:spacing w:before="0" w:after="0"/>
              <w:jc w:val="left"/>
              <w:rPr>
                <w:rFonts w:ascii="Times New Roman" w:hAnsi="Times New Roman"/>
                <w:b/>
                <w:bCs/>
                <w:color w:val="000000"/>
                <w:szCs w:val="22"/>
                <w:lang w:eastAsia="es-CR"/>
              </w:rPr>
            </w:pPr>
          </w:p>
        </w:tc>
        <w:tc>
          <w:tcPr>
            <w:tcW w:w="2126" w:type="dxa"/>
            <w:vMerge/>
          </w:tcPr>
          <w:p w14:paraId="65037C30" w14:textId="77777777" w:rsidR="00D62483" w:rsidRPr="00033E65" w:rsidRDefault="00D62483">
            <w:pPr>
              <w:spacing w:before="0" w:after="0"/>
              <w:jc w:val="left"/>
              <w:rPr>
                <w:rFonts w:ascii="Times New Roman" w:hAnsi="Times New Roman"/>
                <w:b/>
                <w:bCs/>
                <w:color w:val="000000"/>
                <w:szCs w:val="22"/>
                <w:lang w:eastAsia="es-CR"/>
              </w:rPr>
            </w:pPr>
          </w:p>
        </w:tc>
        <w:tc>
          <w:tcPr>
            <w:tcW w:w="2126" w:type="dxa"/>
            <w:vMerge/>
            <w:vAlign w:val="center"/>
            <w:hideMark/>
          </w:tcPr>
          <w:p w14:paraId="51C03BEA" w14:textId="77777777" w:rsidR="00D62483" w:rsidRPr="00033E65" w:rsidRDefault="00D62483">
            <w:pPr>
              <w:spacing w:before="0" w:after="0"/>
              <w:jc w:val="left"/>
              <w:rPr>
                <w:rFonts w:ascii="Times New Roman" w:hAnsi="Times New Roman"/>
                <w:b/>
                <w:bCs/>
                <w:color w:val="000000"/>
                <w:szCs w:val="22"/>
                <w:lang w:eastAsia="es-CR"/>
              </w:rPr>
            </w:pPr>
          </w:p>
        </w:tc>
      </w:tr>
    </w:tbl>
    <w:p w14:paraId="32F46BBF" w14:textId="77777777" w:rsidR="00D62483" w:rsidRDefault="00D62483" w:rsidP="008636D6">
      <w:pPr>
        <w:pStyle w:val="Ttulo"/>
        <w:spacing w:before="0" w:after="0"/>
        <w:ind w:left="1080"/>
        <w:jc w:val="center"/>
        <w:rPr>
          <w:rFonts w:eastAsia="Times New Roman" w:cs="Arial"/>
          <w:iCs/>
          <w:spacing w:val="0"/>
          <w:szCs w:val="28"/>
          <w:lang w:val="es-CR" w:eastAsia="es-ES"/>
        </w:rPr>
      </w:pPr>
    </w:p>
    <w:p w14:paraId="78A84AD0" w14:textId="77777777" w:rsidR="00D62483" w:rsidRPr="00033E65" w:rsidRDefault="00D62483" w:rsidP="008636D6">
      <w:pPr>
        <w:pStyle w:val="Ttulo"/>
        <w:spacing w:before="0" w:after="0"/>
        <w:ind w:left="1080"/>
        <w:jc w:val="center"/>
        <w:rPr>
          <w:rFonts w:eastAsia="Times New Roman" w:cs="Arial"/>
          <w:iCs/>
          <w:spacing w:val="0"/>
          <w:szCs w:val="28"/>
          <w:lang w:val="es-CR" w:eastAsia="es-ES"/>
        </w:rPr>
      </w:pPr>
    </w:p>
    <w:p w14:paraId="7243422F" w14:textId="77777777" w:rsidR="008636D6" w:rsidRPr="00033E65" w:rsidRDefault="008636D6" w:rsidP="008636D6">
      <w:pPr>
        <w:rPr>
          <w:b/>
          <w:i/>
          <w:sz w:val="18"/>
        </w:rPr>
      </w:pPr>
      <w:r w:rsidRPr="00033E65">
        <w:rPr>
          <w:rFonts w:eastAsiaTheme="majorEastAsia"/>
          <w:b/>
          <w:i/>
          <w:sz w:val="18"/>
        </w:rPr>
        <w:t>Fuente: Subproceso de Modernización Institucional, área No Penal según actualización de costos de la reforma agraria presupuesto 2024. Nota: Para el presupuesto del año 2024 se utiliza un tipo de cambio de 695,66 por US$1,00.</w:t>
      </w:r>
      <w:r w:rsidRPr="00033E65">
        <w:rPr>
          <w:b/>
          <w:i/>
          <w:sz w:val="18"/>
        </w:rPr>
        <w:t xml:space="preserve">          </w:t>
      </w:r>
    </w:p>
    <w:p w14:paraId="194EFF96" w14:textId="77777777" w:rsidR="008636D6" w:rsidRPr="00033E65" w:rsidRDefault="008636D6" w:rsidP="008636D6">
      <w:pPr>
        <w:ind w:left="-1560"/>
        <w:rPr>
          <w:b/>
          <w:i/>
          <w:szCs w:val="22"/>
        </w:rPr>
      </w:pPr>
    </w:p>
    <w:p w14:paraId="06AFD05F" w14:textId="77777777" w:rsidR="008636D6" w:rsidRPr="00033E65" w:rsidRDefault="008636D6" w:rsidP="008636D6">
      <w:pPr>
        <w:pStyle w:val="Ttulo"/>
        <w:spacing w:line="240" w:lineRule="auto"/>
        <w:jc w:val="both"/>
        <w:rPr>
          <w:bCs/>
          <w:i/>
          <w:iCs/>
          <w:szCs w:val="22"/>
        </w:rPr>
      </w:pPr>
      <w:r w:rsidRPr="00033E65">
        <w:rPr>
          <w:rFonts w:eastAsia="Times New Roman" w:cs="Times New Roman"/>
          <w:bCs/>
          <w:i/>
          <w:iCs/>
          <w:color w:val="auto"/>
          <w:spacing w:val="0"/>
          <w:sz w:val="22"/>
          <w:szCs w:val="22"/>
          <w:lang w:val="es-CR" w:eastAsia="es-ES"/>
        </w:rPr>
        <w:t>Adicionalmente se tendrían los costos de vehículos asociados a necesidad:</w:t>
      </w:r>
    </w:p>
    <w:p w14:paraId="21D98CCD" w14:textId="77777777" w:rsidR="008636D6" w:rsidRPr="00033E65" w:rsidRDefault="008636D6" w:rsidP="008636D6">
      <w:pPr>
        <w:ind w:left="-1560"/>
        <w:rPr>
          <w:b/>
          <w:i/>
          <w:sz w:val="18"/>
        </w:rPr>
      </w:pPr>
    </w:p>
    <w:p w14:paraId="31FB6878" w14:textId="376378AF" w:rsidR="008636D6" w:rsidRPr="00033E65" w:rsidRDefault="008636D6" w:rsidP="008636D6">
      <w:pPr>
        <w:pStyle w:val="Ttulo"/>
        <w:spacing w:before="0" w:after="0"/>
        <w:ind w:left="1080"/>
        <w:jc w:val="center"/>
        <w:rPr>
          <w:rFonts w:eastAsia="Times New Roman" w:cs="Arial"/>
          <w:iCs/>
          <w:spacing w:val="0"/>
          <w:szCs w:val="28"/>
          <w:lang w:val="es-CR" w:eastAsia="es-ES"/>
        </w:rPr>
      </w:pPr>
      <w:r w:rsidRPr="00033E65">
        <w:rPr>
          <w:rFonts w:eastAsia="Times New Roman" w:cs="Arial"/>
          <w:iCs/>
          <w:spacing w:val="0"/>
          <w:szCs w:val="28"/>
          <w:lang w:val="es-CR" w:eastAsia="es-ES"/>
        </w:rPr>
        <w:t>Cuadro 3</w:t>
      </w:r>
      <w:r w:rsidR="00924F24">
        <w:rPr>
          <w:rFonts w:eastAsia="Times New Roman" w:cs="Arial"/>
          <w:iCs/>
          <w:spacing w:val="0"/>
          <w:szCs w:val="28"/>
          <w:lang w:val="es-CR" w:eastAsia="es-ES"/>
        </w:rPr>
        <w:t>4</w:t>
      </w:r>
    </w:p>
    <w:p w14:paraId="14E38ED3" w14:textId="77777777" w:rsidR="008636D6" w:rsidRPr="00033E65" w:rsidRDefault="008636D6" w:rsidP="008636D6">
      <w:pPr>
        <w:pStyle w:val="Ttulo"/>
        <w:spacing w:before="0" w:after="0"/>
        <w:ind w:left="1080"/>
        <w:jc w:val="center"/>
        <w:rPr>
          <w:b w:val="0"/>
        </w:rPr>
      </w:pPr>
      <w:r w:rsidRPr="00033E65">
        <w:rPr>
          <w:rFonts w:eastAsia="Times New Roman" w:cs="Arial"/>
          <w:iCs/>
          <w:spacing w:val="0"/>
          <w:szCs w:val="28"/>
          <w:lang w:val="es-CR" w:eastAsia="es-ES"/>
        </w:rPr>
        <w:t>Costo total para la Compra de Vehículos y Costos Asociados</w:t>
      </w:r>
    </w:p>
    <w:tbl>
      <w:tblPr>
        <w:tblpPr w:leftFromText="141" w:rightFromText="141" w:vertAnchor="text" w:horzAnchor="margin" w:tblpXSpec="center" w:tblpY="301"/>
        <w:tblW w:w="11317" w:type="dxa"/>
        <w:tblCellMar>
          <w:left w:w="70" w:type="dxa"/>
          <w:right w:w="70" w:type="dxa"/>
        </w:tblCellMar>
        <w:tblLook w:val="04A0" w:firstRow="1" w:lastRow="0" w:firstColumn="1" w:lastColumn="0" w:noHBand="0" w:noVBand="1"/>
      </w:tblPr>
      <w:tblGrid>
        <w:gridCol w:w="1518"/>
        <w:gridCol w:w="1389"/>
        <w:gridCol w:w="1392"/>
        <w:gridCol w:w="1348"/>
        <w:gridCol w:w="1418"/>
        <w:gridCol w:w="1417"/>
        <w:gridCol w:w="1370"/>
        <w:gridCol w:w="1465"/>
      </w:tblGrid>
      <w:tr w:rsidR="008636D6" w:rsidRPr="00033E65" w14:paraId="3A7DDB7B" w14:textId="77777777">
        <w:trPr>
          <w:trHeight w:val="851"/>
          <w:tblHeader/>
        </w:trPr>
        <w:tc>
          <w:tcPr>
            <w:tcW w:w="1518"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78EAF636" w14:textId="77777777" w:rsidR="008636D6" w:rsidRPr="00033E65" w:rsidRDefault="008636D6">
            <w:pPr>
              <w:spacing w:before="0" w:after="0"/>
              <w:jc w:val="center"/>
              <w:rPr>
                <w:rFonts w:cs="Calibri"/>
                <w:b/>
                <w:bCs/>
                <w:color w:val="FFFFFF"/>
                <w:sz w:val="20"/>
                <w:lang w:eastAsia="es-CR"/>
              </w:rPr>
            </w:pPr>
            <w:r w:rsidRPr="00033E65">
              <w:rPr>
                <w:rFonts w:cs="Calibri"/>
                <w:b/>
                <w:bCs/>
                <w:color w:val="FFFFFF"/>
                <w:sz w:val="20"/>
                <w:lang w:eastAsia="es-CR"/>
              </w:rPr>
              <w:t>Requerimiento</w:t>
            </w:r>
          </w:p>
        </w:tc>
        <w:tc>
          <w:tcPr>
            <w:tcW w:w="1389" w:type="dxa"/>
            <w:tcBorders>
              <w:top w:val="double" w:sz="6" w:space="0" w:color="366092"/>
              <w:left w:val="nil"/>
              <w:bottom w:val="double" w:sz="6" w:space="0" w:color="366092"/>
              <w:right w:val="double" w:sz="6" w:space="0" w:color="366092"/>
            </w:tcBorders>
            <w:shd w:val="clear" w:color="000000" w:fill="0673A5"/>
            <w:vAlign w:val="center"/>
            <w:hideMark/>
          </w:tcPr>
          <w:p w14:paraId="68F47358" w14:textId="77777777" w:rsidR="008636D6" w:rsidRPr="00033E65" w:rsidRDefault="008636D6">
            <w:pPr>
              <w:spacing w:before="0" w:after="0"/>
              <w:jc w:val="center"/>
              <w:rPr>
                <w:rFonts w:cs="Calibri"/>
                <w:b/>
                <w:bCs/>
                <w:color w:val="FFFFFF"/>
                <w:sz w:val="20"/>
                <w:lang w:eastAsia="es-CR"/>
              </w:rPr>
            </w:pPr>
            <w:r w:rsidRPr="00033E65">
              <w:rPr>
                <w:rFonts w:cs="Calibri"/>
                <w:b/>
                <w:bCs/>
                <w:color w:val="FFFFFF"/>
                <w:sz w:val="20"/>
                <w:lang w:eastAsia="es-CR"/>
              </w:rPr>
              <w:t>Código 793 Limón</w:t>
            </w:r>
          </w:p>
        </w:tc>
        <w:tc>
          <w:tcPr>
            <w:tcW w:w="1392" w:type="dxa"/>
            <w:tcBorders>
              <w:top w:val="double" w:sz="6" w:space="0" w:color="366092"/>
              <w:left w:val="nil"/>
              <w:bottom w:val="double" w:sz="6" w:space="0" w:color="366092"/>
              <w:right w:val="double" w:sz="6" w:space="0" w:color="366092"/>
            </w:tcBorders>
            <w:shd w:val="clear" w:color="000000" w:fill="0673A5"/>
            <w:vAlign w:val="center"/>
            <w:hideMark/>
          </w:tcPr>
          <w:p w14:paraId="04F9EF62" w14:textId="77777777" w:rsidR="008636D6" w:rsidRPr="00033E65" w:rsidRDefault="008636D6">
            <w:pPr>
              <w:spacing w:before="0" w:after="0"/>
              <w:jc w:val="center"/>
              <w:rPr>
                <w:rFonts w:cs="Calibri"/>
                <w:b/>
                <w:bCs/>
                <w:color w:val="FFFFFF"/>
                <w:sz w:val="20"/>
                <w:lang w:eastAsia="es-CR"/>
              </w:rPr>
            </w:pPr>
            <w:r w:rsidRPr="00033E65">
              <w:rPr>
                <w:rFonts w:cs="Calibri"/>
                <w:b/>
                <w:bCs/>
                <w:color w:val="FFFFFF"/>
                <w:sz w:val="20"/>
                <w:lang w:eastAsia="es-CR"/>
              </w:rPr>
              <w:t>Código 987 Turrialba</w:t>
            </w:r>
          </w:p>
        </w:tc>
        <w:tc>
          <w:tcPr>
            <w:tcW w:w="1348" w:type="dxa"/>
            <w:tcBorders>
              <w:top w:val="double" w:sz="6" w:space="0" w:color="366092"/>
              <w:left w:val="nil"/>
              <w:bottom w:val="double" w:sz="6" w:space="0" w:color="366092"/>
              <w:right w:val="double" w:sz="6" w:space="0" w:color="366092"/>
            </w:tcBorders>
            <w:shd w:val="clear" w:color="000000" w:fill="0673A5"/>
            <w:vAlign w:val="center"/>
            <w:hideMark/>
          </w:tcPr>
          <w:p w14:paraId="0361321C" w14:textId="77777777" w:rsidR="008636D6" w:rsidRPr="00033E65" w:rsidRDefault="008636D6">
            <w:pPr>
              <w:spacing w:before="0" w:after="0"/>
              <w:jc w:val="center"/>
              <w:rPr>
                <w:rFonts w:cs="Calibri"/>
                <w:b/>
                <w:bCs/>
                <w:color w:val="FFFFFF"/>
                <w:sz w:val="20"/>
                <w:lang w:eastAsia="es-CR"/>
              </w:rPr>
            </w:pPr>
            <w:r w:rsidRPr="00033E65">
              <w:rPr>
                <w:rFonts w:cs="Calibri"/>
                <w:b/>
                <w:bCs/>
                <w:color w:val="FFFFFF"/>
                <w:sz w:val="20"/>
                <w:lang w:eastAsia="es-CR"/>
              </w:rPr>
              <w:t>Código 861 Pérez Zeledón</w:t>
            </w:r>
          </w:p>
        </w:tc>
        <w:tc>
          <w:tcPr>
            <w:tcW w:w="1418" w:type="dxa"/>
            <w:tcBorders>
              <w:top w:val="double" w:sz="6" w:space="0" w:color="366092"/>
              <w:left w:val="nil"/>
              <w:bottom w:val="double" w:sz="6" w:space="0" w:color="366092"/>
              <w:right w:val="double" w:sz="6" w:space="0" w:color="366092"/>
            </w:tcBorders>
            <w:shd w:val="clear" w:color="000000" w:fill="0673A5"/>
            <w:vAlign w:val="center"/>
            <w:hideMark/>
          </w:tcPr>
          <w:p w14:paraId="42CC15CB" w14:textId="77777777" w:rsidR="008636D6" w:rsidRPr="00033E65" w:rsidRDefault="008636D6">
            <w:pPr>
              <w:spacing w:before="0" w:after="0"/>
              <w:jc w:val="center"/>
              <w:rPr>
                <w:rFonts w:cs="Calibri"/>
                <w:b/>
                <w:bCs/>
                <w:color w:val="FFFFFF"/>
                <w:sz w:val="20"/>
                <w:lang w:eastAsia="es-CR"/>
              </w:rPr>
            </w:pPr>
            <w:r w:rsidRPr="00033E65">
              <w:rPr>
                <w:rFonts w:cs="Calibri"/>
                <w:b/>
                <w:bCs/>
                <w:color w:val="FFFFFF"/>
                <w:sz w:val="20"/>
                <w:lang w:eastAsia="es-CR"/>
              </w:rPr>
              <w:t>Código 863 San Carlos</w:t>
            </w:r>
          </w:p>
        </w:tc>
        <w:tc>
          <w:tcPr>
            <w:tcW w:w="1417" w:type="dxa"/>
            <w:tcBorders>
              <w:top w:val="double" w:sz="6" w:space="0" w:color="366092"/>
              <w:left w:val="nil"/>
              <w:bottom w:val="double" w:sz="6" w:space="0" w:color="366092"/>
              <w:right w:val="double" w:sz="6" w:space="0" w:color="366092"/>
            </w:tcBorders>
            <w:shd w:val="clear" w:color="000000" w:fill="0673A5"/>
            <w:vAlign w:val="center"/>
            <w:hideMark/>
          </w:tcPr>
          <w:p w14:paraId="2A6CDA60" w14:textId="77777777" w:rsidR="008636D6" w:rsidRPr="00033E65" w:rsidRDefault="008636D6">
            <w:pPr>
              <w:spacing w:before="0" w:after="0"/>
              <w:jc w:val="center"/>
              <w:rPr>
                <w:rFonts w:cs="Calibri"/>
                <w:b/>
                <w:bCs/>
                <w:color w:val="FFFFFF"/>
                <w:sz w:val="20"/>
                <w:lang w:eastAsia="es-CR"/>
              </w:rPr>
            </w:pPr>
            <w:r w:rsidRPr="00033E65">
              <w:rPr>
                <w:rFonts w:cs="Calibri"/>
                <w:b/>
                <w:bCs/>
                <w:color w:val="FFFFFF"/>
                <w:sz w:val="20"/>
                <w:lang w:eastAsia="es-CR"/>
              </w:rPr>
              <w:t>Código 908 Pococí</w:t>
            </w:r>
          </w:p>
        </w:tc>
        <w:tc>
          <w:tcPr>
            <w:tcW w:w="1370" w:type="dxa"/>
            <w:tcBorders>
              <w:top w:val="double" w:sz="6" w:space="0" w:color="366092"/>
              <w:left w:val="nil"/>
              <w:bottom w:val="double" w:sz="6" w:space="0" w:color="366092"/>
              <w:right w:val="double" w:sz="6" w:space="0" w:color="366092"/>
            </w:tcBorders>
            <w:shd w:val="clear" w:color="000000" w:fill="0673A5"/>
            <w:vAlign w:val="center"/>
            <w:hideMark/>
          </w:tcPr>
          <w:p w14:paraId="2D024F3F" w14:textId="77777777" w:rsidR="008636D6" w:rsidRPr="00033E65" w:rsidRDefault="008636D6">
            <w:pPr>
              <w:spacing w:before="0" w:after="0"/>
              <w:jc w:val="center"/>
              <w:rPr>
                <w:rFonts w:cs="Calibri"/>
                <w:b/>
                <w:bCs/>
                <w:color w:val="FFFFFF"/>
                <w:sz w:val="20"/>
                <w:lang w:eastAsia="es-CR"/>
              </w:rPr>
            </w:pPr>
            <w:r w:rsidRPr="00033E65">
              <w:rPr>
                <w:rFonts w:cs="Calibri"/>
                <w:b/>
                <w:bCs/>
                <w:color w:val="FFFFFF"/>
                <w:sz w:val="20"/>
                <w:lang w:eastAsia="es-CR"/>
              </w:rPr>
              <w:t>Código 907 Santa Cruz</w:t>
            </w:r>
          </w:p>
        </w:tc>
        <w:tc>
          <w:tcPr>
            <w:tcW w:w="1465" w:type="dxa"/>
            <w:tcBorders>
              <w:top w:val="double" w:sz="6" w:space="0" w:color="366092"/>
              <w:left w:val="nil"/>
              <w:bottom w:val="double" w:sz="6" w:space="0" w:color="366092"/>
              <w:right w:val="double" w:sz="6" w:space="0" w:color="366092"/>
            </w:tcBorders>
            <w:shd w:val="clear" w:color="000000" w:fill="0673A5"/>
            <w:vAlign w:val="center"/>
            <w:hideMark/>
          </w:tcPr>
          <w:p w14:paraId="4CA6EA78" w14:textId="77777777" w:rsidR="008636D6" w:rsidRPr="00033E65" w:rsidRDefault="008636D6">
            <w:pPr>
              <w:spacing w:before="0" w:after="0"/>
              <w:jc w:val="center"/>
              <w:rPr>
                <w:rFonts w:cs="Calibri"/>
                <w:b/>
                <w:bCs/>
                <w:color w:val="FFFFFF"/>
                <w:sz w:val="20"/>
                <w:lang w:eastAsia="es-CR"/>
              </w:rPr>
            </w:pPr>
            <w:r w:rsidRPr="00033E65">
              <w:rPr>
                <w:rFonts w:cs="Calibri"/>
                <w:b/>
                <w:bCs/>
                <w:color w:val="FFFFFF"/>
                <w:sz w:val="20"/>
                <w:lang w:eastAsia="es-CR"/>
              </w:rPr>
              <w:t>Total</w:t>
            </w:r>
          </w:p>
        </w:tc>
      </w:tr>
      <w:tr w:rsidR="008636D6" w:rsidRPr="00033E65" w14:paraId="11E24F4B" w14:textId="77777777">
        <w:trPr>
          <w:trHeight w:val="652"/>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0959C804" w14:textId="77777777" w:rsidR="008636D6" w:rsidRPr="00033E65" w:rsidRDefault="008636D6">
            <w:pPr>
              <w:spacing w:before="0" w:after="0"/>
              <w:jc w:val="left"/>
              <w:rPr>
                <w:rFonts w:cs="Calibri"/>
                <w:color w:val="000000"/>
                <w:sz w:val="20"/>
                <w:lang w:eastAsia="es-CR"/>
              </w:rPr>
            </w:pPr>
            <w:r w:rsidRPr="00033E65">
              <w:rPr>
                <w:rFonts w:cs="Calibri"/>
                <w:color w:val="000000"/>
                <w:sz w:val="20"/>
                <w:lang w:eastAsia="es-CR"/>
              </w:rPr>
              <w:t>El costo del vehículo incluye kid de seguridad, herramientas y tapicería oscura</w:t>
            </w:r>
          </w:p>
        </w:tc>
        <w:tc>
          <w:tcPr>
            <w:tcW w:w="1389" w:type="dxa"/>
            <w:tcBorders>
              <w:top w:val="nil"/>
              <w:left w:val="nil"/>
              <w:bottom w:val="double" w:sz="6" w:space="0" w:color="1F497D"/>
              <w:right w:val="double" w:sz="6" w:space="0" w:color="1F497D"/>
            </w:tcBorders>
            <w:shd w:val="clear" w:color="auto" w:fill="auto"/>
            <w:noWrap/>
            <w:vAlign w:val="center"/>
            <w:hideMark/>
          </w:tcPr>
          <w:p w14:paraId="545AFC1F" w14:textId="77777777" w:rsidR="008636D6" w:rsidRPr="00033E65" w:rsidRDefault="008636D6">
            <w:pPr>
              <w:spacing w:before="0" w:after="0"/>
              <w:jc w:val="center"/>
              <w:rPr>
                <w:color w:val="000000"/>
                <w:sz w:val="18"/>
                <w:szCs w:val="18"/>
                <w:lang w:eastAsia="es-CR"/>
              </w:rPr>
            </w:pPr>
            <w:r w:rsidRPr="00033E65">
              <w:rPr>
                <w:rFonts w:ascii="Times New Roman" w:hAnsi="Times New Roman"/>
                <w:color w:val="000000"/>
                <w:sz w:val="18"/>
                <w:szCs w:val="18"/>
                <w:lang w:eastAsia="es-CR"/>
              </w:rPr>
              <w:t>₡</w:t>
            </w:r>
            <w:r w:rsidRPr="00033E65">
              <w:rPr>
                <w:color w:val="000000"/>
                <w:sz w:val="18"/>
                <w:szCs w:val="18"/>
                <w:lang w:eastAsia="es-CR"/>
              </w:rPr>
              <w:t>23 652 440, 00</w:t>
            </w:r>
          </w:p>
        </w:tc>
        <w:tc>
          <w:tcPr>
            <w:tcW w:w="1392" w:type="dxa"/>
            <w:tcBorders>
              <w:top w:val="nil"/>
              <w:left w:val="nil"/>
              <w:bottom w:val="double" w:sz="6" w:space="0" w:color="1F497D"/>
              <w:right w:val="double" w:sz="6" w:space="0" w:color="1F497D"/>
            </w:tcBorders>
            <w:shd w:val="clear" w:color="auto" w:fill="auto"/>
            <w:noWrap/>
            <w:vAlign w:val="center"/>
            <w:hideMark/>
          </w:tcPr>
          <w:p w14:paraId="418713B8" w14:textId="77777777" w:rsidR="008636D6" w:rsidRPr="00033E65" w:rsidRDefault="008636D6">
            <w:pPr>
              <w:spacing w:before="0" w:after="0"/>
              <w:jc w:val="center"/>
              <w:rPr>
                <w:color w:val="000000"/>
                <w:sz w:val="18"/>
                <w:szCs w:val="18"/>
                <w:lang w:eastAsia="es-CR"/>
              </w:rPr>
            </w:pPr>
            <w:r w:rsidRPr="00033E65">
              <w:rPr>
                <w:rFonts w:ascii="Times New Roman" w:hAnsi="Times New Roman"/>
                <w:color w:val="000000"/>
                <w:sz w:val="18"/>
                <w:szCs w:val="18"/>
                <w:lang w:eastAsia="es-CR"/>
              </w:rPr>
              <w:t>₡</w:t>
            </w:r>
            <w:r w:rsidRPr="00033E65">
              <w:rPr>
                <w:color w:val="000000"/>
                <w:sz w:val="18"/>
                <w:szCs w:val="18"/>
                <w:lang w:eastAsia="es-CR"/>
              </w:rPr>
              <w:t>23 652 440, 00</w:t>
            </w:r>
          </w:p>
        </w:tc>
        <w:tc>
          <w:tcPr>
            <w:tcW w:w="1348" w:type="dxa"/>
            <w:tcBorders>
              <w:top w:val="nil"/>
              <w:left w:val="nil"/>
              <w:bottom w:val="double" w:sz="6" w:space="0" w:color="1F497D"/>
              <w:right w:val="double" w:sz="6" w:space="0" w:color="1F497D"/>
            </w:tcBorders>
            <w:shd w:val="clear" w:color="auto" w:fill="auto"/>
            <w:noWrap/>
            <w:vAlign w:val="center"/>
            <w:hideMark/>
          </w:tcPr>
          <w:p w14:paraId="760C473E" w14:textId="77777777" w:rsidR="008636D6" w:rsidRPr="00033E65" w:rsidRDefault="008636D6">
            <w:pPr>
              <w:spacing w:before="0" w:after="0"/>
              <w:jc w:val="center"/>
              <w:rPr>
                <w:color w:val="000000"/>
                <w:sz w:val="18"/>
                <w:szCs w:val="18"/>
                <w:lang w:eastAsia="es-CR"/>
              </w:rPr>
            </w:pPr>
            <w:r w:rsidRPr="00033E65">
              <w:rPr>
                <w:rFonts w:ascii="Times New Roman" w:hAnsi="Times New Roman"/>
                <w:color w:val="000000"/>
                <w:sz w:val="18"/>
                <w:szCs w:val="18"/>
                <w:lang w:eastAsia="es-CR"/>
              </w:rPr>
              <w:t>₡</w:t>
            </w:r>
            <w:r w:rsidRPr="00033E65">
              <w:rPr>
                <w:color w:val="000000"/>
                <w:sz w:val="18"/>
                <w:szCs w:val="18"/>
                <w:lang w:eastAsia="es-CR"/>
              </w:rPr>
              <w:t>23 652 440, 00</w:t>
            </w:r>
          </w:p>
        </w:tc>
        <w:tc>
          <w:tcPr>
            <w:tcW w:w="1418" w:type="dxa"/>
            <w:tcBorders>
              <w:top w:val="nil"/>
              <w:left w:val="nil"/>
              <w:bottom w:val="double" w:sz="6" w:space="0" w:color="1F497D"/>
              <w:right w:val="double" w:sz="6" w:space="0" w:color="1F497D"/>
            </w:tcBorders>
            <w:shd w:val="clear" w:color="auto" w:fill="auto"/>
            <w:noWrap/>
            <w:vAlign w:val="center"/>
            <w:hideMark/>
          </w:tcPr>
          <w:p w14:paraId="501607B7" w14:textId="77777777" w:rsidR="008636D6" w:rsidRPr="00033E65" w:rsidRDefault="008636D6">
            <w:pPr>
              <w:spacing w:before="0" w:after="0"/>
              <w:jc w:val="center"/>
              <w:rPr>
                <w:color w:val="000000"/>
                <w:sz w:val="18"/>
                <w:szCs w:val="18"/>
                <w:lang w:eastAsia="es-CR"/>
              </w:rPr>
            </w:pPr>
            <w:r w:rsidRPr="00033E65">
              <w:rPr>
                <w:rFonts w:ascii="Times New Roman" w:hAnsi="Times New Roman"/>
                <w:color w:val="000000"/>
                <w:sz w:val="18"/>
                <w:szCs w:val="18"/>
                <w:lang w:eastAsia="es-CR"/>
              </w:rPr>
              <w:t>₡</w:t>
            </w:r>
            <w:r w:rsidRPr="00033E65">
              <w:rPr>
                <w:color w:val="000000"/>
                <w:sz w:val="18"/>
                <w:szCs w:val="18"/>
                <w:lang w:eastAsia="es-CR"/>
              </w:rPr>
              <w:t>23 652 440, 00</w:t>
            </w:r>
          </w:p>
        </w:tc>
        <w:tc>
          <w:tcPr>
            <w:tcW w:w="1417" w:type="dxa"/>
            <w:tcBorders>
              <w:top w:val="nil"/>
              <w:left w:val="nil"/>
              <w:bottom w:val="double" w:sz="6" w:space="0" w:color="1F497D"/>
              <w:right w:val="double" w:sz="6" w:space="0" w:color="1F497D"/>
            </w:tcBorders>
            <w:shd w:val="clear" w:color="auto" w:fill="auto"/>
            <w:noWrap/>
            <w:vAlign w:val="center"/>
            <w:hideMark/>
          </w:tcPr>
          <w:p w14:paraId="7832CA6C" w14:textId="77777777" w:rsidR="008636D6" w:rsidRPr="00033E65" w:rsidRDefault="008636D6">
            <w:pPr>
              <w:spacing w:before="0" w:after="0"/>
              <w:jc w:val="center"/>
              <w:rPr>
                <w:color w:val="000000"/>
                <w:sz w:val="18"/>
                <w:szCs w:val="18"/>
                <w:lang w:eastAsia="es-CR"/>
              </w:rPr>
            </w:pPr>
            <w:r w:rsidRPr="00033E65">
              <w:rPr>
                <w:rFonts w:ascii="Times New Roman" w:hAnsi="Times New Roman"/>
                <w:color w:val="000000"/>
                <w:sz w:val="18"/>
                <w:szCs w:val="18"/>
                <w:lang w:eastAsia="es-CR"/>
              </w:rPr>
              <w:t>₡</w:t>
            </w:r>
            <w:r w:rsidRPr="00033E65">
              <w:rPr>
                <w:color w:val="000000"/>
                <w:sz w:val="18"/>
                <w:szCs w:val="18"/>
                <w:lang w:eastAsia="es-CR"/>
              </w:rPr>
              <w:t>23 652 440, 00</w:t>
            </w:r>
          </w:p>
        </w:tc>
        <w:tc>
          <w:tcPr>
            <w:tcW w:w="1370" w:type="dxa"/>
            <w:tcBorders>
              <w:top w:val="nil"/>
              <w:left w:val="nil"/>
              <w:bottom w:val="double" w:sz="6" w:space="0" w:color="1F497D"/>
              <w:right w:val="double" w:sz="6" w:space="0" w:color="1F497D"/>
            </w:tcBorders>
            <w:shd w:val="clear" w:color="auto" w:fill="auto"/>
            <w:noWrap/>
            <w:vAlign w:val="center"/>
            <w:hideMark/>
          </w:tcPr>
          <w:p w14:paraId="4F8C945C" w14:textId="77777777" w:rsidR="008636D6" w:rsidRPr="00033E65" w:rsidRDefault="008636D6">
            <w:pPr>
              <w:spacing w:before="0" w:after="0"/>
              <w:jc w:val="center"/>
              <w:rPr>
                <w:color w:val="000000"/>
                <w:sz w:val="18"/>
                <w:szCs w:val="18"/>
                <w:lang w:eastAsia="es-CR"/>
              </w:rPr>
            </w:pPr>
            <w:r w:rsidRPr="00033E65">
              <w:rPr>
                <w:rFonts w:ascii="Times New Roman" w:hAnsi="Times New Roman"/>
                <w:color w:val="000000"/>
                <w:sz w:val="18"/>
                <w:szCs w:val="18"/>
                <w:lang w:eastAsia="es-CR"/>
              </w:rPr>
              <w:t>₡</w:t>
            </w:r>
            <w:r w:rsidRPr="00033E65">
              <w:rPr>
                <w:color w:val="000000"/>
                <w:sz w:val="18"/>
                <w:szCs w:val="18"/>
                <w:lang w:eastAsia="es-CR"/>
              </w:rPr>
              <w:t>23 652 440, 00</w:t>
            </w:r>
          </w:p>
        </w:tc>
        <w:tc>
          <w:tcPr>
            <w:tcW w:w="1465" w:type="dxa"/>
            <w:tcBorders>
              <w:top w:val="nil"/>
              <w:left w:val="nil"/>
              <w:bottom w:val="double" w:sz="6" w:space="0" w:color="1F497D"/>
              <w:right w:val="double" w:sz="6" w:space="0" w:color="1F497D"/>
            </w:tcBorders>
            <w:shd w:val="clear" w:color="auto" w:fill="auto"/>
            <w:noWrap/>
            <w:vAlign w:val="center"/>
            <w:hideMark/>
          </w:tcPr>
          <w:p w14:paraId="5F246277" w14:textId="77777777" w:rsidR="008636D6" w:rsidRPr="00033E65" w:rsidRDefault="008636D6">
            <w:pPr>
              <w:spacing w:before="0" w:after="0"/>
              <w:jc w:val="center"/>
              <w:rPr>
                <w:color w:val="000000"/>
                <w:sz w:val="18"/>
                <w:szCs w:val="18"/>
                <w:lang w:eastAsia="es-CR"/>
              </w:rPr>
            </w:pPr>
            <w:r w:rsidRPr="00033E65">
              <w:rPr>
                <w:rFonts w:ascii="Times New Roman" w:hAnsi="Times New Roman"/>
                <w:color w:val="000000"/>
                <w:sz w:val="18"/>
                <w:szCs w:val="18"/>
                <w:lang w:eastAsia="es-CR"/>
              </w:rPr>
              <w:t>₡</w:t>
            </w:r>
            <w:r w:rsidRPr="00033E65">
              <w:rPr>
                <w:color w:val="000000"/>
                <w:sz w:val="18"/>
                <w:szCs w:val="18"/>
                <w:lang w:eastAsia="es-CR"/>
              </w:rPr>
              <w:t>141 914 640, 00</w:t>
            </w:r>
          </w:p>
        </w:tc>
      </w:tr>
      <w:tr w:rsidR="008636D6" w:rsidRPr="00033E65" w14:paraId="588ADDCB"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32089E7A" w14:textId="77777777" w:rsidR="008636D6" w:rsidRPr="00033E65" w:rsidRDefault="008636D6">
            <w:pPr>
              <w:spacing w:before="0" w:after="0"/>
              <w:jc w:val="left"/>
              <w:rPr>
                <w:rFonts w:cs="Calibri"/>
                <w:color w:val="000000"/>
                <w:sz w:val="20"/>
                <w:lang w:eastAsia="es-CR"/>
              </w:rPr>
            </w:pPr>
            <w:r w:rsidRPr="00033E65">
              <w:rPr>
                <w:rFonts w:cs="Calibri"/>
                <w:color w:val="000000"/>
                <w:sz w:val="20"/>
                <w:lang w:eastAsia="es-CR"/>
              </w:rPr>
              <w:t>Lona</w:t>
            </w:r>
          </w:p>
        </w:tc>
        <w:tc>
          <w:tcPr>
            <w:tcW w:w="1389" w:type="dxa"/>
            <w:tcBorders>
              <w:top w:val="nil"/>
              <w:left w:val="nil"/>
              <w:bottom w:val="double" w:sz="6" w:space="0" w:color="1F497D"/>
              <w:right w:val="double" w:sz="6" w:space="0" w:color="1F497D"/>
            </w:tcBorders>
            <w:shd w:val="clear" w:color="auto" w:fill="auto"/>
            <w:noWrap/>
            <w:vAlign w:val="center"/>
            <w:hideMark/>
          </w:tcPr>
          <w:p w14:paraId="0FB48AEF"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113 000, 00</w:t>
            </w:r>
          </w:p>
        </w:tc>
        <w:tc>
          <w:tcPr>
            <w:tcW w:w="1392" w:type="dxa"/>
            <w:tcBorders>
              <w:top w:val="nil"/>
              <w:left w:val="nil"/>
              <w:bottom w:val="double" w:sz="6" w:space="0" w:color="1F497D"/>
              <w:right w:val="double" w:sz="6" w:space="0" w:color="1F497D"/>
            </w:tcBorders>
            <w:shd w:val="clear" w:color="auto" w:fill="auto"/>
            <w:noWrap/>
            <w:vAlign w:val="center"/>
            <w:hideMark/>
          </w:tcPr>
          <w:p w14:paraId="1C42B9C9"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113 000, 00</w:t>
            </w:r>
          </w:p>
        </w:tc>
        <w:tc>
          <w:tcPr>
            <w:tcW w:w="1348" w:type="dxa"/>
            <w:tcBorders>
              <w:top w:val="nil"/>
              <w:left w:val="nil"/>
              <w:bottom w:val="double" w:sz="6" w:space="0" w:color="1F497D"/>
              <w:right w:val="double" w:sz="6" w:space="0" w:color="1F497D"/>
            </w:tcBorders>
            <w:shd w:val="clear" w:color="auto" w:fill="auto"/>
            <w:noWrap/>
            <w:vAlign w:val="center"/>
            <w:hideMark/>
          </w:tcPr>
          <w:p w14:paraId="46DE0805"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113 000, 00</w:t>
            </w:r>
          </w:p>
        </w:tc>
        <w:tc>
          <w:tcPr>
            <w:tcW w:w="1418" w:type="dxa"/>
            <w:tcBorders>
              <w:top w:val="nil"/>
              <w:left w:val="nil"/>
              <w:bottom w:val="double" w:sz="6" w:space="0" w:color="1F497D"/>
              <w:right w:val="double" w:sz="6" w:space="0" w:color="1F497D"/>
            </w:tcBorders>
            <w:shd w:val="clear" w:color="auto" w:fill="auto"/>
            <w:noWrap/>
            <w:vAlign w:val="center"/>
            <w:hideMark/>
          </w:tcPr>
          <w:p w14:paraId="4EE683E7"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113 000, 00</w:t>
            </w:r>
          </w:p>
        </w:tc>
        <w:tc>
          <w:tcPr>
            <w:tcW w:w="1417" w:type="dxa"/>
            <w:tcBorders>
              <w:top w:val="nil"/>
              <w:left w:val="nil"/>
              <w:bottom w:val="double" w:sz="6" w:space="0" w:color="1F497D"/>
              <w:right w:val="double" w:sz="6" w:space="0" w:color="1F497D"/>
            </w:tcBorders>
            <w:shd w:val="clear" w:color="auto" w:fill="auto"/>
            <w:noWrap/>
            <w:vAlign w:val="center"/>
            <w:hideMark/>
          </w:tcPr>
          <w:p w14:paraId="7C5F17D2"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113 000, 00</w:t>
            </w:r>
          </w:p>
        </w:tc>
        <w:tc>
          <w:tcPr>
            <w:tcW w:w="1370" w:type="dxa"/>
            <w:tcBorders>
              <w:top w:val="nil"/>
              <w:left w:val="nil"/>
              <w:bottom w:val="double" w:sz="6" w:space="0" w:color="1F497D"/>
              <w:right w:val="double" w:sz="6" w:space="0" w:color="1F497D"/>
            </w:tcBorders>
            <w:shd w:val="clear" w:color="auto" w:fill="auto"/>
            <w:noWrap/>
            <w:vAlign w:val="center"/>
            <w:hideMark/>
          </w:tcPr>
          <w:p w14:paraId="6721CA7F"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113 000, 00</w:t>
            </w:r>
          </w:p>
        </w:tc>
        <w:tc>
          <w:tcPr>
            <w:tcW w:w="1465" w:type="dxa"/>
            <w:tcBorders>
              <w:top w:val="nil"/>
              <w:left w:val="nil"/>
              <w:bottom w:val="double" w:sz="6" w:space="0" w:color="1F497D"/>
              <w:right w:val="double" w:sz="6" w:space="0" w:color="1F497D"/>
            </w:tcBorders>
            <w:shd w:val="clear" w:color="auto" w:fill="auto"/>
            <w:noWrap/>
            <w:vAlign w:val="center"/>
            <w:hideMark/>
          </w:tcPr>
          <w:p w14:paraId="16626A0B"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678 000,00</w:t>
            </w:r>
          </w:p>
        </w:tc>
      </w:tr>
      <w:tr w:rsidR="008636D6" w:rsidRPr="00033E65" w14:paraId="10999182"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626B9E9E" w14:textId="77777777" w:rsidR="008636D6" w:rsidRPr="00033E65" w:rsidRDefault="008636D6">
            <w:pPr>
              <w:spacing w:before="0" w:after="0"/>
              <w:jc w:val="left"/>
              <w:rPr>
                <w:rFonts w:cs="Calibri"/>
                <w:color w:val="000000"/>
                <w:sz w:val="20"/>
                <w:lang w:eastAsia="es-CR"/>
              </w:rPr>
            </w:pPr>
            <w:r w:rsidRPr="00033E65">
              <w:rPr>
                <w:rFonts w:cs="Calibri"/>
                <w:color w:val="000000"/>
                <w:sz w:val="20"/>
                <w:lang w:eastAsia="es-CR"/>
              </w:rPr>
              <w:t>Winch</w:t>
            </w:r>
          </w:p>
        </w:tc>
        <w:tc>
          <w:tcPr>
            <w:tcW w:w="1389" w:type="dxa"/>
            <w:tcBorders>
              <w:top w:val="nil"/>
              <w:left w:val="nil"/>
              <w:bottom w:val="double" w:sz="6" w:space="0" w:color="1F497D"/>
              <w:right w:val="double" w:sz="6" w:space="0" w:color="1F497D"/>
            </w:tcBorders>
            <w:shd w:val="clear" w:color="auto" w:fill="auto"/>
            <w:noWrap/>
            <w:vAlign w:val="center"/>
            <w:hideMark/>
          </w:tcPr>
          <w:p w14:paraId="55B1067D"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500 000, 00</w:t>
            </w:r>
          </w:p>
        </w:tc>
        <w:tc>
          <w:tcPr>
            <w:tcW w:w="1392" w:type="dxa"/>
            <w:tcBorders>
              <w:top w:val="nil"/>
              <w:left w:val="nil"/>
              <w:bottom w:val="double" w:sz="6" w:space="0" w:color="1F497D"/>
              <w:right w:val="double" w:sz="6" w:space="0" w:color="1F497D"/>
            </w:tcBorders>
            <w:shd w:val="clear" w:color="auto" w:fill="auto"/>
            <w:noWrap/>
            <w:vAlign w:val="center"/>
            <w:hideMark/>
          </w:tcPr>
          <w:p w14:paraId="0352C341"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500 000, 00</w:t>
            </w:r>
          </w:p>
        </w:tc>
        <w:tc>
          <w:tcPr>
            <w:tcW w:w="1348" w:type="dxa"/>
            <w:tcBorders>
              <w:top w:val="nil"/>
              <w:left w:val="nil"/>
              <w:bottom w:val="double" w:sz="6" w:space="0" w:color="1F497D"/>
              <w:right w:val="double" w:sz="6" w:space="0" w:color="1F497D"/>
            </w:tcBorders>
            <w:shd w:val="clear" w:color="auto" w:fill="auto"/>
            <w:noWrap/>
            <w:vAlign w:val="center"/>
            <w:hideMark/>
          </w:tcPr>
          <w:p w14:paraId="19193FED"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500 000, 00</w:t>
            </w:r>
          </w:p>
        </w:tc>
        <w:tc>
          <w:tcPr>
            <w:tcW w:w="1418" w:type="dxa"/>
            <w:tcBorders>
              <w:top w:val="nil"/>
              <w:left w:val="nil"/>
              <w:bottom w:val="double" w:sz="6" w:space="0" w:color="1F497D"/>
              <w:right w:val="double" w:sz="6" w:space="0" w:color="1F497D"/>
            </w:tcBorders>
            <w:shd w:val="clear" w:color="auto" w:fill="auto"/>
            <w:noWrap/>
            <w:vAlign w:val="center"/>
            <w:hideMark/>
          </w:tcPr>
          <w:p w14:paraId="78B61A1F"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500 000, 00</w:t>
            </w:r>
          </w:p>
        </w:tc>
        <w:tc>
          <w:tcPr>
            <w:tcW w:w="1417" w:type="dxa"/>
            <w:tcBorders>
              <w:top w:val="nil"/>
              <w:left w:val="nil"/>
              <w:bottom w:val="double" w:sz="6" w:space="0" w:color="1F497D"/>
              <w:right w:val="double" w:sz="6" w:space="0" w:color="1F497D"/>
            </w:tcBorders>
            <w:shd w:val="clear" w:color="auto" w:fill="auto"/>
            <w:noWrap/>
            <w:vAlign w:val="center"/>
            <w:hideMark/>
          </w:tcPr>
          <w:p w14:paraId="7D1522DA"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500 000, 00</w:t>
            </w:r>
          </w:p>
        </w:tc>
        <w:tc>
          <w:tcPr>
            <w:tcW w:w="1370" w:type="dxa"/>
            <w:tcBorders>
              <w:top w:val="nil"/>
              <w:left w:val="nil"/>
              <w:bottom w:val="double" w:sz="6" w:space="0" w:color="1F497D"/>
              <w:right w:val="double" w:sz="6" w:space="0" w:color="1F497D"/>
            </w:tcBorders>
            <w:shd w:val="clear" w:color="auto" w:fill="auto"/>
            <w:noWrap/>
            <w:vAlign w:val="center"/>
            <w:hideMark/>
          </w:tcPr>
          <w:p w14:paraId="2EE6EE52"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500 000, 00</w:t>
            </w:r>
          </w:p>
        </w:tc>
        <w:tc>
          <w:tcPr>
            <w:tcW w:w="1465" w:type="dxa"/>
            <w:tcBorders>
              <w:top w:val="nil"/>
              <w:left w:val="nil"/>
              <w:bottom w:val="double" w:sz="6" w:space="0" w:color="1F497D"/>
              <w:right w:val="double" w:sz="6" w:space="0" w:color="1F497D"/>
            </w:tcBorders>
            <w:shd w:val="clear" w:color="auto" w:fill="auto"/>
            <w:noWrap/>
            <w:vAlign w:val="center"/>
            <w:hideMark/>
          </w:tcPr>
          <w:p w14:paraId="6C5193A2"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3 000 000,00</w:t>
            </w:r>
          </w:p>
        </w:tc>
      </w:tr>
      <w:tr w:rsidR="008636D6" w:rsidRPr="00033E65" w14:paraId="745E9C48"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6E6FF22E" w14:textId="77777777" w:rsidR="008636D6" w:rsidRPr="00033E65" w:rsidRDefault="008636D6">
            <w:pPr>
              <w:spacing w:before="0" w:after="0"/>
              <w:jc w:val="left"/>
              <w:rPr>
                <w:rFonts w:cs="Calibri"/>
                <w:color w:val="000000"/>
                <w:sz w:val="20"/>
                <w:lang w:eastAsia="es-CR"/>
              </w:rPr>
            </w:pPr>
            <w:r w:rsidRPr="00033E65">
              <w:rPr>
                <w:rFonts w:cs="Calibri"/>
                <w:color w:val="000000"/>
                <w:sz w:val="20"/>
                <w:lang w:eastAsia="es-CR"/>
              </w:rPr>
              <w:t>Instalación del winch</w:t>
            </w:r>
          </w:p>
        </w:tc>
        <w:tc>
          <w:tcPr>
            <w:tcW w:w="1389" w:type="dxa"/>
            <w:tcBorders>
              <w:top w:val="nil"/>
              <w:left w:val="nil"/>
              <w:bottom w:val="double" w:sz="6" w:space="0" w:color="1F497D"/>
              <w:right w:val="double" w:sz="6" w:space="0" w:color="1F497D"/>
            </w:tcBorders>
            <w:shd w:val="clear" w:color="auto" w:fill="auto"/>
            <w:noWrap/>
            <w:vAlign w:val="center"/>
            <w:hideMark/>
          </w:tcPr>
          <w:p w14:paraId="57AAB343"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339 000, 00</w:t>
            </w:r>
          </w:p>
        </w:tc>
        <w:tc>
          <w:tcPr>
            <w:tcW w:w="1392" w:type="dxa"/>
            <w:tcBorders>
              <w:top w:val="nil"/>
              <w:left w:val="nil"/>
              <w:bottom w:val="double" w:sz="6" w:space="0" w:color="1F497D"/>
              <w:right w:val="double" w:sz="6" w:space="0" w:color="1F497D"/>
            </w:tcBorders>
            <w:shd w:val="clear" w:color="auto" w:fill="auto"/>
            <w:noWrap/>
            <w:vAlign w:val="center"/>
            <w:hideMark/>
          </w:tcPr>
          <w:p w14:paraId="4AAC088D"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339 000, 00</w:t>
            </w:r>
          </w:p>
        </w:tc>
        <w:tc>
          <w:tcPr>
            <w:tcW w:w="1348" w:type="dxa"/>
            <w:tcBorders>
              <w:top w:val="nil"/>
              <w:left w:val="nil"/>
              <w:bottom w:val="double" w:sz="6" w:space="0" w:color="1F497D"/>
              <w:right w:val="double" w:sz="6" w:space="0" w:color="1F497D"/>
            </w:tcBorders>
            <w:shd w:val="clear" w:color="auto" w:fill="auto"/>
            <w:noWrap/>
            <w:vAlign w:val="center"/>
            <w:hideMark/>
          </w:tcPr>
          <w:p w14:paraId="44D0E2B0"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339 000, 00</w:t>
            </w:r>
          </w:p>
        </w:tc>
        <w:tc>
          <w:tcPr>
            <w:tcW w:w="1418" w:type="dxa"/>
            <w:tcBorders>
              <w:top w:val="nil"/>
              <w:left w:val="nil"/>
              <w:bottom w:val="double" w:sz="6" w:space="0" w:color="1F497D"/>
              <w:right w:val="double" w:sz="6" w:space="0" w:color="1F497D"/>
            </w:tcBorders>
            <w:shd w:val="clear" w:color="auto" w:fill="auto"/>
            <w:noWrap/>
            <w:vAlign w:val="center"/>
            <w:hideMark/>
          </w:tcPr>
          <w:p w14:paraId="1C954F22"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339 000, 00</w:t>
            </w:r>
          </w:p>
        </w:tc>
        <w:tc>
          <w:tcPr>
            <w:tcW w:w="1417" w:type="dxa"/>
            <w:tcBorders>
              <w:top w:val="nil"/>
              <w:left w:val="nil"/>
              <w:bottom w:val="double" w:sz="6" w:space="0" w:color="1F497D"/>
              <w:right w:val="double" w:sz="6" w:space="0" w:color="1F497D"/>
            </w:tcBorders>
            <w:shd w:val="clear" w:color="auto" w:fill="auto"/>
            <w:noWrap/>
            <w:vAlign w:val="center"/>
            <w:hideMark/>
          </w:tcPr>
          <w:p w14:paraId="270992FC"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339 000, 00</w:t>
            </w:r>
          </w:p>
        </w:tc>
        <w:tc>
          <w:tcPr>
            <w:tcW w:w="1370" w:type="dxa"/>
            <w:tcBorders>
              <w:top w:val="nil"/>
              <w:left w:val="nil"/>
              <w:bottom w:val="double" w:sz="6" w:space="0" w:color="1F497D"/>
              <w:right w:val="double" w:sz="6" w:space="0" w:color="1F497D"/>
            </w:tcBorders>
            <w:shd w:val="clear" w:color="auto" w:fill="auto"/>
            <w:noWrap/>
            <w:vAlign w:val="center"/>
            <w:hideMark/>
          </w:tcPr>
          <w:p w14:paraId="355899E6"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339 000, 00</w:t>
            </w:r>
          </w:p>
        </w:tc>
        <w:tc>
          <w:tcPr>
            <w:tcW w:w="1465" w:type="dxa"/>
            <w:tcBorders>
              <w:top w:val="nil"/>
              <w:left w:val="nil"/>
              <w:bottom w:val="double" w:sz="6" w:space="0" w:color="1F497D"/>
              <w:right w:val="double" w:sz="6" w:space="0" w:color="1F497D"/>
            </w:tcBorders>
            <w:shd w:val="clear" w:color="auto" w:fill="auto"/>
            <w:noWrap/>
            <w:vAlign w:val="center"/>
            <w:hideMark/>
          </w:tcPr>
          <w:p w14:paraId="2314E9EB"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2 034 000,00</w:t>
            </w:r>
          </w:p>
        </w:tc>
      </w:tr>
      <w:tr w:rsidR="008636D6" w:rsidRPr="00033E65" w14:paraId="4361C0DB"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6C9E7409" w14:textId="77777777" w:rsidR="008636D6" w:rsidRPr="00033E65" w:rsidRDefault="008636D6">
            <w:pPr>
              <w:spacing w:before="0" w:after="0"/>
              <w:jc w:val="left"/>
              <w:rPr>
                <w:rFonts w:cs="Calibri"/>
                <w:color w:val="000000"/>
                <w:sz w:val="20"/>
                <w:lang w:eastAsia="es-CR"/>
              </w:rPr>
            </w:pPr>
            <w:r w:rsidRPr="00033E65">
              <w:rPr>
                <w:rFonts w:cs="Calibri"/>
                <w:color w:val="000000"/>
                <w:sz w:val="20"/>
                <w:lang w:eastAsia="es-CR"/>
              </w:rPr>
              <w:t>Cadenas para las llantas de vehículos</w:t>
            </w:r>
          </w:p>
        </w:tc>
        <w:tc>
          <w:tcPr>
            <w:tcW w:w="1389" w:type="dxa"/>
            <w:tcBorders>
              <w:top w:val="nil"/>
              <w:left w:val="nil"/>
              <w:bottom w:val="double" w:sz="6" w:space="0" w:color="1F497D"/>
              <w:right w:val="double" w:sz="6" w:space="0" w:color="1F497D"/>
            </w:tcBorders>
            <w:shd w:val="clear" w:color="auto" w:fill="auto"/>
            <w:noWrap/>
            <w:vAlign w:val="center"/>
            <w:hideMark/>
          </w:tcPr>
          <w:p w14:paraId="15D65D1B"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287 924, 00</w:t>
            </w:r>
          </w:p>
        </w:tc>
        <w:tc>
          <w:tcPr>
            <w:tcW w:w="1392" w:type="dxa"/>
            <w:tcBorders>
              <w:top w:val="nil"/>
              <w:left w:val="nil"/>
              <w:bottom w:val="double" w:sz="6" w:space="0" w:color="1F497D"/>
              <w:right w:val="double" w:sz="6" w:space="0" w:color="1F497D"/>
            </w:tcBorders>
            <w:shd w:val="clear" w:color="auto" w:fill="auto"/>
            <w:noWrap/>
            <w:vAlign w:val="center"/>
            <w:hideMark/>
          </w:tcPr>
          <w:p w14:paraId="5BBE9492"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287 924, 00</w:t>
            </w:r>
          </w:p>
        </w:tc>
        <w:tc>
          <w:tcPr>
            <w:tcW w:w="1348" w:type="dxa"/>
            <w:tcBorders>
              <w:top w:val="nil"/>
              <w:left w:val="nil"/>
              <w:bottom w:val="double" w:sz="6" w:space="0" w:color="1F497D"/>
              <w:right w:val="double" w:sz="6" w:space="0" w:color="1F497D"/>
            </w:tcBorders>
            <w:shd w:val="clear" w:color="auto" w:fill="auto"/>
            <w:noWrap/>
            <w:vAlign w:val="center"/>
            <w:hideMark/>
          </w:tcPr>
          <w:p w14:paraId="395694FC"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18" w:type="dxa"/>
            <w:tcBorders>
              <w:top w:val="nil"/>
              <w:left w:val="nil"/>
              <w:bottom w:val="double" w:sz="6" w:space="0" w:color="1F497D"/>
              <w:right w:val="double" w:sz="6" w:space="0" w:color="1F497D"/>
            </w:tcBorders>
            <w:shd w:val="clear" w:color="auto" w:fill="auto"/>
            <w:noWrap/>
            <w:vAlign w:val="center"/>
            <w:hideMark/>
          </w:tcPr>
          <w:p w14:paraId="499E4942"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17" w:type="dxa"/>
            <w:tcBorders>
              <w:top w:val="nil"/>
              <w:left w:val="nil"/>
              <w:bottom w:val="double" w:sz="6" w:space="0" w:color="1F497D"/>
              <w:right w:val="double" w:sz="6" w:space="0" w:color="1F497D"/>
            </w:tcBorders>
            <w:shd w:val="clear" w:color="auto" w:fill="auto"/>
            <w:noWrap/>
            <w:vAlign w:val="center"/>
            <w:hideMark/>
          </w:tcPr>
          <w:p w14:paraId="586D4E47"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287 924, 00</w:t>
            </w:r>
          </w:p>
        </w:tc>
        <w:tc>
          <w:tcPr>
            <w:tcW w:w="1370" w:type="dxa"/>
            <w:tcBorders>
              <w:top w:val="nil"/>
              <w:left w:val="nil"/>
              <w:bottom w:val="double" w:sz="6" w:space="0" w:color="1F497D"/>
              <w:right w:val="double" w:sz="6" w:space="0" w:color="1F497D"/>
            </w:tcBorders>
            <w:shd w:val="clear" w:color="auto" w:fill="auto"/>
            <w:noWrap/>
            <w:vAlign w:val="center"/>
            <w:hideMark/>
          </w:tcPr>
          <w:p w14:paraId="7460E9CF"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287 924, 00</w:t>
            </w:r>
          </w:p>
        </w:tc>
        <w:tc>
          <w:tcPr>
            <w:tcW w:w="1465" w:type="dxa"/>
            <w:tcBorders>
              <w:top w:val="nil"/>
              <w:left w:val="nil"/>
              <w:bottom w:val="double" w:sz="6" w:space="0" w:color="1F497D"/>
              <w:right w:val="double" w:sz="6" w:space="0" w:color="1F497D"/>
            </w:tcBorders>
            <w:shd w:val="clear" w:color="auto" w:fill="auto"/>
            <w:noWrap/>
            <w:vAlign w:val="center"/>
            <w:hideMark/>
          </w:tcPr>
          <w:p w14:paraId="44F6993E"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1 151 696,00</w:t>
            </w:r>
          </w:p>
        </w:tc>
      </w:tr>
      <w:tr w:rsidR="008636D6" w:rsidRPr="00033E65" w14:paraId="5520C5FF"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18306987" w14:textId="77777777" w:rsidR="008636D6" w:rsidRPr="00033E65" w:rsidRDefault="008636D6">
            <w:pPr>
              <w:spacing w:before="0" w:after="0"/>
              <w:jc w:val="left"/>
              <w:rPr>
                <w:rFonts w:cs="Calibri"/>
                <w:color w:val="000000"/>
                <w:sz w:val="20"/>
                <w:lang w:eastAsia="es-CR"/>
              </w:rPr>
            </w:pPr>
            <w:r w:rsidRPr="00033E65">
              <w:rPr>
                <w:rFonts w:cs="Calibri"/>
                <w:color w:val="000000"/>
                <w:sz w:val="20"/>
                <w:lang w:eastAsia="es-CR"/>
              </w:rPr>
              <w:t>Combustible (Diesel Flota 2.0) (a)</w:t>
            </w:r>
          </w:p>
        </w:tc>
        <w:tc>
          <w:tcPr>
            <w:tcW w:w="1389" w:type="dxa"/>
            <w:tcBorders>
              <w:top w:val="nil"/>
              <w:left w:val="nil"/>
              <w:bottom w:val="double" w:sz="6" w:space="0" w:color="1F497D"/>
              <w:right w:val="double" w:sz="6" w:space="0" w:color="1F497D"/>
            </w:tcBorders>
            <w:shd w:val="clear" w:color="auto" w:fill="auto"/>
            <w:noWrap/>
            <w:vAlign w:val="center"/>
            <w:hideMark/>
          </w:tcPr>
          <w:p w14:paraId="144D1CF6"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2 608 333, 80</w:t>
            </w:r>
          </w:p>
        </w:tc>
        <w:tc>
          <w:tcPr>
            <w:tcW w:w="1392" w:type="dxa"/>
            <w:tcBorders>
              <w:top w:val="nil"/>
              <w:left w:val="nil"/>
              <w:bottom w:val="double" w:sz="6" w:space="0" w:color="1F497D"/>
              <w:right w:val="double" w:sz="6" w:space="0" w:color="1F497D"/>
            </w:tcBorders>
            <w:shd w:val="clear" w:color="auto" w:fill="auto"/>
            <w:noWrap/>
            <w:vAlign w:val="center"/>
            <w:hideMark/>
          </w:tcPr>
          <w:p w14:paraId="6D5CD6B1"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2 847 600, 00</w:t>
            </w:r>
          </w:p>
        </w:tc>
        <w:tc>
          <w:tcPr>
            <w:tcW w:w="1348" w:type="dxa"/>
            <w:tcBorders>
              <w:top w:val="nil"/>
              <w:left w:val="nil"/>
              <w:bottom w:val="double" w:sz="6" w:space="0" w:color="1F497D"/>
              <w:right w:val="double" w:sz="6" w:space="0" w:color="1F497D"/>
            </w:tcBorders>
            <w:shd w:val="clear" w:color="auto" w:fill="auto"/>
            <w:noWrap/>
            <w:vAlign w:val="center"/>
            <w:hideMark/>
          </w:tcPr>
          <w:p w14:paraId="1DA52F87"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1 356 000, 00</w:t>
            </w:r>
          </w:p>
        </w:tc>
        <w:tc>
          <w:tcPr>
            <w:tcW w:w="1418" w:type="dxa"/>
            <w:tcBorders>
              <w:top w:val="nil"/>
              <w:left w:val="nil"/>
              <w:bottom w:val="double" w:sz="6" w:space="0" w:color="1F497D"/>
              <w:right w:val="double" w:sz="6" w:space="0" w:color="1F497D"/>
            </w:tcBorders>
            <w:shd w:val="clear" w:color="auto" w:fill="auto"/>
            <w:noWrap/>
            <w:vAlign w:val="center"/>
            <w:hideMark/>
          </w:tcPr>
          <w:p w14:paraId="651CFED2"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1 485 950, 00</w:t>
            </w:r>
          </w:p>
        </w:tc>
        <w:tc>
          <w:tcPr>
            <w:tcW w:w="1417" w:type="dxa"/>
            <w:tcBorders>
              <w:top w:val="nil"/>
              <w:left w:val="nil"/>
              <w:bottom w:val="double" w:sz="6" w:space="0" w:color="1F497D"/>
              <w:right w:val="double" w:sz="6" w:space="0" w:color="1F497D"/>
            </w:tcBorders>
            <w:shd w:val="clear" w:color="auto" w:fill="auto"/>
            <w:noWrap/>
            <w:vAlign w:val="center"/>
            <w:hideMark/>
          </w:tcPr>
          <w:p w14:paraId="2468A1A5"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1 485 950,00</w:t>
            </w:r>
          </w:p>
        </w:tc>
        <w:tc>
          <w:tcPr>
            <w:tcW w:w="1370" w:type="dxa"/>
            <w:tcBorders>
              <w:top w:val="nil"/>
              <w:left w:val="nil"/>
              <w:bottom w:val="double" w:sz="6" w:space="0" w:color="1F497D"/>
              <w:right w:val="double" w:sz="6" w:space="0" w:color="1F497D"/>
            </w:tcBorders>
            <w:shd w:val="clear" w:color="auto" w:fill="auto"/>
            <w:noWrap/>
            <w:vAlign w:val="center"/>
            <w:hideMark/>
          </w:tcPr>
          <w:p w14:paraId="5D0E0B3C"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1 485 950,00</w:t>
            </w:r>
          </w:p>
        </w:tc>
        <w:tc>
          <w:tcPr>
            <w:tcW w:w="1465" w:type="dxa"/>
            <w:tcBorders>
              <w:top w:val="nil"/>
              <w:left w:val="nil"/>
              <w:bottom w:val="double" w:sz="6" w:space="0" w:color="1F497D"/>
              <w:right w:val="double" w:sz="6" w:space="0" w:color="1F497D"/>
            </w:tcBorders>
            <w:shd w:val="clear" w:color="auto" w:fill="auto"/>
            <w:noWrap/>
            <w:vAlign w:val="center"/>
            <w:hideMark/>
          </w:tcPr>
          <w:p w14:paraId="7ED1E3E5"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11 269 783,80</w:t>
            </w:r>
          </w:p>
        </w:tc>
      </w:tr>
      <w:tr w:rsidR="008636D6" w:rsidRPr="00033E65" w14:paraId="38167C94"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6558A093" w14:textId="77777777" w:rsidR="008636D6" w:rsidRPr="00033E65" w:rsidRDefault="008636D6">
            <w:pPr>
              <w:spacing w:before="0" w:after="0"/>
              <w:jc w:val="left"/>
              <w:rPr>
                <w:rFonts w:cs="Calibri"/>
                <w:color w:val="000000"/>
                <w:sz w:val="20"/>
                <w:lang w:eastAsia="es-CR"/>
              </w:rPr>
            </w:pPr>
            <w:r w:rsidRPr="00033E65">
              <w:rPr>
                <w:rFonts w:cs="Calibri"/>
                <w:color w:val="000000"/>
                <w:sz w:val="20"/>
                <w:lang w:eastAsia="es-CR"/>
              </w:rPr>
              <w:t>Linga</w:t>
            </w:r>
          </w:p>
        </w:tc>
        <w:tc>
          <w:tcPr>
            <w:tcW w:w="1389" w:type="dxa"/>
            <w:tcBorders>
              <w:top w:val="nil"/>
              <w:left w:val="nil"/>
              <w:bottom w:val="double" w:sz="6" w:space="0" w:color="1F497D"/>
              <w:right w:val="double" w:sz="6" w:space="0" w:color="1F497D"/>
            </w:tcBorders>
            <w:shd w:val="clear" w:color="auto" w:fill="auto"/>
            <w:noWrap/>
            <w:vAlign w:val="center"/>
            <w:hideMark/>
          </w:tcPr>
          <w:p w14:paraId="1415188C"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17 000, 00</w:t>
            </w:r>
          </w:p>
        </w:tc>
        <w:tc>
          <w:tcPr>
            <w:tcW w:w="1392" w:type="dxa"/>
            <w:tcBorders>
              <w:top w:val="nil"/>
              <w:left w:val="nil"/>
              <w:bottom w:val="double" w:sz="6" w:space="0" w:color="1F497D"/>
              <w:right w:val="double" w:sz="6" w:space="0" w:color="1F497D"/>
            </w:tcBorders>
            <w:shd w:val="clear" w:color="auto" w:fill="auto"/>
            <w:noWrap/>
            <w:vAlign w:val="center"/>
            <w:hideMark/>
          </w:tcPr>
          <w:p w14:paraId="085B70FB"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17 000, 00</w:t>
            </w:r>
          </w:p>
        </w:tc>
        <w:tc>
          <w:tcPr>
            <w:tcW w:w="1348" w:type="dxa"/>
            <w:tcBorders>
              <w:top w:val="nil"/>
              <w:left w:val="nil"/>
              <w:bottom w:val="double" w:sz="6" w:space="0" w:color="1F497D"/>
              <w:right w:val="double" w:sz="6" w:space="0" w:color="1F497D"/>
            </w:tcBorders>
            <w:shd w:val="clear" w:color="auto" w:fill="auto"/>
            <w:noWrap/>
            <w:vAlign w:val="center"/>
            <w:hideMark/>
          </w:tcPr>
          <w:p w14:paraId="3709F08D"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17 000, 00</w:t>
            </w:r>
          </w:p>
        </w:tc>
        <w:tc>
          <w:tcPr>
            <w:tcW w:w="1418" w:type="dxa"/>
            <w:tcBorders>
              <w:top w:val="nil"/>
              <w:left w:val="nil"/>
              <w:bottom w:val="double" w:sz="6" w:space="0" w:color="1F497D"/>
              <w:right w:val="double" w:sz="6" w:space="0" w:color="1F497D"/>
            </w:tcBorders>
            <w:shd w:val="clear" w:color="auto" w:fill="auto"/>
            <w:noWrap/>
            <w:vAlign w:val="center"/>
            <w:hideMark/>
          </w:tcPr>
          <w:p w14:paraId="135E20E0"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17 000, 00</w:t>
            </w:r>
          </w:p>
        </w:tc>
        <w:tc>
          <w:tcPr>
            <w:tcW w:w="1417" w:type="dxa"/>
            <w:tcBorders>
              <w:top w:val="nil"/>
              <w:left w:val="nil"/>
              <w:bottom w:val="double" w:sz="6" w:space="0" w:color="1F497D"/>
              <w:right w:val="double" w:sz="6" w:space="0" w:color="1F497D"/>
            </w:tcBorders>
            <w:shd w:val="clear" w:color="auto" w:fill="auto"/>
            <w:noWrap/>
            <w:vAlign w:val="center"/>
            <w:hideMark/>
          </w:tcPr>
          <w:p w14:paraId="1D1FE813"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17 000, 00</w:t>
            </w:r>
          </w:p>
        </w:tc>
        <w:tc>
          <w:tcPr>
            <w:tcW w:w="1370" w:type="dxa"/>
            <w:tcBorders>
              <w:top w:val="nil"/>
              <w:left w:val="nil"/>
              <w:bottom w:val="double" w:sz="6" w:space="0" w:color="1F497D"/>
              <w:right w:val="double" w:sz="6" w:space="0" w:color="1F497D"/>
            </w:tcBorders>
            <w:shd w:val="clear" w:color="auto" w:fill="auto"/>
            <w:noWrap/>
            <w:vAlign w:val="center"/>
            <w:hideMark/>
          </w:tcPr>
          <w:p w14:paraId="6C16EB4E"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17 000, 00</w:t>
            </w:r>
          </w:p>
        </w:tc>
        <w:tc>
          <w:tcPr>
            <w:tcW w:w="1465" w:type="dxa"/>
            <w:tcBorders>
              <w:top w:val="nil"/>
              <w:left w:val="nil"/>
              <w:bottom w:val="double" w:sz="6" w:space="0" w:color="1F497D"/>
              <w:right w:val="double" w:sz="6" w:space="0" w:color="1F497D"/>
            </w:tcBorders>
            <w:shd w:val="clear" w:color="auto" w:fill="auto"/>
            <w:noWrap/>
            <w:vAlign w:val="center"/>
            <w:hideMark/>
          </w:tcPr>
          <w:p w14:paraId="464DF756"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102 000,00</w:t>
            </w:r>
          </w:p>
        </w:tc>
      </w:tr>
      <w:tr w:rsidR="008636D6" w:rsidRPr="00033E65" w14:paraId="358E5B75"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51B6078A" w14:textId="77777777" w:rsidR="008636D6" w:rsidRPr="00033E65" w:rsidRDefault="008636D6">
            <w:pPr>
              <w:spacing w:before="0" w:after="0"/>
              <w:jc w:val="left"/>
              <w:rPr>
                <w:rFonts w:cs="Calibri"/>
                <w:color w:val="000000"/>
                <w:sz w:val="20"/>
                <w:lang w:eastAsia="es-CR"/>
              </w:rPr>
            </w:pPr>
            <w:r w:rsidRPr="00033E65">
              <w:rPr>
                <w:rFonts w:cs="Calibri"/>
                <w:color w:val="000000"/>
                <w:sz w:val="20"/>
                <w:lang w:eastAsia="es-CR"/>
              </w:rPr>
              <w:t>Servicio de Monitoreo por GPS</w:t>
            </w:r>
          </w:p>
        </w:tc>
        <w:tc>
          <w:tcPr>
            <w:tcW w:w="1389" w:type="dxa"/>
            <w:tcBorders>
              <w:top w:val="nil"/>
              <w:left w:val="nil"/>
              <w:bottom w:val="double" w:sz="6" w:space="0" w:color="1F497D"/>
              <w:right w:val="double" w:sz="6" w:space="0" w:color="1F497D"/>
            </w:tcBorders>
            <w:shd w:val="clear" w:color="auto" w:fill="auto"/>
            <w:noWrap/>
            <w:vAlign w:val="center"/>
            <w:hideMark/>
          </w:tcPr>
          <w:p w14:paraId="4F4C27CD"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164 474, 79</w:t>
            </w:r>
          </w:p>
        </w:tc>
        <w:tc>
          <w:tcPr>
            <w:tcW w:w="1392" w:type="dxa"/>
            <w:tcBorders>
              <w:top w:val="nil"/>
              <w:left w:val="nil"/>
              <w:bottom w:val="double" w:sz="6" w:space="0" w:color="1F497D"/>
              <w:right w:val="double" w:sz="6" w:space="0" w:color="1F497D"/>
            </w:tcBorders>
            <w:shd w:val="clear" w:color="auto" w:fill="auto"/>
            <w:noWrap/>
            <w:vAlign w:val="center"/>
            <w:hideMark/>
          </w:tcPr>
          <w:p w14:paraId="379FC82D"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164 474, 79</w:t>
            </w:r>
          </w:p>
        </w:tc>
        <w:tc>
          <w:tcPr>
            <w:tcW w:w="1348" w:type="dxa"/>
            <w:tcBorders>
              <w:top w:val="nil"/>
              <w:left w:val="nil"/>
              <w:bottom w:val="double" w:sz="6" w:space="0" w:color="1F497D"/>
              <w:right w:val="double" w:sz="6" w:space="0" w:color="1F497D"/>
            </w:tcBorders>
            <w:shd w:val="clear" w:color="auto" w:fill="auto"/>
            <w:noWrap/>
            <w:vAlign w:val="center"/>
            <w:hideMark/>
          </w:tcPr>
          <w:p w14:paraId="07CF44FC"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164 474, 79</w:t>
            </w:r>
          </w:p>
        </w:tc>
        <w:tc>
          <w:tcPr>
            <w:tcW w:w="1418" w:type="dxa"/>
            <w:tcBorders>
              <w:top w:val="nil"/>
              <w:left w:val="nil"/>
              <w:bottom w:val="double" w:sz="6" w:space="0" w:color="1F497D"/>
              <w:right w:val="double" w:sz="6" w:space="0" w:color="1F497D"/>
            </w:tcBorders>
            <w:shd w:val="clear" w:color="auto" w:fill="auto"/>
            <w:noWrap/>
            <w:vAlign w:val="center"/>
            <w:hideMark/>
          </w:tcPr>
          <w:p w14:paraId="35963AD5"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164 474, 79</w:t>
            </w:r>
          </w:p>
        </w:tc>
        <w:tc>
          <w:tcPr>
            <w:tcW w:w="1417" w:type="dxa"/>
            <w:tcBorders>
              <w:top w:val="nil"/>
              <w:left w:val="nil"/>
              <w:bottom w:val="double" w:sz="6" w:space="0" w:color="1F497D"/>
              <w:right w:val="double" w:sz="6" w:space="0" w:color="1F497D"/>
            </w:tcBorders>
            <w:shd w:val="clear" w:color="auto" w:fill="auto"/>
            <w:noWrap/>
            <w:vAlign w:val="center"/>
            <w:hideMark/>
          </w:tcPr>
          <w:p w14:paraId="5F5BDB90"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164 474, 79</w:t>
            </w:r>
          </w:p>
        </w:tc>
        <w:tc>
          <w:tcPr>
            <w:tcW w:w="1370" w:type="dxa"/>
            <w:tcBorders>
              <w:top w:val="nil"/>
              <w:left w:val="nil"/>
              <w:bottom w:val="double" w:sz="6" w:space="0" w:color="1F497D"/>
              <w:right w:val="double" w:sz="6" w:space="0" w:color="1F497D"/>
            </w:tcBorders>
            <w:shd w:val="clear" w:color="auto" w:fill="auto"/>
            <w:noWrap/>
            <w:vAlign w:val="center"/>
            <w:hideMark/>
          </w:tcPr>
          <w:p w14:paraId="62030983"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164 474, 79</w:t>
            </w:r>
          </w:p>
        </w:tc>
        <w:tc>
          <w:tcPr>
            <w:tcW w:w="1465" w:type="dxa"/>
            <w:tcBorders>
              <w:top w:val="nil"/>
              <w:left w:val="nil"/>
              <w:bottom w:val="double" w:sz="6" w:space="0" w:color="1F497D"/>
              <w:right w:val="double" w:sz="6" w:space="0" w:color="1F497D"/>
            </w:tcBorders>
            <w:shd w:val="clear" w:color="auto" w:fill="auto"/>
            <w:noWrap/>
            <w:vAlign w:val="center"/>
            <w:hideMark/>
          </w:tcPr>
          <w:p w14:paraId="2990DD81"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986 848,74</w:t>
            </w:r>
          </w:p>
        </w:tc>
      </w:tr>
      <w:tr w:rsidR="008636D6" w:rsidRPr="00033E65" w14:paraId="6BD7827B"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315756D2" w14:textId="77777777" w:rsidR="008636D6" w:rsidRPr="00033E65" w:rsidRDefault="008636D6">
            <w:pPr>
              <w:spacing w:before="0" w:after="0"/>
              <w:jc w:val="left"/>
              <w:rPr>
                <w:rFonts w:cs="Calibri"/>
                <w:color w:val="000000"/>
                <w:sz w:val="20"/>
                <w:lang w:eastAsia="es-CR"/>
              </w:rPr>
            </w:pPr>
            <w:r w:rsidRPr="00033E65">
              <w:rPr>
                <w:rFonts w:cs="Calibri"/>
                <w:color w:val="000000"/>
                <w:sz w:val="20"/>
                <w:lang w:eastAsia="es-CR"/>
              </w:rPr>
              <w:t>Dispositivo de Peaje Electrónico (Quick pass)</w:t>
            </w:r>
          </w:p>
        </w:tc>
        <w:tc>
          <w:tcPr>
            <w:tcW w:w="1389" w:type="dxa"/>
            <w:tcBorders>
              <w:top w:val="nil"/>
              <w:left w:val="nil"/>
              <w:bottom w:val="double" w:sz="6" w:space="0" w:color="1F497D"/>
              <w:right w:val="double" w:sz="6" w:space="0" w:color="1F497D"/>
            </w:tcBorders>
            <w:shd w:val="clear" w:color="auto" w:fill="auto"/>
            <w:noWrap/>
            <w:vAlign w:val="center"/>
            <w:hideMark/>
          </w:tcPr>
          <w:p w14:paraId="7EAA7C6B"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28 250, 00</w:t>
            </w:r>
          </w:p>
        </w:tc>
        <w:tc>
          <w:tcPr>
            <w:tcW w:w="1392" w:type="dxa"/>
            <w:tcBorders>
              <w:top w:val="nil"/>
              <w:left w:val="nil"/>
              <w:bottom w:val="double" w:sz="6" w:space="0" w:color="1F497D"/>
              <w:right w:val="double" w:sz="6" w:space="0" w:color="1F497D"/>
            </w:tcBorders>
            <w:shd w:val="clear" w:color="auto" w:fill="auto"/>
            <w:noWrap/>
            <w:vAlign w:val="center"/>
            <w:hideMark/>
          </w:tcPr>
          <w:p w14:paraId="6D7415AC"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48" w:type="dxa"/>
            <w:tcBorders>
              <w:top w:val="nil"/>
              <w:left w:val="nil"/>
              <w:bottom w:val="double" w:sz="6" w:space="0" w:color="1F497D"/>
              <w:right w:val="double" w:sz="6" w:space="0" w:color="1F497D"/>
            </w:tcBorders>
            <w:shd w:val="clear" w:color="auto" w:fill="auto"/>
            <w:noWrap/>
            <w:vAlign w:val="center"/>
            <w:hideMark/>
          </w:tcPr>
          <w:p w14:paraId="19704A9E"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28 250, 00</w:t>
            </w:r>
          </w:p>
        </w:tc>
        <w:tc>
          <w:tcPr>
            <w:tcW w:w="1418" w:type="dxa"/>
            <w:tcBorders>
              <w:top w:val="nil"/>
              <w:left w:val="nil"/>
              <w:bottom w:val="double" w:sz="6" w:space="0" w:color="1F497D"/>
              <w:right w:val="double" w:sz="6" w:space="0" w:color="1F497D"/>
            </w:tcBorders>
            <w:shd w:val="clear" w:color="auto" w:fill="auto"/>
            <w:noWrap/>
            <w:vAlign w:val="center"/>
            <w:hideMark/>
          </w:tcPr>
          <w:p w14:paraId="03EB4EDE"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17" w:type="dxa"/>
            <w:tcBorders>
              <w:top w:val="nil"/>
              <w:left w:val="nil"/>
              <w:bottom w:val="double" w:sz="6" w:space="0" w:color="1F497D"/>
              <w:right w:val="double" w:sz="6" w:space="0" w:color="1F497D"/>
            </w:tcBorders>
            <w:shd w:val="clear" w:color="auto" w:fill="auto"/>
            <w:noWrap/>
            <w:vAlign w:val="center"/>
            <w:hideMark/>
          </w:tcPr>
          <w:p w14:paraId="753D485A"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70" w:type="dxa"/>
            <w:tcBorders>
              <w:top w:val="nil"/>
              <w:left w:val="nil"/>
              <w:bottom w:val="double" w:sz="6" w:space="0" w:color="1F497D"/>
              <w:right w:val="double" w:sz="6" w:space="0" w:color="1F497D"/>
            </w:tcBorders>
            <w:shd w:val="clear" w:color="auto" w:fill="auto"/>
            <w:noWrap/>
            <w:vAlign w:val="center"/>
            <w:hideMark/>
          </w:tcPr>
          <w:p w14:paraId="4B0D9D41"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65" w:type="dxa"/>
            <w:tcBorders>
              <w:top w:val="nil"/>
              <w:left w:val="nil"/>
              <w:bottom w:val="double" w:sz="6" w:space="0" w:color="1F497D"/>
              <w:right w:val="double" w:sz="6" w:space="0" w:color="1F497D"/>
            </w:tcBorders>
            <w:shd w:val="clear" w:color="auto" w:fill="auto"/>
            <w:noWrap/>
            <w:vAlign w:val="center"/>
            <w:hideMark/>
          </w:tcPr>
          <w:p w14:paraId="6456AA7E"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56 500,00</w:t>
            </w:r>
          </w:p>
        </w:tc>
      </w:tr>
      <w:tr w:rsidR="008636D6" w:rsidRPr="00033E65" w14:paraId="3F4F39FA"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45B5994D" w14:textId="77777777" w:rsidR="008636D6" w:rsidRPr="00033E65" w:rsidRDefault="008636D6">
            <w:pPr>
              <w:spacing w:before="0" w:after="0"/>
              <w:jc w:val="left"/>
              <w:rPr>
                <w:rFonts w:cs="Calibri"/>
                <w:color w:val="000000"/>
                <w:sz w:val="20"/>
                <w:lang w:eastAsia="es-CR"/>
              </w:rPr>
            </w:pPr>
            <w:r w:rsidRPr="00033E65">
              <w:rPr>
                <w:rFonts w:cs="Calibri"/>
                <w:color w:val="000000"/>
                <w:sz w:val="20"/>
                <w:lang w:eastAsia="es-CR"/>
              </w:rPr>
              <w:t>Mantenimiento Dispositivo para Peaje Automático (Quick Pass) (b)</w:t>
            </w:r>
          </w:p>
        </w:tc>
        <w:tc>
          <w:tcPr>
            <w:tcW w:w="1389" w:type="dxa"/>
            <w:tcBorders>
              <w:top w:val="nil"/>
              <w:left w:val="nil"/>
              <w:bottom w:val="double" w:sz="6" w:space="0" w:color="1F497D"/>
              <w:right w:val="double" w:sz="6" w:space="0" w:color="1F497D"/>
            </w:tcBorders>
            <w:shd w:val="clear" w:color="auto" w:fill="auto"/>
            <w:noWrap/>
            <w:vAlign w:val="center"/>
            <w:hideMark/>
          </w:tcPr>
          <w:p w14:paraId="62C6F91C"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113 000, 00</w:t>
            </w:r>
          </w:p>
        </w:tc>
        <w:tc>
          <w:tcPr>
            <w:tcW w:w="1392" w:type="dxa"/>
            <w:tcBorders>
              <w:top w:val="nil"/>
              <w:left w:val="nil"/>
              <w:bottom w:val="double" w:sz="6" w:space="0" w:color="1F497D"/>
              <w:right w:val="double" w:sz="6" w:space="0" w:color="1F497D"/>
            </w:tcBorders>
            <w:shd w:val="clear" w:color="auto" w:fill="auto"/>
            <w:noWrap/>
            <w:vAlign w:val="center"/>
            <w:hideMark/>
          </w:tcPr>
          <w:p w14:paraId="064F94B9"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48" w:type="dxa"/>
            <w:tcBorders>
              <w:top w:val="nil"/>
              <w:left w:val="nil"/>
              <w:bottom w:val="double" w:sz="6" w:space="0" w:color="1F497D"/>
              <w:right w:val="double" w:sz="6" w:space="0" w:color="1F497D"/>
            </w:tcBorders>
            <w:shd w:val="clear" w:color="auto" w:fill="auto"/>
            <w:noWrap/>
            <w:vAlign w:val="center"/>
            <w:hideMark/>
          </w:tcPr>
          <w:p w14:paraId="36091FC0"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56 500, 00</w:t>
            </w:r>
          </w:p>
        </w:tc>
        <w:tc>
          <w:tcPr>
            <w:tcW w:w="1418" w:type="dxa"/>
            <w:tcBorders>
              <w:top w:val="nil"/>
              <w:left w:val="nil"/>
              <w:bottom w:val="double" w:sz="6" w:space="0" w:color="1F497D"/>
              <w:right w:val="double" w:sz="6" w:space="0" w:color="1F497D"/>
            </w:tcBorders>
            <w:shd w:val="clear" w:color="auto" w:fill="auto"/>
            <w:noWrap/>
            <w:vAlign w:val="center"/>
            <w:hideMark/>
          </w:tcPr>
          <w:p w14:paraId="1713D87A"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17" w:type="dxa"/>
            <w:tcBorders>
              <w:top w:val="nil"/>
              <w:left w:val="nil"/>
              <w:bottom w:val="double" w:sz="6" w:space="0" w:color="1F497D"/>
              <w:right w:val="double" w:sz="6" w:space="0" w:color="1F497D"/>
            </w:tcBorders>
            <w:shd w:val="clear" w:color="auto" w:fill="auto"/>
            <w:noWrap/>
            <w:vAlign w:val="center"/>
            <w:hideMark/>
          </w:tcPr>
          <w:p w14:paraId="6F647DFC"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70" w:type="dxa"/>
            <w:tcBorders>
              <w:top w:val="nil"/>
              <w:left w:val="nil"/>
              <w:bottom w:val="double" w:sz="6" w:space="0" w:color="1F497D"/>
              <w:right w:val="double" w:sz="6" w:space="0" w:color="1F497D"/>
            </w:tcBorders>
            <w:shd w:val="clear" w:color="auto" w:fill="auto"/>
            <w:noWrap/>
            <w:vAlign w:val="center"/>
            <w:hideMark/>
          </w:tcPr>
          <w:p w14:paraId="7D421931"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65" w:type="dxa"/>
            <w:tcBorders>
              <w:top w:val="nil"/>
              <w:left w:val="nil"/>
              <w:bottom w:val="double" w:sz="6" w:space="0" w:color="1F497D"/>
              <w:right w:val="double" w:sz="6" w:space="0" w:color="1F497D"/>
            </w:tcBorders>
            <w:shd w:val="clear" w:color="auto" w:fill="auto"/>
            <w:noWrap/>
            <w:vAlign w:val="center"/>
            <w:hideMark/>
          </w:tcPr>
          <w:p w14:paraId="6BCD5553"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₡1</w:t>
            </w:r>
            <w:r w:rsidRPr="00033E65">
              <w:rPr>
                <w:color w:val="000000"/>
                <w:sz w:val="20"/>
                <w:lang w:eastAsia="es-CR"/>
              </w:rPr>
              <w:t>69 500,00</w:t>
            </w:r>
          </w:p>
        </w:tc>
      </w:tr>
      <w:tr w:rsidR="008636D6" w:rsidRPr="00033E65" w14:paraId="5ACBC794"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5D700A27" w14:textId="77777777" w:rsidR="008636D6" w:rsidRPr="00033E65" w:rsidRDefault="008636D6">
            <w:pPr>
              <w:spacing w:before="0" w:after="0"/>
              <w:jc w:val="left"/>
              <w:rPr>
                <w:rFonts w:cs="Calibri"/>
                <w:color w:val="000000"/>
                <w:sz w:val="20"/>
                <w:lang w:eastAsia="es-CR"/>
              </w:rPr>
            </w:pPr>
            <w:r w:rsidRPr="00033E65">
              <w:rPr>
                <w:rFonts w:cs="Calibri"/>
                <w:color w:val="000000"/>
                <w:sz w:val="20"/>
                <w:lang w:eastAsia="es-CR"/>
              </w:rPr>
              <w:t>Transporte Dentro del País</w:t>
            </w:r>
          </w:p>
        </w:tc>
        <w:tc>
          <w:tcPr>
            <w:tcW w:w="1389" w:type="dxa"/>
            <w:tcBorders>
              <w:top w:val="nil"/>
              <w:left w:val="nil"/>
              <w:bottom w:val="double" w:sz="6" w:space="0" w:color="1F497D"/>
              <w:right w:val="double" w:sz="6" w:space="0" w:color="1F497D"/>
            </w:tcBorders>
            <w:shd w:val="clear" w:color="auto" w:fill="auto"/>
            <w:noWrap/>
            <w:vAlign w:val="center"/>
            <w:hideMark/>
          </w:tcPr>
          <w:p w14:paraId="2E426E4F"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28 250, 00</w:t>
            </w:r>
          </w:p>
        </w:tc>
        <w:tc>
          <w:tcPr>
            <w:tcW w:w="1392" w:type="dxa"/>
            <w:tcBorders>
              <w:top w:val="nil"/>
              <w:left w:val="nil"/>
              <w:bottom w:val="double" w:sz="6" w:space="0" w:color="1F497D"/>
              <w:right w:val="double" w:sz="6" w:space="0" w:color="1F497D"/>
            </w:tcBorders>
            <w:shd w:val="clear" w:color="auto" w:fill="auto"/>
            <w:noWrap/>
            <w:vAlign w:val="center"/>
            <w:hideMark/>
          </w:tcPr>
          <w:p w14:paraId="458E9501"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48" w:type="dxa"/>
            <w:tcBorders>
              <w:top w:val="nil"/>
              <w:left w:val="nil"/>
              <w:bottom w:val="double" w:sz="6" w:space="0" w:color="1F497D"/>
              <w:right w:val="double" w:sz="6" w:space="0" w:color="1F497D"/>
            </w:tcBorders>
            <w:shd w:val="clear" w:color="auto" w:fill="auto"/>
            <w:noWrap/>
            <w:vAlign w:val="center"/>
            <w:hideMark/>
          </w:tcPr>
          <w:p w14:paraId="09F72C12"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28 250, 00</w:t>
            </w:r>
          </w:p>
        </w:tc>
        <w:tc>
          <w:tcPr>
            <w:tcW w:w="1418" w:type="dxa"/>
            <w:tcBorders>
              <w:top w:val="nil"/>
              <w:left w:val="nil"/>
              <w:bottom w:val="double" w:sz="6" w:space="0" w:color="1F497D"/>
              <w:right w:val="double" w:sz="6" w:space="0" w:color="1F497D"/>
            </w:tcBorders>
            <w:shd w:val="clear" w:color="auto" w:fill="auto"/>
            <w:noWrap/>
            <w:vAlign w:val="center"/>
            <w:hideMark/>
          </w:tcPr>
          <w:p w14:paraId="6A6266CF"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17" w:type="dxa"/>
            <w:tcBorders>
              <w:top w:val="nil"/>
              <w:left w:val="nil"/>
              <w:bottom w:val="double" w:sz="6" w:space="0" w:color="1F497D"/>
              <w:right w:val="double" w:sz="6" w:space="0" w:color="1F497D"/>
            </w:tcBorders>
            <w:shd w:val="clear" w:color="auto" w:fill="auto"/>
            <w:noWrap/>
            <w:vAlign w:val="center"/>
            <w:hideMark/>
          </w:tcPr>
          <w:p w14:paraId="5C0EFCD9"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70" w:type="dxa"/>
            <w:tcBorders>
              <w:top w:val="nil"/>
              <w:left w:val="nil"/>
              <w:bottom w:val="double" w:sz="6" w:space="0" w:color="1F497D"/>
              <w:right w:val="double" w:sz="6" w:space="0" w:color="1F497D"/>
            </w:tcBorders>
            <w:shd w:val="clear" w:color="auto" w:fill="auto"/>
            <w:noWrap/>
            <w:vAlign w:val="center"/>
            <w:hideMark/>
          </w:tcPr>
          <w:p w14:paraId="4606EF04"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65" w:type="dxa"/>
            <w:tcBorders>
              <w:top w:val="nil"/>
              <w:left w:val="nil"/>
              <w:bottom w:val="double" w:sz="6" w:space="0" w:color="1F497D"/>
              <w:right w:val="double" w:sz="6" w:space="0" w:color="1F497D"/>
            </w:tcBorders>
            <w:shd w:val="clear" w:color="auto" w:fill="auto"/>
            <w:noWrap/>
            <w:vAlign w:val="center"/>
            <w:hideMark/>
          </w:tcPr>
          <w:p w14:paraId="130C52A9"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56 500,00</w:t>
            </w:r>
          </w:p>
        </w:tc>
      </w:tr>
      <w:tr w:rsidR="008636D6" w:rsidRPr="00033E65" w14:paraId="779E4F17"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56B45CB8" w14:textId="77777777" w:rsidR="008636D6" w:rsidRPr="00033E65" w:rsidRDefault="008636D6">
            <w:pPr>
              <w:spacing w:before="0" w:after="0"/>
              <w:jc w:val="left"/>
              <w:rPr>
                <w:rFonts w:cs="Calibri"/>
                <w:color w:val="000000"/>
                <w:sz w:val="20"/>
                <w:lang w:eastAsia="es-CR"/>
              </w:rPr>
            </w:pPr>
            <w:r w:rsidRPr="00033E65">
              <w:rPr>
                <w:rFonts w:cs="Calibri"/>
                <w:color w:val="000000"/>
                <w:sz w:val="20"/>
                <w:lang w:eastAsia="es-CR"/>
              </w:rPr>
              <w:t>Cubre asientos para automóvil</w:t>
            </w:r>
          </w:p>
        </w:tc>
        <w:tc>
          <w:tcPr>
            <w:tcW w:w="1389" w:type="dxa"/>
            <w:tcBorders>
              <w:top w:val="nil"/>
              <w:left w:val="nil"/>
              <w:bottom w:val="double" w:sz="6" w:space="0" w:color="1F497D"/>
              <w:right w:val="double" w:sz="6" w:space="0" w:color="1F497D"/>
            </w:tcBorders>
            <w:shd w:val="clear" w:color="auto" w:fill="auto"/>
            <w:noWrap/>
            <w:vAlign w:val="center"/>
            <w:hideMark/>
          </w:tcPr>
          <w:p w14:paraId="6055E485"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100 000, 00</w:t>
            </w:r>
          </w:p>
        </w:tc>
        <w:tc>
          <w:tcPr>
            <w:tcW w:w="1392" w:type="dxa"/>
            <w:tcBorders>
              <w:top w:val="nil"/>
              <w:left w:val="nil"/>
              <w:bottom w:val="double" w:sz="6" w:space="0" w:color="1F497D"/>
              <w:right w:val="double" w:sz="6" w:space="0" w:color="1F497D"/>
            </w:tcBorders>
            <w:shd w:val="clear" w:color="auto" w:fill="auto"/>
            <w:noWrap/>
            <w:vAlign w:val="center"/>
            <w:hideMark/>
          </w:tcPr>
          <w:p w14:paraId="5A2CAED0"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100 000, 00</w:t>
            </w:r>
          </w:p>
        </w:tc>
        <w:tc>
          <w:tcPr>
            <w:tcW w:w="1348" w:type="dxa"/>
            <w:tcBorders>
              <w:top w:val="nil"/>
              <w:left w:val="nil"/>
              <w:bottom w:val="double" w:sz="6" w:space="0" w:color="1F497D"/>
              <w:right w:val="double" w:sz="6" w:space="0" w:color="1F497D"/>
            </w:tcBorders>
            <w:shd w:val="clear" w:color="auto" w:fill="auto"/>
            <w:noWrap/>
            <w:vAlign w:val="center"/>
            <w:hideMark/>
          </w:tcPr>
          <w:p w14:paraId="7F3B3BFF"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100 000, 00</w:t>
            </w:r>
          </w:p>
        </w:tc>
        <w:tc>
          <w:tcPr>
            <w:tcW w:w="1418" w:type="dxa"/>
            <w:tcBorders>
              <w:top w:val="nil"/>
              <w:left w:val="nil"/>
              <w:bottom w:val="double" w:sz="6" w:space="0" w:color="1F497D"/>
              <w:right w:val="double" w:sz="6" w:space="0" w:color="1F497D"/>
            </w:tcBorders>
            <w:shd w:val="clear" w:color="auto" w:fill="auto"/>
            <w:noWrap/>
            <w:vAlign w:val="center"/>
            <w:hideMark/>
          </w:tcPr>
          <w:p w14:paraId="1E79AF0F"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100 000, 00</w:t>
            </w:r>
          </w:p>
        </w:tc>
        <w:tc>
          <w:tcPr>
            <w:tcW w:w="1417" w:type="dxa"/>
            <w:tcBorders>
              <w:top w:val="nil"/>
              <w:left w:val="nil"/>
              <w:bottom w:val="double" w:sz="6" w:space="0" w:color="1F497D"/>
              <w:right w:val="double" w:sz="6" w:space="0" w:color="1F497D"/>
            </w:tcBorders>
            <w:shd w:val="clear" w:color="auto" w:fill="auto"/>
            <w:noWrap/>
            <w:vAlign w:val="center"/>
            <w:hideMark/>
          </w:tcPr>
          <w:p w14:paraId="3D3D8B05"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100 000, 00</w:t>
            </w:r>
          </w:p>
        </w:tc>
        <w:tc>
          <w:tcPr>
            <w:tcW w:w="1370" w:type="dxa"/>
            <w:tcBorders>
              <w:top w:val="nil"/>
              <w:left w:val="nil"/>
              <w:bottom w:val="double" w:sz="6" w:space="0" w:color="1F497D"/>
              <w:right w:val="double" w:sz="6" w:space="0" w:color="1F497D"/>
            </w:tcBorders>
            <w:shd w:val="clear" w:color="auto" w:fill="auto"/>
            <w:noWrap/>
            <w:vAlign w:val="center"/>
            <w:hideMark/>
          </w:tcPr>
          <w:p w14:paraId="7D0B1DF9"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100 000, 00</w:t>
            </w:r>
          </w:p>
        </w:tc>
        <w:tc>
          <w:tcPr>
            <w:tcW w:w="1465" w:type="dxa"/>
            <w:tcBorders>
              <w:top w:val="nil"/>
              <w:left w:val="nil"/>
              <w:bottom w:val="double" w:sz="6" w:space="0" w:color="1F497D"/>
              <w:right w:val="double" w:sz="6" w:space="0" w:color="1F497D"/>
            </w:tcBorders>
            <w:shd w:val="clear" w:color="auto" w:fill="auto"/>
            <w:noWrap/>
            <w:vAlign w:val="center"/>
            <w:hideMark/>
          </w:tcPr>
          <w:p w14:paraId="2E89CD86"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600 000,00</w:t>
            </w:r>
          </w:p>
        </w:tc>
      </w:tr>
      <w:tr w:rsidR="008636D6" w:rsidRPr="00033E65" w14:paraId="2D7E75A3" w14:textId="77777777">
        <w:trPr>
          <w:trHeight w:val="441"/>
        </w:trPr>
        <w:tc>
          <w:tcPr>
            <w:tcW w:w="1518" w:type="dxa"/>
            <w:tcBorders>
              <w:top w:val="nil"/>
              <w:left w:val="double" w:sz="6" w:space="0" w:color="1F497D"/>
              <w:bottom w:val="double" w:sz="6" w:space="0" w:color="1F497D"/>
              <w:right w:val="double" w:sz="6" w:space="0" w:color="1F497D"/>
            </w:tcBorders>
            <w:shd w:val="clear" w:color="000000" w:fill="FFFFFF"/>
            <w:vAlign w:val="center"/>
            <w:hideMark/>
          </w:tcPr>
          <w:p w14:paraId="0F4D1527" w14:textId="77777777" w:rsidR="008636D6" w:rsidRPr="00033E65" w:rsidRDefault="008636D6">
            <w:pPr>
              <w:spacing w:before="0" w:after="0"/>
              <w:jc w:val="left"/>
              <w:rPr>
                <w:rFonts w:cs="Calibri"/>
                <w:color w:val="000000"/>
                <w:sz w:val="20"/>
                <w:lang w:eastAsia="es-CR"/>
              </w:rPr>
            </w:pPr>
            <w:r w:rsidRPr="00033E65">
              <w:rPr>
                <w:rFonts w:cs="Calibri"/>
                <w:color w:val="000000"/>
                <w:sz w:val="20"/>
                <w:lang w:eastAsia="es-CR"/>
              </w:rPr>
              <w:t>Servicio de parqueo</w:t>
            </w:r>
          </w:p>
        </w:tc>
        <w:tc>
          <w:tcPr>
            <w:tcW w:w="1389" w:type="dxa"/>
            <w:tcBorders>
              <w:top w:val="nil"/>
              <w:left w:val="nil"/>
              <w:bottom w:val="double" w:sz="6" w:space="0" w:color="1F497D"/>
              <w:right w:val="double" w:sz="6" w:space="0" w:color="1F497D"/>
            </w:tcBorders>
            <w:shd w:val="clear" w:color="auto" w:fill="auto"/>
            <w:noWrap/>
            <w:vAlign w:val="center"/>
            <w:hideMark/>
          </w:tcPr>
          <w:p w14:paraId="1B312CF2"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92" w:type="dxa"/>
            <w:tcBorders>
              <w:top w:val="nil"/>
              <w:left w:val="nil"/>
              <w:bottom w:val="double" w:sz="6" w:space="0" w:color="1F497D"/>
              <w:right w:val="double" w:sz="6" w:space="0" w:color="1F497D"/>
            </w:tcBorders>
            <w:shd w:val="clear" w:color="auto" w:fill="auto"/>
            <w:noWrap/>
            <w:vAlign w:val="center"/>
            <w:hideMark/>
          </w:tcPr>
          <w:p w14:paraId="48960719"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48" w:type="dxa"/>
            <w:tcBorders>
              <w:top w:val="nil"/>
              <w:left w:val="nil"/>
              <w:bottom w:val="double" w:sz="6" w:space="0" w:color="1F497D"/>
              <w:right w:val="double" w:sz="6" w:space="0" w:color="1F497D"/>
            </w:tcBorders>
            <w:shd w:val="clear" w:color="auto" w:fill="auto"/>
            <w:noWrap/>
            <w:vAlign w:val="center"/>
            <w:hideMark/>
          </w:tcPr>
          <w:p w14:paraId="3E9B12FD"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18" w:type="dxa"/>
            <w:tcBorders>
              <w:top w:val="nil"/>
              <w:left w:val="nil"/>
              <w:bottom w:val="double" w:sz="6" w:space="0" w:color="1F497D"/>
              <w:right w:val="double" w:sz="6" w:space="0" w:color="1F497D"/>
            </w:tcBorders>
            <w:shd w:val="clear" w:color="auto" w:fill="auto"/>
            <w:noWrap/>
            <w:vAlign w:val="center"/>
            <w:hideMark/>
          </w:tcPr>
          <w:p w14:paraId="5E3443A2"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17" w:type="dxa"/>
            <w:tcBorders>
              <w:top w:val="nil"/>
              <w:left w:val="nil"/>
              <w:bottom w:val="double" w:sz="6" w:space="0" w:color="1F497D"/>
              <w:right w:val="double" w:sz="6" w:space="0" w:color="1F497D"/>
            </w:tcBorders>
            <w:shd w:val="clear" w:color="auto" w:fill="auto"/>
            <w:noWrap/>
            <w:vAlign w:val="center"/>
            <w:hideMark/>
          </w:tcPr>
          <w:p w14:paraId="161381E2"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370" w:type="dxa"/>
            <w:tcBorders>
              <w:top w:val="nil"/>
              <w:left w:val="nil"/>
              <w:bottom w:val="double" w:sz="6" w:space="0" w:color="1F497D"/>
              <w:right w:val="double" w:sz="6" w:space="0" w:color="1F497D"/>
            </w:tcBorders>
            <w:shd w:val="clear" w:color="auto" w:fill="auto"/>
            <w:noWrap/>
            <w:vAlign w:val="center"/>
            <w:hideMark/>
          </w:tcPr>
          <w:p w14:paraId="056A8163"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c>
          <w:tcPr>
            <w:tcW w:w="1465" w:type="dxa"/>
            <w:tcBorders>
              <w:top w:val="nil"/>
              <w:left w:val="nil"/>
              <w:bottom w:val="double" w:sz="6" w:space="0" w:color="1F497D"/>
              <w:right w:val="double" w:sz="6" w:space="0" w:color="1F497D"/>
            </w:tcBorders>
            <w:shd w:val="clear" w:color="auto" w:fill="auto"/>
            <w:noWrap/>
            <w:vAlign w:val="center"/>
            <w:hideMark/>
          </w:tcPr>
          <w:p w14:paraId="61F274FA" w14:textId="77777777" w:rsidR="008636D6" w:rsidRPr="00033E65" w:rsidRDefault="008636D6">
            <w:pPr>
              <w:spacing w:before="0" w:after="0"/>
              <w:jc w:val="center"/>
              <w:rPr>
                <w:color w:val="000000"/>
                <w:sz w:val="20"/>
                <w:lang w:eastAsia="es-CR"/>
              </w:rPr>
            </w:pPr>
            <w:r w:rsidRPr="00033E65">
              <w:rPr>
                <w:rFonts w:ascii="Times New Roman" w:hAnsi="Times New Roman"/>
                <w:color w:val="000000"/>
                <w:sz w:val="20"/>
                <w:lang w:eastAsia="es-CR"/>
              </w:rPr>
              <w:t>₡</w:t>
            </w:r>
            <w:r w:rsidRPr="00033E65">
              <w:rPr>
                <w:color w:val="000000"/>
                <w:sz w:val="20"/>
                <w:lang w:eastAsia="es-CR"/>
              </w:rPr>
              <w:t xml:space="preserve">             -</w:t>
            </w:r>
          </w:p>
        </w:tc>
      </w:tr>
      <w:tr w:rsidR="008636D6" w:rsidRPr="00033E65" w14:paraId="6F4E0560" w14:textId="77777777">
        <w:trPr>
          <w:trHeight w:val="441"/>
        </w:trPr>
        <w:tc>
          <w:tcPr>
            <w:tcW w:w="1518" w:type="dxa"/>
            <w:tcBorders>
              <w:top w:val="nil"/>
              <w:left w:val="double" w:sz="6" w:space="0" w:color="0673A5"/>
              <w:bottom w:val="double" w:sz="6" w:space="0" w:color="0673A5"/>
              <w:right w:val="double" w:sz="6" w:space="0" w:color="0673A5"/>
            </w:tcBorders>
            <w:shd w:val="clear" w:color="000000" w:fill="DCE6F1"/>
            <w:noWrap/>
            <w:vAlign w:val="center"/>
            <w:hideMark/>
          </w:tcPr>
          <w:p w14:paraId="6773A762" w14:textId="77777777" w:rsidR="008636D6" w:rsidRPr="00033E65" w:rsidRDefault="008636D6">
            <w:pPr>
              <w:spacing w:before="0" w:after="0"/>
              <w:jc w:val="center"/>
              <w:rPr>
                <w:rFonts w:cs="Calibri"/>
                <w:b/>
                <w:bCs/>
                <w:color w:val="000000"/>
                <w:sz w:val="20"/>
                <w:lang w:eastAsia="es-CR"/>
              </w:rPr>
            </w:pPr>
            <w:r w:rsidRPr="00033E65">
              <w:rPr>
                <w:rFonts w:cs="Calibri"/>
                <w:b/>
                <w:bCs/>
                <w:color w:val="000000"/>
                <w:sz w:val="20"/>
                <w:lang w:eastAsia="es-CR"/>
              </w:rPr>
              <w:t>Sub-total</w:t>
            </w:r>
          </w:p>
        </w:tc>
        <w:tc>
          <w:tcPr>
            <w:tcW w:w="1389" w:type="dxa"/>
            <w:tcBorders>
              <w:top w:val="nil"/>
              <w:left w:val="nil"/>
              <w:bottom w:val="double" w:sz="6" w:space="0" w:color="1F497D"/>
              <w:right w:val="double" w:sz="6" w:space="0" w:color="1F497D"/>
            </w:tcBorders>
            <w:shd w:val="clear" w:color="auto" w:fill="auto"/>
            <w:noWrap/>
            <w:vAlign w:val="center"/>
            <w:hideMark/>
          </w:tcPr>
          <w:p w14:paraId="5AE94B24" w14:textId="77777777" w:rsidR="008636D6" w:rsidRPr="00033E65" w:rsidRDefault="008636D6">
            <w:pPr>
              <w:spacing w:before="0" w:after="0"/>
              <w:jc w:val="center"/>
              <w:rPr>
                <w:b/>
                <w:bCs/>
                <w:color w:val="000000"/>
                <w:sz w:val="18"/>
                <w:szCs w:val="18"/>
                <w:lang w:eastAsia="es-CR"/>
              </w:rPr>
            </w:pPr>
            <w:r w:rsidRPr="00033E65">
              <w:rPr>
                <w:rFonts w:ascii="Times New Roman" w:hAnsi="Times New Roman"/>
                <w:b/>
                <w:bCs/>
                <w:color w:val="000000"/>
                <w:sz w:val="18"/>
                <w:szCs w:val="18"/>
                <w:lang w:eastAsia="es-CR"/>
              </w:rPr>
              <w:t>₡</w:t>
            </w:r>
            <w:r w:rsidRPr="00033E65">
              <w:rPr>
                <w:b/>
                <w:bCs/>
                <w:color w:val="000000"/>
                <w:sz w:val="18"/>
                <w:szCs w:val="18"/>
                <w:lang w:eastAsia="es-CR"/>
              </w:rPr>
              <w:t>27 951 672, 59</w:t>
            </w:r>
          </w:p>
        </w:tc>
        <w:tc>
          <w:tcPr>
            <w:tcW w:w="1392" w:type="dxa"/>
            <w:tcBorders>
              <w:top w:val="nil"/>
              <w:left w:val="nil"/>
              <w:bottom w:val="double" w:sz="6" w:space="0" w:color="1F497D"/>
              <w:right w:val="double" w:sz="6" w:space="0" w:color="1F497D"/>
            </w:tcBorders>
            <w:shd w:val="clear" w:color="auto" w:fill="auto"/>
            <w:noWrap/>
            <w:vAlign w:val="center"/>
            <w:hideMark/>
          </w:tcPr>
          <w:p w14:paraId="42F49D89" w14:textId="77777777" w:rsidR="008636D6" w:rsidRPr="00033E65" w:rsidRDefault="008636D6">
            <w:pPr>
              <w:spacing w:before="0" w:after="0"/>
              <w:jc w:val="center"/>
              <w:rPr>
                <w:b/>
                <w:bCs/>
                <w:color w:val="000000"/>
                <w:sz w:val="18"/>
                <w:szCs w:val="18"/>
                <w:lang w:eastAsia="es-CR"/>
              </w:rPr>
            </w:pPr>
            <w:r w:rsidRPr="00033E65">
              <w:rPr>
                <w:rFonts w:ascii="Times New Roman" w:hAnsi="Times New Roman"/>
                <w:b/>
                <w:bCs/>
                <w:color w:val="000000"/>
                <w:sz w:val="18"/>
                <w:szCs w:val="18"/>
                <w:lang w:eastAsia="es-CR"/>
              </w:rPr>
              <w:t>₡</w:t>
            </w:r>
            <w:r w:rsidRPr="00033E65">
              <w:rPr>
                <w:b/>
                <w:bCs/>
                <w:color w:val="000000"/>
                <w:sz w:val="18"/>
                <w:szCs w:val="18"/>
                <w:lang w:eastAsia="es-CR"/>
              </w:rPr>
              <w:t>28 021 438, 79</w:t>
            </w:r>
          </w:p>
        </w:tc>
        <w:tc>
          <w:tcPr>
            <w:tcW w:w="1348" w:type="dxa"/>
            <w:tcBorders>
              <w:top w:val="nil"/>
              <w:left w:val="nil"/>
              <w:bottom w:val="double" w:sz="6" w:space="0" w:color="1F497D"/>
              <w:right w:val="double" w:sz="6" w:space="0" w:color="1F497D"/>
            </w:tcBorders>
            <w:shd w:val="clear" w:color="auto" w:fill="auto"/>
            <w:noWrap/>
            <w:vAlign w:val="center"/>
            <w:hideMark/>
          </w:tcPr>
          <w:p w14:paraId="3D4C7B78" w14:textId="77777777" w:rsidR="008636D6" w:rsidRPr="00033E65" w:rsidRDefault="008636D6">
            <w:pPr>
              <w:spacing w:before="0" w:after="0"/>
              <w:jc w:val="center"/>
              <w:rPr>
                <w:b/>
                <w:bCs/>
                <w:color w:val="000000"/>
                <w:sz w:val="18"/>
                <w:szCs w:val="18"/>
                <w:lang w:eastAsia="es-CR"/>
              </w:rPr>
            </w:pPr>
            <w:r w:rsidRPr="00033E65">
              <w:rPr>
                <w:rFonts w:ascii="Times New Roman" w:hAnsi="Times New Roman"/>
                <w:b/>
                <w:bCs/>
                <w:color w:val="000000"/>
                <w:sz w:val="18"/>
                <w:szCs w:val="18"/>
                <w:lang w:eastAsia="es-CR"/>
              </w:rPr>
              <w:t>₡</w:t>
            </w:r>
            <w:r w:rsidRPr="00033E65">
              <w:rPr>
                <w:b/>
                <w:bCs/>
                <w:color w:val="000000"/>
                <w:sz w:val="18"/>
                <w:szCs w:val="18"/>
                <w:lang w:eastAsia="es-CR"/>
              </w:rPr>
              <w:t>26 354 914, 79</w:t>
            </w:r>
          </w:p>
        </w:tc>
        <w:tc>
          <w:tcPr>
            <w:tcW w:w="1418" w:type="dxa"/>
            <w:tcBorders>
              <w:top w:val="nil"/>
              <w:left w:val="nil"/>
              <w:bottom w:val="double" w:sz="6" w:space="0" w:color="1F497D"/>
              <w:right w:val="double" w:sz="6" w:space="0" w:color="1F497D"/>
            </w:tcBorders>
            <w:shd w:val="clear" w:color="auto" w:fill="auto"/>
            <w:noWrap/>
            <w:vAlign w:val="center"/>
            <w:hideMark/>
          </w:tcPr>
          <w:p w14:paraId="3A29773F" w14:textId="77777777" w:rsidR="008636D6" w:rsidRPr="00033E65" w:rsidRDefault="008636D6">
            <w:pPr>
              <w:spacing w:before="0" w:after="0"/>
              <w:jc w:val="center"/>
              <w:rPr>
                <w:b/>
                <w:bCs/>
                <w:color w:val="000000"/>
                <w:sz w:val="18"/>
                <w:szCs w:val="18"/>
                <w:lang w:eastAsia="es-CR"/>
              </w:rPr>
            </w:pPr>
            <w:r w:rsidRPr="00033E65">
              <w:rPr>
                <w:rFonts w:ascii="Times New Roman" w:hAnsi="Times New Roman"/>
                <w:b/>
                <w:bCs/>
                <w:color w:val="000000"/>
                <w:sz w:val="18"/>
                <w:szCs w:val="18"/>
                <w:lang w:eastAsia="es-CR"/>
              </w:rPr>
              <w:t>₡</w:t>
            </w:r>
            <w:r w:rsidRPr="00033E65">
              <w:rPr>
                <w:b/>
                <w:bCs/>
                <w:color w:val="000000"/>
                <w:sz w:val="18"/>
                <w:szCs w:val="18"/>
                <w:lang w:eastAsia="es-CR"/>
              </w:rPr>
              <w:t>26 371 864, 79</w:t>
            </w:r>
          </w:p>
        </w:tc>
        <w:tc>
          <w:tcPr>
            <w:tcW w:w="1417" w:type="dxa"/>
            <w:tcBorders>
              <w:top w:val="nil"/>
              <w:left w:val="nil"/>
              <w:bottom w:val="double" w:sz="6" w:space="0" w:color="1F497D"/>
              <w:right w:val="double" w:sz="6" w:space="0" w:color="1F497D"/>
            </w:tcBorders>
            <w:shd w:val="clear" w:color="auto" w:fill="auto"/>
            <w:noWrap/>
            <w:vAlign w:val="center"/>
            <w:hideMark/>
          </w:tcPr>
          <w:p w14:paraId="63D07EC1" w14:textId="77777777" w:rsidR="008636D6" w:rsidRPr="00033E65" w:rsidRDefault="008636D6">
            <w:pPr>
              <w:spacing w:before="0" w:after="0"/>
              <w:jc w:val="center"/>
              <w:rPr>
                <w:b/>
                <w:bCs/>
                <w:color w:val="000000"/>
                <w:sz w:val="18"/>
                <w:szCs w:val="18"/>
                <w:lang w:eastAsia="es-CR"/>
              </w:rPr>
            </w:pPr>
            <w:r w:rsidRPr="00033E65">
              <w:rPr>
                <w:rFonts w:ascii="Times New Roman" w:hAnsi="Times New Roman"/>
                <w:b/>
                <w:bCs/>
                <w:color w:val="000000"/>
                <w:sz w:val="18"/>
                <w:szCs w:val="18"/>
                <w:lang w:eastAsia="es-CR"/>
              </w:rPr>
              <w:t>₡</w:t>
            </w:r>
            <w:r w:rsidRPr="00033E65">
              <w:rPr>
                <w:b/>
                <w:bCs/>
                <w:color w:val="000000"/>
                <w:sz w:val="18"/>
                <w:szCs w:val="18"/>
                <w:lang w:eastAsia="es-CR"/>
              </w:rPr>
              <w:t>26 659 788,79</w:t>
            </w:r>
          </w:p>
        </w:tc>
        <w:tc>
          <w:tcPr>
            <w:tcW w:w="1370" w:type="dxa"/>
            <w:tcBorders>
              <w:top w:val="nil"/>
              <w:left w:val="nil"/>
              <w:bottom w:val="double" w:sz="6" w:space="0" w:color="1F497D"/>
              <w:right w:val="double" w:sz="6" w:space="0" w:color="1F497D"/>
            </w:tcBorders>
            <w:shd w:val="clear" w:color="auto" w:fill="auto"/>
            <w:noWrap/>
            <w:vAlign w:val="center"/>
            <w:hideMark/>
          </w:tcPr>
          <w:p w14:paraId="509BAE45" w14:textId="77777777" w:rsidR="008636D6" w:rsidRPr="00033E65" w:rsidRDefault="008636D6">
            <w:pPr>
              <w:spacing w:before="0" w:after="0"/>
              <w:jc w:val="center"/>
              <w:rPr>
                <w:b/>
                <w:bCs/>
                <w:color w:val="000000"/>
                <w:sz w:val="18"/>
                <w:szCs w:val="18"/>
                <w:lang w:eastAsia="es-CR"/>
              </w:rPr>
            </w:pPr>
            <w:r w:rsidRPr="00033E65">
              <w:rPr>
                <w:rFonts w:ascii="Times New Roman" w:hAnsi="Times New Roman"/>
                <w:b/>
                <w:bCs/>
                <w:color w:val="000000"/>
                <w:sz w:val="18"/>
                <w:szCs w:val="18"/>
                <w:lang w:eastAsia="es-CR"/>
              </w:rPr>
              <w:t>₡</w:t>
            </w:r>
            <w:r w:rsidRPr="00033E65">
              <w:rPr>
                <w:b/>
                <w:bCs/>
                <w:color w:val="000000"/>
                <w:sz w:val="18"/>
                <w:szCs w:val="18"/>
                <w:lang w:eastAsia="es-CR"/>
              </w:rPr>
              <w:t>26 659 788,79</w:t>
            </w:r>
          </w:p>
        </w:tc>
        <w:tc>
          <w:tcPr>
            <w:tcW w:w="1465" w:type="dxa"/>
            <w:tcBorders>
              <w:top w:val="nil"/>
              <w:left w:val="nil"/>
              <w:bottom w:val="double" w:sz="6" w:space="0" w:color="1F497D"/>
              <w:right w:val="double" w:sz="6" w:space="0" w:color="1F497D"/>
            </w:tcBorders>
            <w:shd w:val="clear" w:color="auto" w:fill="auto"/>
            <w:noWrap/>
            <w:vAlign w:val="center"/>
            <w:hideMark/>
          </w:tcPr>
          <w:p w14:paraId="7F796614" w14:textId="77777777" w:rsidR="008636D6" w:rsidRPr="00033E65" w:rsidRDefault="008636D6">
            <w:pPr>
              <w:spacing w:before="0" w:after="0"/>
              <w:jc w:val="center"/>
              <w:rPr>
                <w:b/>
                <w:bCs/>
                <w:color w:val="000000"/>
                <w:sz w:val="18"/>
                <w:szCs w:val="18"/>
                <w:lang w:eastAsia="es-CR"/>
              </w:rPr>
            </w:pPr>
            <w:r w:rsidRPr="00033E65">
              <w:rPr>
                <w:rFonts w:ascii="Times New Roman" w:hAnsi="Times New Roman"/>
                <w:b/>
                <w:bCs/>
                <w:color w:val="000000"/>
                <w:sz w:val="18"/>
                <w:szCs w:val="18"/>
                <w:lang w:eastAsia="es-CR"/>
              </w:rPr>
              <w:t>₡</w:t>
            </w:r>
            <w:r w:rsidRPr="00033E65">
              <w:rPr>
                <w:b/>
                <w:bCs/>
                <w:color w:val="000000"/>
                <w:sz w:val="18"/>
                <w:szCs w:val="18"/>
                <w:lang w:eastAsia="es-CR"/>
              </w:rPr>
              <w:t>162 019 468,54</w:t>
            </w:r>
          </w:p>
        </w:tc>
      </w:tr>
    </w:tbl>
    <w:p w14:paraId="29F74FB0" w14:textId="1E60EFF4" w:rsidR="00EC5306" w:rsidRDefault="008636D6" w:rsidP="00EC5306">
      <w:pPr>
        <w:pStyle w:val="Ttulo"/>
        <w:spacing w:before="0" w:after="0"/>
        <w:rPr>
          <w:rFonts w:eastAsia="Times New Roman" w:cs="Arial"/>
          <w:b w:val="0"/>
          <w:bCs/>
          <w:i/>
          <w:iCs/>
          <w:color w:val="auto"/>
          <w:spacing w:val="0"/>
          <w:sz w:val="18"/>
          <w:szCs w:val="18"/>
          <w:lang w:val="es-CR" w:eastAsia="es-ES"/>
        </w:rPr>
      </w:pPr>
      <w:r w:rsidRPr="00033E65">
        <w:rPr>
          <w:rFonts w:eastAsia="Times New Roman" w:cs="Arial"/>
          <w:b w:val="0"/>
          <w:bCs/>
          <w:i/>
          <w:iCs/>
          <w:color w:val="auto"/>
          <w:spacing w:val="0"/>
          <w:sz w:val="18"/>
          <w:szCs w:val="18"/>
          <w:lang w:val="es-CR" w:eastAsia="es-ES"/>
        </w:rPr>
        <w:t xml:space="preserve">Fuente: Costos por Administración Regional según datos suministrados por la Dirección Ejecutiva, según actualización de costos de la reforma agraria presupuesto 2024. </w:t>
      </w:r>
    </w:p>
    <w:p w14:paraId="40416F6D" w14:textId="77777777" w:rsidR="00EC5306" w:rsidRDefault="00EC5306" w:rsidP="00EC5306">
      <w:pPr>
        <w:pStyle w:val="Ttulo"/>
        <w:spacing w:before="0" w:after="0"/>
        <w:rPr>
          <w:rFonts w:eastAsia="Times New Roman" w:cs="Arial"/>
          <w:b w:val="0"/>
          <w:bCs/>
          <w:i/>
          <w:iCs/>
          <w:color w:val="auto"/>
          <w:spacing w:val="0"/>
          <w:sz w:val="18"/>
          <w:szCs w:val="18"/>
          <w:lang w:val="es-CR" w:eastAsia="es-ES"/>
        </w:rPr>
      </w:pPr>
    </w:p>
    <w:p w14:paraId="34329226" w14:textId="02BD8053" w:rsidR="00662D95" w:rsidRPr="00EC5306" w:rsidRDefault="00EC5306" w:rsidP="00EC5306">
      <w:pPr>
        <w:pStyle w:val="Sinespaciado"/>
      </w:pPr>
      <w:r w:rsidRPr="00EC5306">
        <w:t>20</w:t>
      </w:r>
      <w:r w:rsidR="00EA08C7" w:rsidRPr="00EC5306">
        <w:t>.2</w:t>
      </w:r>
      <w:r w:rsidR="00EA08C7" w:rsidRPr="00033E65">
        <w:t xml:space="preserve"> </w:t>
      </w:r>
      <w:r w:rsidR="00662D95" w:rsidRPr="00EC5306">
        <w:t xml:space="preserve">Valorar el riesgo de </w:t>
      </w:r>
      <w:r w:rsidR="004C0BBA" w:rsidRPr="00EC5306">
        <w:t>las situaciones</w:t>
      </w:r>
      <w:r w:rsidR="00662D95" w:rsidRPr="00EC5306">
        <w:t xml:space="preserve"> de los Juzgados Agrarios, en los </w:t>
      </w:r>
      <w:r w:rsidR="004C0BBA" w:rsidRPr="00EC5306">
        <w:t>cuales, a diciembre del 202</w:t>
      </w:r>
      <w:r w:rsidR="00E04E78" w:rsidRPr="00EC5306">
        <w:t>2</w:t>
      </w:r>
      <w:r w:rsidR="004C0BBA" w:rsidRPr="00EC5306">
        <w:t>,</w:t>
      </w:r>
      <w:r w:rsidR="009D653F" w:rsidRPr="00EC5306">
        <w:t xml:space="preserve"> </w:t>
      </w:r>
      <w:r w:rsidR="004C0BBA" w:rsidRPr="00EC5306">
        <w:t xml:space="preserve">con base a </w:t>
      </w:r>
      <w:r w:rsidR="009D653F" w:rsidRPr="00EC5306">
        <w:t>las matrices</w:t>
      </w:r>
      <w:r w:rsidR="004C0BBA" w:rsidRPr="00EC5306">
        <w:t xml:space="preserve"> de indicadores, </w:t>
      </w:r>
      <w:r w:rsidR="008426FB" w:rsidRPr="00EC5306">
        <w:t>nueve</w:t>
      </w:r>
      <w:r w:rsidR="004C0BBA" w:rsidRPr="00EC5306">
        <w:t xml:space="preserve"> despachos obtuvieron calificación D, </w:t>
      </w:r>
      <w:r w:rsidR="008426FB" w:rsidRPr="00EC5306">
        <w:t>siete</w:t>
      </w:r>
      <w:r w:rsidR="004C0BBA" w:rsidRPr="00EC5306">
        <w:t xml:space="preserve"> con nota E</w:t>
      </w:r>
      <w:r w:rsidR="008426FB" w:rsidRPr="00EC5306">
        <w:t>, es decir todos los despachos registran calificaciones críticas</w:t>
      </w:r>
      <w:r w:rsidR="004C0BBA" w:rsidRPr="00EC5306">
        <w:t>. Ad</w:t>
      </w:r>
      <w:r w:rsidR="00662D95" w:rsidRPr="00EC5306">
        <w:t xml:space="preserve">icionalmente </w:t>
      </w:r>
      <w:r w:rsidR="009D653F" w:rsidRPr="00EC5306">
        <w:t>es importante indicar el crecimiento del circulante para el 202</w:t>
      </w:r>
      <w:r w:rsidR="008426FB" w:rsidRPr="00EC5306">
        <w:t>2</w:t>
      </w:r>
      <w:r w:rsidR="009D653F" w:rsidRPr="00EC5306">
        <w:t xml:space="preserve"> </w:t>
      </w:r>
      <w:r w:rsidR="008426FB" w:rsidRPr="00EC5306">
        <w:t xml:space="preserve">en </w:t>
      </w:r>
      <w:r w:rsidR="00A632BD" w:rsidRPr="00EC5306">
        <w:t>comparación</w:t>
      </w:r>
      <w:r w:rsidR="009D653F" w:rsidRPr="00EC5306">
        <w:t xml:space="preserve"> al 2020. Según informe 1360-PLA-MI-2021, la Jurisdicción Agraria es la que tiene el porcentaje más bajo en la efectividad de las audiencias</w:t>
      </w:r>
      <w:r w:rsidR="00A632BD" w:rsidRPr="00EC5306">
        <w:t>, obteniendo</w:t>
      </w:r>
      <w:r w:rsidR="009D653F" w:rsidRPr="00EC5306">
        <w:t xml:space="preserve"> un 42%</w:t>
      </w:r>
      <w:r w:rsidR="00A632BD" w:rsidRPr="00EC5306">
        <w:t>, el cual se considera crítico y podría atentar contra la implementación del Código Procesal Agrario.</w:t>
      </w:r>
      <w:r w:rsidR="00290366" w:rsidRPr="00EC5306">
        <w:t xml:space="preserve"> </w:t>
      </w:r>
      <w:r w:rsidR="008464CF" w:rsidRPr="00EC5306">
        <w:t xml:space="preserve">La situación de las audiencias fue nuevamente </w:t>
      </w:r>
      <w:r w:rsidRPr="00EC5306">
        <w:t>analizada</w:t>
      </w:r>
      <w:r w:rsidR="008464CF" w:rsidRPr="00EC5306">
        <w:t xml:space="preserve"> con datos a diciembre 2022, y los valores de efectividad </w:t>
      </w:r>
      <w:r w:rsidR="004A5B89" w:rsidRPr="00EC5306">
        <w:t>se mantienen.</w:t>
      </w:r>
    </w:p>
    <w:p w14:paraId="4548B7CA" w14:textId="7DFF74B6" w:rsidR="00D6168C" w:rsidRPr="00EC5306" w:rsidRDefault="00EC5306" w:rsidP="00EC5306">
      <w:pPr>
        <w:spacing w:before="0" w:after="160" w:line="259" w:lineRule="auto"/>
        <w:jc w:val="left"/>
        <w:rPr>
          <w:bCs/>
          <w:sz w:val="24"/>
          <w:szCs w:val="24"/>
        </w:rPr>
      </w:pPr>
      <w:r>
        <w:rPr>
          <w:bCs/>
          <w:sz w:val="24"/>
          <w:szCs w:val="24"/>
        </w:rPr>
        <w:br w:type="page"/>
      </w:r>
    </w:p>
    <w:tbl>
      <w:tblPr>
        <w:tblW w:w="5000" w:type="pct"/>
        <w:tblCellMar>
          <w:left w:w="70" w:type="dxa"/>
          <w:right w:w="70" w:type="dxa"/>
        </w:tblCellMar>
        <w:tblLook w:val="04A0" w:firstRow="1" w:lastRow="0" w:firstColumn="1" w:lastColumn="0" w:noHBand="0" w:noVBand="1"/>
      </w:tblPr>
      <w:tblGrid>
        <w:gridCol w:w="1430"/>
        <w:gridCol w:w="1350"/>
        <w:gridCol w:w="1000"/>
        <w:gridCol w:w="1277"/>
        <w:gridCol w:w="3781"/>
      </w:tblGrid>
      <w:tr w:rsidR="00791E0F" w:rsidRPr="00033E65" w14:paraId="6E8C4962" w14:textId="77777777" w:rsidTr="00230EC8">
        <w:trPr>
          <w:trHeight w:val="405"/>
        </w:trPr>
        <w:tc>
          <w:tcPr>
            <w:tcW w:w="5000" w:type="pct"/>
            <w:gridSpan w:val="5"/>
            <w:tcBorders>
              <w:top w:val="nil"/>
              <w:left w:val="nil"/>
              <w:bottom w:val="nil"/>
              <w:right w:val="nil"/>
            </w:tcBorders>
            <w:shd w:val="clear" w:color="auto" w:fill="auto"/>
            <w:noWrap/>
            <w:vAlign w:val="center"/>
            <w:hideMark/>
          </w:tcPr>
          <w:p w14:paraId="4C337E97" w14:textId="77777777" w:rsidR="00791E0F" w:rsidRPr="00033E65" w:rsidRDefault="00791E0F" w:rsidP="00EC5306">
            <w:pPr>
              <w:spacing w:before="0" w:after="0"/>
              <w:jc w:val="center"/>
              <w:rPr>
                <w:rFonts w:cs="Calibri"/>
                <w:b/>
                <w:bCs/>
                <w:color w:val="000000"/>
                <w:sz w:val="24"/>
                <w:szCs w:val="24"/>
                <w:lang w:eastAsia="es-CR"/>
              </w:rPr>
            </w:pPr>
            <w:r w:rsidRPr="00033E65">
              <w:rPr>
                <w:rFonts w:cs="Calibri"/>
                <w:b/>
                <w:bCs/>
                <w:color w:val="000000"/>
                <w:sz w:val="24"/>
                <w:szCs w:val="24"/>
                <w:lang w:eastAsia="es-CR"/>
              </w:rPr>
              <w:t>Modelo de Análisis Integral del Circuito Judicial</w:t>
            </w:r>
          </w:p>
        </w:tc>
      </w:tr>
      <w:tr w:rsidR="00791E0F" w:rsidRPr="00033E65" w14:paraId="646CBE19" w14:textId="77777777" w:rsidTr="00230EC8">
        <w:trPr>
          <w:trHeight w:val="405"/>
        </w:trPr>
        <w:tc>
          <w:tcPr>
            <w:tcW w:w="5000" w:type="pct"/>
            <w:gridSpan w:val="5"/>
            <w:tcBorders>
              <w:top w:val="nil"/>
              <w:left w:val="nil"/>
              <w:bottom w:val="single" w:sz="4" w:space="0" w:color="auto"/>
              <w:right w:val="nil"/>
            </w:tcBorders>
            <w:shd w:val="clear" w:color="auto" w:fill="auto"/>
            <w:noWrap/>
            <w:vAlign w:val="center"/>
            <w:hideMark/>
          </w:tcPr>
          <w:p w14:paraId="16E82F56" w14:textId="11BF968E" w:rsidR="00791E0F" w:rsidRPr="00033E65" w:rsidRDefault="00791E0F" w:rsidP="00EC5306">
            <w:pPr>
              <w:spacing w:before="0" w:after="0"/>
              <w:jc w:val="center"/>
              <w:rPr>
                <w:rFonts w:cs="Calibri"/>
                <w:b/>
                <w:bCs/>
                <w:color w:val="000000"/>
                <w:sz w:val="24"/>
                <w:szCs w:val="24"/>
                <w:lang w:eastAsia="es-CR"/>
              </w:rPr>
            </w:pPr>
            <w:r w:rsidRPr="00033E65">
              <w:rPr>
                <w:rFonts w:cs="Calibri"/>
                <w:b/>
                <w:bCs/>
                <w:color w:val="000000"/>
                <w:sz w:val="24"/>
                <w:szCs w:val="24"/>
                <w:lang w:eastAsia="es-CR"/>
              </w:rPr>
              <w:t>Herramienta para evaluar los resultados integralmente</w:t>
            </w:r>
          </w:p>
        </w:tc>
      </w:tr>
      <w:tr w:rsidR="00791E0F" w:rsidRPr="00033E65" w14:paraId="56F9453A" w14:textId="77777777" w:rsidTr="00791E0F">
        <w:trPr>
          <w:trHeight w:val="840"/>
        </w:trPr>
        <w:tc>
          <w:tcPr>
            <w:tcW w:w="854" w:type="pct"/>
            <w:tcBorders>
              <w:top w:val="nil"/>
              <w:left w:val="single" w:sz="4" w:space="0" w:color="auto"/>
              <w:bottom w:val="single" w:sz="4" w:space="0" w:color="auto"/>
              <w:right w:val="single" w:sz="4" w:space="0" w:color="auto"/>
            </w:tcBorders>
            <w:shd w:val="clear" w:color="CCFFCC" w:fill="D9D9D9"/>
            <w:vAlign w:val="center"/>
            <w:hideMark/>
          </w:tcPr>
          <w:p w14:paraId="3AC5A657" w14:textId="77777777" w:rsidR="00791E0F" w:rsidRPr="00033E65" w:rsidRDefault="00791E0F" w:rsidP="00791E0F">
            <w:pPr>
              <w:spacing w:before="0" w:after="0"/>
              <w:jc w:val="center"/>
              <w:rPr>
                <w:rFonts w:cs="Calibri"/>
                <w:b/>
                <w:bCs/>
                <w:color w:val="000000"/>
                <w:szCs w:val="22"/>
                <w:lang w:eastAsia="es-CR"/>
              </w:rPr>
            </w:pPr>
            <w:r w:rsidRPr="00033E65">
              <w:rPr>
                <w:rFonts w:cs="Calibri"/>
                <w:b/>
                <w:bCs/>
                <w:color w:val="000000"/>
                <w:szCs w:val="22"/>
                <w:lang w:eastAsia="es-CR"/>
              </w:rPr>
              <w:t>Definición Breve</w:t>
            </w:r>
          </w:p>
        </w:tc>
        <w:tc>
          <w:tcPr>
            <w:tcW w:w="526" w:type="pct"/>
            <w:tcBorders>
              <w:top w:val="nil"/>
              <w:left w:val="nil"/>
              <w:bottom w:val="single" w:sz="4" w:space="0" w:color="auto"/>
              <w:right w:val="single" w:sz="4" w:space="0" w:color="auto"/>
            </w:tcBorders>
            <w:shd w:val="clear" w:color="CCFFCC" w:fill="D9D9D9"/>
            <w:vAlign w:val="center"/>
            <w:hideMark/>
          </w:tcPr>
          <w:p w14:paraId="4B8B289A" w14:textId="7766714F" w:rsidR="00791E0F" w:rsidRPr="00033E65" w:rsidRDefault="00791E0F" w:rsidP="00791E0F">
            <w:pPr>
              <w:spacing w:before="0" w:after="0"/>
              <w:jc w:val="center"/>
              <w:rPr>
                <w:rFonts w:cs="Calibri"/>
                <w:b/>
                <w:bCs/>
                <w:color w:val="000000"/>
                <w:szCs w:val="22"/>
                <w:lang w:eastAsia="es-CR"/>
              </w:rPr>
            </w:pPr>
            <w:r w:rsidRPr="00033E65">
              <w:rPr>
                <w:rFonts w:cs="Calibri"/>
                <w:b/>
                <w:bCs/>
                <w:color w:val="000000"/>
                <w:szCs w:val="22"/>
                <w:lang w:eastAsia="es-CR"/>
              </w:rPr>
              <w:t>Calificación</w:t>
            </w:r>
          </w:p>
        </w:tc>
        <w:tc>
          <w:tcPr>
            <w:tcW w:w="709" w:type="pct"/>
            <w:tcBorders>
              <w:top w:val="nil"/>
              <w:left w:val="nil"/>
              <w:bottom w:val="single" w:sz="4" w:space="0" w:color="auto"/>
              <w:right w:val="single" w:sz="4" w:space="0" w:color="auto"/>
            </w:tcBorders>
            <w:shd w:val="clear" w:color="CCFFCC" w:fill="D9D9D9"/>
            <w:vAlign w:val="center"/>
            <w:hideMark/>
          </w:tcPr>
          <w:p w14:paraId="34A18359" w14:textId="77777777" w:rsidR="00791E0F" w:rsidRPr="00033E65" w:rsidRDefault="00791E0F" w:rsidP="00791E0F">
            <w:pPr>
              <w:spacing w:before="0" w:after="0"/>
              <w:jc w:val="center"/>
              <w:rPr>
                <w:rFonts w:cs="Calibri"/>
                <w:b/>
                <w:bCs/>
                <w:color w:val="000000"/>
                <w:szCs w:val="22"/>
                <w:lang w:eastAsia="es-CR"/>
              </w:rPr>
            </w:pPr>
            <w:r w:rsidRPr="00033E65">
              <w:rPr>
                <w:rFonts w:cs="Calibri"/>
                <w:b/>
                <w:bCs/>
                <w:color w:val="000000"/>
                <w:szCs w:val="22"/>
                <w:lang w:eastAsia="es-CR"/>
              </w:rPr>
              <w:t xml:space="preserve">Cant. indic. en color rojo </w:t>
            </w:r>
            <w:r w:rsidRPr="00033E65">
              <w:rPr>
                <w:rFonts w:cs="Calibri"/>
                <w:b/>
                <w:bCs/>
                <w:color w:val="000000"/>
                <w:szCs w:val="22"/>
                <w:lang w:eastAsia="es-CR"/>
              </w:rPr>
              <w:br/>
              <w:t>(oport. de mejora)</w:t>
            </w:r>
          </w:p>
        </w:tc>
        <w:tc>
          <w:tcPr>
            <w:tcW w:w="678" w:type="pct"/>
            <w:tcBorders>
              <w:top w:val="nil"/>
              <w:left w:val="nil"/>
              <w:bottom w:val="single" w:sz="4" w:space="0" w:color="auto"/>
              <w:right w:val="single" w:sz="4" w:space="0" w:color="auto"/>
            </w:tcBorders>
            <w:shd w:val="clear" w:color="CCFFCC" w:fill="D9D9D9"/>
            <w:vAlign w:val="center"/>
            <w:hideMark/>
          </w:tcPr>
          <w:p w14:paraId="3338BA49" w14:textId="77777777" w:rsidR="00791E0F" w:rsidRPr="00033E65" w:rsidRDefault="00791E0F" w:rsidP="00791E0F">
            <w:pPr>
              <w:spacing w:before="0" w:after="0"/>
              <w:jc w:val="center"/>
              <w:rPr>
                <w:rFonts w:cs="Calibri"/>
                <w:b/>
                <w:bCs/>
                <w:color w:val="000000"/>
                <w:szCs w:val="22"/>
                <w:lang w:eastAsia="es-CR"/>
              </w:rPr>
            </w:pPr>
            <w:r w:rsidRPr="00033E65">
              <w:rPr>
                <w:rFonts w:cs="Calibri"/>
                <w:b/>
                <w:bCs/>
                <w:color w:val="000000"/>
                <w:szCs w:val="22"/>
                <w:lang w:eastAsia="es-CR"/>
              </w:rPr>
              <w:t>Diferencia de rango establecido</w:t>
            </w:r>
          </w:p>
        </w:tc>
        <w:tc>
          <w:tcPr>
            <w:tcW w:w="2233" w:type="pct"/>
            <w:tcBorders>
              <w:top w:val="nil"/>
              <w:left w:val="nil"/>
              <w:bottom w:val="single" w:sz="4" w:space="0" w:color="auto"/>
              <w:right w:val="single" w:sz="4" w:space="0" w:color="auto"/>
            </w:tcBorders>
            <w:shd w:val="clear" w:color="CCFFCC" w:fill="D9D9D9"/>
            <w:vAlign w:val="center"/>
            <w:hideMark/>
          </w:tcPr>
          <w:p w14:paraId="224F4AE7" w14:textId="77777777" w:rsidR="00791E0F" w:rsidRPr="00033E65" w:rsidRDefault="00791E0F" w:rsidP="00791E0F">
            <w:pPr>
              <w:spacing w:before="0" w:after="0"/>
              <w:jc w:val="center"/>
              <w:rPr>
                <w:rFonts w:cs="Calibri"/>
                <w:b/>
                <w:bCs/>
                <w:color w:val="000000"/>
                <w:szCs w:val="22"/>
                <w:lang w:eastAsia="es-CR"/>
              </w:rPr>
            </w:pPr>
            <w:r w:rsidRPr="00033E65">
              <w:rPr>
                <w:rFonts w:cs="Calibri"/>
                <w:b/>
                <w:bCs/>
                <w:color w:val="000000"/>
                <w:szCs w:val="22"/>
                <w:lang w:eastAsia="es-CR"/>
              </w:rPr>
              <w:t>Observaciones</w:t>
            </w:r>
          </w:p>
        </w:tc>
      </w:tr>
      <w:tr w:rsidR="00791E0F" w:rsidRPr="00033E65" w14:paraId="1D3B95A7" w14:textId="77777777" w:rsidTr="00791E0F">
        <w:trPr>
          <w:trHeight w:val="1260"/>
        </w:trPr>
        <w:tc>
          <w:tcPr>
            <w:tcW w:w="854" w:type="pct"/>
            <w:tcBorders>
              <w:top w:val="nil"/>
              <w:left w:val="single" w:sz="4" w:space="0" w:color="auto"/>
              <w:bottom w:val="single" w:sz="4" w:space="0" w:color="auto"/>
              <w:right w:val="single" w:sz="4" w:space="0" w:color="auto"/>
            </w:tcBorders>
            <w:shd w:val="clear" w:color="auto" w:fill="auto"/>
            <w:vAlign w:val="center"/>
            <w:hideMark/>
          </w:tcPr>
          <w:p w14:paraId="33E19C96" w14:textId="77777777" w:rsidR="00791E0F" w:rsidRPr="00033E65" w:rsidRDefault="00791E0F" w:rsidP="00791E0F">
            <w:pPr>
              <w:spacing w:before="0" w:after="0"/>
              <w:jc w:val="right"/>
              <w:rPr>
                <w:rFonts w:cs="Calibri"/>
                <w:b/>
                <w:bCs/>
                <w:i/>
                <w:iCs/>
                <w:color w:val="000000"/>
                <w:sz w:val="20"/>
                <w:lang w:eastAsia="es-CR"/>
              </w:rPr>
            </w:pPr>
            <w:r w:rsidRPr="00033E65">
              <w:rPr>
                <w:rFonts w:cs="Calibri"/>
                <w:b/>
                <w:bCs/>
                <w:i/>
                <w:iCs/>
                <w:color w:val="000000"/>
                <w:sz w:val="20"/>
                <w:lang w:eastAsia="es-CR"/>
              </w:rPr>
              <w:t>Crítico con rendimiento del personal aceptable</w:t>
            </w:r>
          </w:p>
        </w:tc>
        <w:tc>
          <w:tcPr>
            <w:tcW w:w="526" w:type="pct"/>
            <w:tcBorders>
              <w:top w:val="nil"/>
              <w:left w:val="nil"/>
              <w:bottom w:val="single" w:sz="4" w:space="0" w:color="auto"/>
              <w:right w:val="single" w:sz="4" w:space="0" w:color="auto"/>
            </w:tcBorders>
            <w:shd w:val="clear" w:color="F79646" w:fill="FF9933"/>
            <w:vAlign w:val="center"/>
            <w:hideMark/>
          </w:tcPr>
          <w:p w14:paraId="7140EA26" w14:textId="77777777" w:rsidR="00791E0F" w:rsidRPr="00033E65" w:rsidRDefault="00791E0F" w:rsidP="00791E0F">
            <w:pPr>
              <w:spacing w:before="0" w:after="0"/>
              <w:jc w:val="center"/>
              <w:rPr>
                <w:rFonts w:cs="Calibri"/>
                <w:b/>
                <w:bCs/>
                <w:color w:val="000000"/>
                <w:sz w:val="20"/>
                <w:lang w:eastAsia="es-CR"/>
              </w:rPr>
            </w:pPr>
            <w:r w:rsidRPr="00033E65">
              <w:rPr>
                <w:rFonts w:cs="Calibri"/>
                <w:b/>
                <w:bCs/>
                <w:color w:val="000000"/>
                <w:sz w:val="20"/>
                <w:lang w:eastAsia="es-CR"/>
              </w:rPr>
              <w:t>E</w:t>
            </w:r>
          </w:p>
        </w:tc>
        <w:tc>
          <w:tcPr>
            <w:tcW w:w="709" w:type="pct"/>
            <w:tcBorders>
              <w:top w:val="nil"/>
              <w:left w:val="nil"/>
              <w:bottom w:val="single" w:sz="4" w:space="0" w:color="auto"/>
              <w:right w:val="single" w:sz="4" w:space="0" w:color="auto"/>
            </w:tcBorders>
            <w:shd w:val="clear" w:color="auto" w:fill="auto"/>
            <w:vAlign w:val="center"/>
            <w:hideMark/>
          </w:tcPr>
          <w:p w14:paraId="6263B4D4" w14:textId="77777777" w:rsidR="00791E0F" w:rsidRPr="00033E65" w:rsidRDefault="00791E0F" w:rsidP="00791E0F">
            <w:pPr>
              <w:spacing w:before="0" w:after="0"/>
              <w:jc w:val="center"/>
              <w:rPr>
                <w:rFonts w:cs="Calibri"/>
                <w:color w:val="000000"/>
                <w:sz w:val="20"/>
                <w:lang w:eastAsia="es-CR"/>
              </w:rPr>
            </w:pPr>
            <w:r w:rsidRPr="00033E65">
              <w:rPr>
                <w:rFonts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261D2121" w14:textId="77777777" w:rsidR="00791E0F" w:rsidRPr="00033E65" w:rsidRDefault="00791E0F" w:rsidP="00791E0F">
            <w:pPr>
              <w:spacing w:before="0" w:after="0"/>
              <w:jc w:val="center"/>
              <w:rPr>
                <w:rFonts w:cs="Calibri"/>
                <w:b/>
                <w:bCs/>
                <w:color w:val="000000"/>
                <w:sz w:val="20"/>
                <w:lang w:eastAsia="es-CR"/>
              </w:rPr>
            </w:pPr>
            <w:r w:rsidRPr="00033E65">
              <w:rPr>
                <w:rFonts w:cs="Calibri"/>
                <w:b/>
                <w:bCs/>
                <w:color w:val="000000"/>
                <w:sz w:val="20"/>
                <w:lang w:eastAsia="es-CR"/>
              </w:rPr>
              <w:t>100% en adelante</w:t>
            </w:r>
          </w:p>
        </w:tc>
        <w:tc>
          <w:tcPr>
            <w:tcW w:w="2233" w:type="pct"/>
            <w:tcBorders>
              <w:top w:val="nil"/>
              <w:left w:val="nil"/>
              <w:bottom w:val="single" w:sz="4" w:space="0" w:color="auto"/>
              <w:right w:val="single" w:sz="4" w:space="0" w:color="auto"/>
            </w:tcBorders>
            <w:shd w:val="clear" w:color="auto" w:fill="auto"/>
            <w:vAlign w:val="center"/>
            <w:hideMark/>
          </w:tcPr>
          <w:p w14:paraId="468CA8FC" w14:textId="46DF9A69" w:rsidR="00791E0F" w:rsidRPr="00033E65" w:rsidRDefault="00791E0F" w:rsidP="00791E0F">
            <w:pPr>
              <w:spacing w:before="0" w:after="0"/>
              <w:jc w:val="center"/>
              <w:rPr>
                <w:rFonts w:cs="Calibri"/>
                <w:color w:val="000000"/>
                <w:sz w:val="20"/>
                <w:lang w:eastAsia="es-CR"/>
              </w:rPr>
            </w:pPr>
            <w:r w:rsidRPr="00033E65">
              <w:rPr>
                <w:rFonts w:cs="Calibri"/>
                <w:color w:val="000000"/>
                <w:sz w:val="20"/>
                <w:lang w:eastAsia="es-CR"/>
              </w:rPr>
              <w:t xml:space="preserve">Si en la matriz de detecta al menos un indicador que su resultado se aleja negativamente un 100% o más del rango establecido </w:t>
            </w:r>
            <w:r w:rsidRPr="00033E65">
              <w:rPr>
                <w:rFonts w:cs="Calibri"/>
                <w:b/>
                <w:bCs/>
                <w:color w:val="000000"/>
                <w:sz w:val="20"/>
                <w:lang w:eastAsia="es-CR"/>
              </w:rPr>
              <w:t>pero el rendimiento de al menos el 80% del personal se encuentra en el rango "</w:t>
            </w:r>
            <w:r w:rsidR="00230EC8" w:rsidRPr="00033E65">
              <w:rPr>
                <w:rFonts w:cs="Calibri"/>
                <w:b/>
                <w:bCs/>
                <w:color w:val="000000"/>
                <w:sz w:val="20"/>
                <w:lang w:eastAsia="es-CR"/>
              </w:rPr>
              <w:t>estándar</w:t>
            </w:r>
            <w:r w:rsidRPr="00033E65">
              <w:rPr>
                <w:rFonts w:cs="Calibri"/>
                <w:b/>
                <w:bCs/>
                <w:color w:val="000000"/>
                <w:sz w:val="20"/>
                <w:lang w:eastAsia="es-CR"/>
              </w:rPr>
              <w:t xml:space="preserve">" o "medio" </w:t>
            </w:r>
            <w:r w:rsidRPr="00033E65">
              <w:rPr>
                <w:rFonts w:cs="Calibri"/>
                <w:color w:val="000000"/>
                <w:sz w:val="20"/>
                <w:lang w:eastAsia="es-CR"/>
              </w:rPr>
              <w:t>se debe ubicar en esta categoría</w:t>
            </w:r>
          </w:p>
        </w:tc>
      </w:tr>
      <w:tr w:rsidR="00791E0F" w:rsidRPr="00033E65" w14:paraId="566FFE7A" w14:textId="77777777" w:rsidTr="00791E0F">
        <w:trPr>
          <w:trHeight w:val="1260"/>
        </w:trPr>
        <w:tc>
          <w:tcPr>
            <w:tcW w:w="854" w:type="pct"/>
            <w:tcBorders>
              <w:top w:val="nil"/>
              <w:left w:val="single" w:sz="4" w:space="0" w:color="auto"/>
              <w:bottom w:val="single" w:sz="4" w:space="0" w:color="auto"/>
              <w:right w:val="single" w:sz="4" w:space="0" w:color="auto"/>
            </w:tcBorders>
            <w:shd w:val="clear" w:color="auto" w:fill="auto"/>
            <w:noWrap/>
            <w:vAlign w:val="center"/>
            <w:hideMark/>
          </w:tcPr>
          <w:p w14:paraId="11E8F3CC" w14:textId="77777777" w:rsidR="00791E0F" w:rsidRPr="00033E65" w:rsidRDefault="00791E0F" w:rsidP="00791E0F">
            <w:pPr>
              <w:spacing w:before="0" w:after="0"/>
              <w:jc w:val="right"/>
              <w:rPr>
                <w:rFonts w:cs="Calibri"/>
                <w:b/>
                <w:bCs/>
                <w:i/>
                <w:iCs/>
                <w:color w:val="000000"/>
                <w:sz w:val="20"/>
                <w:lang w:eastAsia="es-CR"/>
              </w:rPr>
            </w:pPr>
            <w:r w:rsidRPr="00033E65">
              <w:rPr>
                <w:rFonts w:cs="Calibri"/>
                <w:b/>
                <w:bCs/>
                <w:i/>
                <w:iCs/>
                <w:color w:val="000000"/>
                <w:sz w:val="20"/>
                <w:lang w:eastAsia="es-CR"/>
              </w:rPr>
              <w:t>Crítico</w:t>
            </w:r>
          </w:p>
        </w:tc>
        <w:tc>
          <w:tcPr>
            <w:tcW w:w="526" w:type="pct"/>
            <w:tcBorders>
              <w:top w:val="nil"/>
              <w:left w:val="nil"/>
              <w:bottom w:val="single" w:sz="4" w:space="0" w:color="auto"/>
              <w:right w:val="single" w:sz="4" w:space="0" w:color="auto"/>
            </w:tcBorders>
            <w:shd w:val="clear" w:color="993300" w:fill="FF0000"/>
            <w:vAlign w:val="center"/>
            <w:hideMark/>
          </w:tcPr>
          <w:p w14:paraId="30DDA191" w14:textId="77777777" w:rsidR="00791E0F" w:rsidRPr="00033E65" w:rsidRDefault="00791E0F" w:rsidP="00791E0F">
            <w:pPr>
              <w:spacing w:before="0" w:after="0"/>
              <w:jc w:val="center"/>
              <w:rPr>
                <w:rFonts w:cs="Calibri"/>
                <w:b/>
                <w:bCs/>
                <w:color w:val="000000"/>
                <w:sz w:val="20"/>
                <w:lang w:eastAsia="es-CR"/>
              </w:rPr>
            </w:pPr>
            <w:r w:rsidRPr="00033E65">
              <w:rPr>
                <w:rFonts w:cs="Calibri"/>
                <w:b/>
                <w:bCs/>
                <w:color w:val="000000"/>
                <w:sz w:val="20"/>
                <w:lang w:eastAsia="es-CR"/>
              </w:rPr>
              <w:t>D</w:t>
            </w:r>
          </w:p>
        </w:tc>
        <w:tc>
          <w:tcPr>
            <w:tcW w:w="709" w:type="pct"/>
            <w:tcBorders>
              <w:top w:val="nil"/>
              <w:left w:val="nil"/>
              <w:bottom w:val="single" w:sz="4" w:space="0" w:color="auto"/>
              <w:right w:val="single" w:sz="4" w:space="0" w:color="auto"/>
            </w:tcBorders>
            <w:shd w:val="clear" w:color="auto" w:fill="auto"/>
            <w:vAlign w:val="center"/>
            <w:hideMark/>
          </w:tcPr>
          <w:p w14:paraId="418C03F4" w14:textId="77777777" w:rsidR="00791E0F" w:rsidRPr="00033E65" w:rsidRDefault="00791E0F" w:rsidP="00791E0F">
            <w:pPr>
              <w:spacing w:before="0" w:after="0"/>
              <w:jc w:val="center"/>
              <w:rPr>
                <w:rFonts w:cs="Calibri"/>
                <w:color w:val="000000"/>
                <w:sz w:val="20"/>
                <w:lang w:eastAsia="es-CR"/>
              </w:rPr>
            </w:pPr>
            <w:r w:rsidRPr="00033E65">
              <w:rPr>
                <w:rFonts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33807E09" w14:textId="77777777" w:rsidR="00791E0F" w:rsidRPr="00033E65" w:rsidRDefault="00791E0F" w:rsidP="00791E0F">
            <w:pPr>
              <w:spacing w:before="0" w:after="0"/>
              <w:jc w:val="center"/>
              <w:rPr>
                <w:rFonts w:cs="Calibri"/>
                <w:b/>
                <w:bCs/>
                <w:color w:val="000000"/>
                <w:sz w:val="20"/>
                <w:lang w:eastAsia="es-CR"/>
              </w:rPr>
            </w:pPr>
            <w:r w:rsidRPr="00033E65">
              <w:rPr>
                <w:rFonts w:cs="Calibri"/>
                <w:b/>
                <w:bCs/>
                <w:color w:val="000000"/>
                <w:sz w:val="20"/>
                <w:lang w:eastAsia="es-CR"/>
              </w:rPr>
              <w:t>100% en adelante</w:t>
            </w:r>
          </w:p>
        </w:tc>
        <w:tc>
          <w:tcPr>
            <w:tcW w:w="2233" w:type="pct"/>
            <w:tcBorders>
              <w:top w:val="nil"/>
              <w:left w:val="nil"/>
              <w:bottom w:val="single" w:sz="4" w:space="0" w:color="auto"/>
              <w:right w:val="single" w:sz="4" w:space="0" w:color="auto"/>
            </w:tcBorders>
            <w:shd w:val="clear" w:color="auto" w:fill="auto"/>
            <w:vAlign w:val="center"/>
            <w:hideMark/>
          </w:tcPr>
          <w:p w14:paraId="636FE34D" w14:textId="77777777" w:rsidR="00791E0F" w:rsidRPr="00033E65" w:rsidRDefault="00791E0F" w:rsidP="00791E0F">
            <w:pPr>
              <w:spacing w:before="0" w:after="0"/>
              <w:jc w:val="center"/>
              <w:rPr>
                <w:rFonts w:cs="Calibri"/>
                <w:color w:val="000000"/>
                <w:sz w:val="20"/>
                <w:lang w:eastAsia="es-CR"/>
              </w:rPr>
            </w:pPr>
            <w:r w:rsidRPr="00033E65">
              <w:rPr>
                <w:rFonts w:cs="Calibri"/>
                <w:color w:val="000000"/>
                <w:sz w:val="20"/>
                <w:lang w:eastAsia="es-CR"/>
              </w:rPr>
              <w:t xml:space="preserve">Si en la matriz se detecta al menos un indicador que su resultado se aleja negativamente un </w:t>
            </w:r>
            <w:r w:rsidRPr="00033E65">
              <w:rPr>
                <w:rFonts w:cs="Calibri"/>
                <w:b/>
                <w:bCs/>
                <w:color w:val="000000"/>
                <w:sz w:val="20"/>
                <w:lang w:eastAsia="es-CR"/>
              </w:rPr>
              <w:t>100%</w:t>
            </w:r>
            <w:r w:rsidRPr="00033E65">
              <w:rPr>
                <w:rFonts w:cs="Calibri"/>
                <w:color w:val="000000"/>
                <w:sz w:val="20"/>
                <w:lang w:eastAsia="es-CR"/>
              </w:rPr>
              <w:t xml:space="preserve"> o más del rango establecido se debe ubicar en esta categoría.</w:t>
            </w:r>
          </w:p>
        </w:tc>
      </w:tr>
      <w:tr w:rsidR="00791E0F" w:rsidRPr="00033E65" w14:paraId="472DB014" w14:textId="77777777" w:rsidTr="00791E0F">
        <w:trPr>
          <w:trHeight w:val="885"/>
        </w:trPr>
        <w:tc>
          <w:tcPr>
            <w:tcW w:w="854" w:type="pct"/>
            <w:tcBorders>
              <w:top w:val="nil"/>
              <w:left w:val="single" w:sz="4" w:space="0" w:color="auto"/>
              <w:bottom w:val="single" w:sz="4" w:space="0" w:color="auto"/>
              <w:right w:val="single" w:sz="4" w:space="0" w:color="auto"/>
            </w:tcBorders>
            <w:shd w:val="clear" w:color="auto" w:fill="auto"/>
            <w:vAlign w:val="center"/>
            <w:hideMark/>
          </w:tcPr>
          <w:p w14:paraId="218271AD" w14:textId="77777777" w:rsidR="00791E0F" w:rsidRPr="00033E65" w:rsidRDefault="00791E0F" w:rsidP="00791E0F">
            <w:pPr>
              <w:spacing w:before="0" w:after="0"/>
              <w:jc w:val="right"/>
              <w:rPr>
                <w:rFonts w:cs="Calibri"/>
                <w:b/>
                <w:bCs/>
                <w:i/>
                <w:iCs/>
                <w:color w:val="000000"/>
                <w:sz w:val="20"/>
                <w:lang w:eastAsia="es-CR"/>
              </w:rPr>
            </w:pPr>
            <w:r w:rsidRPr="00033E65">
              <w:rPr>
                <w:rFonts w:cs="Calibri"/>
                <w:b/>
                <w:bCs/>
                <w:i/>
                <w:iCs/>
                <w:color w:val="000000"/>
                <w:sz w:val="20"/>
                <w:lang w:eastAsia="es-CR"/>
              </w:rPr>
              <w:t>Con oportunidades de mejora manejables</w:t>
            </w:r>
          </w:p>
        </w:tc>
        <w:tc>
          <w:tcPr>
            <w:tcW w:w="526" w:type="pct"/>
            <w:tcBorders>
              <w:top w:val="nil"/>
              <w:left w:val="nil"/>
              <w:bottom w:val="single" w:sz="4" w:space="0" w:color="auto"/>
              <w:right w:val="single" w:sz="4" w:space="0" w:color="auto"/>
            </w:tcBorders>
            <w:shd w:val="clear" w:color="FFFF00" w:fill="FFFF00"/>
            <w:vAlign w:val="center"/>
            <w:hideMark/>
          </w:tcPr>
          <w:p w14:paraId="244FCE25" w14:textId="77777777" w:rsidR="00791E0F" w:rsidRPr="00033E65" w:rsidRDefault="00791E0F" w:rsidP="00791E0F">
            <w:pPr>
              <w:spacing w:before="0" w:after="0"/>
              <w:jc w:val="center"/>
              <w:rPr>
                <w:rFonts w:cs="Calibri"/>
                <w:b/>
                <w:bCs/>
                <w:color w:val="000000"/>
                <w:sz w:val="20"/>
                <w:lang w:eastAsia="es-CR"/>
              </w:rPr>
            </w:pPr>
            <w:r w:rsidRPr="00033E65">
              <w:rPr>
                <w:rFonts w:cs="Calibri"/>
                <w:b/>
                <w:bCs/>
                <w:color w:val="000000"/>
                <w:sz w:val="20"/>
                <w:lang w:eastAsia="es-CR"/>
              </w:rPr>
              <w:t>C</w:t>
            </w:r>
          </w:p>
        </w:tc>
        <w:tc>
          <w:tcPr>
            <w:tcW w:w="709" w:type="pct"/>
            <w:tcBorders>
              <w:top w:val="nil"/>
              <w:left w:val="nil"/>
              <w:bottom w:val="single" w:sz="4" w:space="0" w:color="auto"/>
              <w:right w:val="single" w:sz="4" w:space="0" w:color="auto"/>
            </w:tcBorders>
            <w:shd w:val="clear" w:color="auto" w:fill="auto"/>
            <w:vAlign w:val="center"/>
            <w:hideMark/>
          </w:tcPr>
          <w:p w14:paraId="24A4222E" w14:textId="77777777" w:rsidR="00791E0F" w:rsidRPr="00033E65" w:rsidRDefault="00791E0F" w:rsidP="00791E0F">
            <w:pPr>
              <w:spacing w:before="0" w:after="0"/>
              <w:jc w:val="center"/>
              <w:rPr>
                <w:rFonts w:cs="Calibri"/>
                <w:color w:val="000000"/>
                <w:sz w:val="20"/>
                <w:lang w:eastAsia="es-CR"/>
              </w:rPr>
            </w:pPr>
            <w:r w:rsidRPr="00033E65">
              <w:rPr>
                <w:rFonts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47C01627" w14:textId="77777777" w:rsidR="00791E0F" w:rsidRPr="00033E65" w:rsidRDefault="00791E0F" w:rsidP="00791E0F">
            <w:pPr>
              <w:spacing w:before="0" w:after="0"/>
              <w:jc w:val="center"/>
              <w:rPr>
                <w:rFonts w:cs="Calibri"/>
                <w:b/>
                <w:bCs/>
                <w:color w:val="000000"/>
                <w:sz w:val="20"/>
                <w:lang w:eastAsia="es-CR"/>
              </w:rPr>
            </w:pPr>
            <w:r w:rsidRPr="00033E65">
              <w:rPr>
                <w:rFonts w:cs="Calibri"/>
                <w:b/>
                <w:bCs/>
                <w:color w:val="000000"/>
                <w:sz w:val="20"/>
                <w:lang w:eastAsia="es-CR"/>
              </w:rPr>
              <w:t>50% a 99%</w:t>
            </w:r>
          </w:p>
        </w:tc>
        <w:tc>
          <w:tcPr>
            <w:tcW w:w="2233" w:type="pct"/>
            <w:tcBorders>
              <w:top w:val="nil"/>
              <w:left w:val="nil"/>
              <w:bottom w:val="single" w:sz="4" w:space="0" w:color="auto"/>
              <w:right w:val="single" w:sz="4" w:space="0" w:color="auto"/>
            </w:tcBorders>
            <w:shd w:val="clear" w:color="auto" w:fill="auto"/>
            <w:vAlign w:val="center"/>
            <w:hideMark/>
          </w:tcPr>
          <w:p w14:paraId="2F1EAF09" w14:textId="77777777" w:rsidR="00791E0F" w:rsidRPr="00033E65" w:rsidRDefault="00791E0F" w:rsidP="00791E0F">
            <w:pPr>
              <w:spacing w:before="0" w:after="0"/>
              <w:jc w:val="center"/>
              <w:rPr>
                <w:rFonts w:cs="Calibri"/>
                <w:color w:val="000000"/>
                <w:sz w:val="20"/>
                <w:lang w:eastAsia="es-CR"/>
              </w:rPr>
            </w:pPr>
            <w:r w:rsidRPr="00033E65">
              <w:rPr>
                <w:rFonts w:cs="Calibri"/>
                <w:color w:val="000000"/>
                <w:sz w:val="20"/>
                <w:lang w:eastAsia="es-CR"/>
              </w:rPr>
              <w:t xml:space="preserve">Si en la matriz se detecta al menos un indicador que su resultado se aleja negativamente de un </w:t>
            </w:r>
            <w:r w:rsidRPr="00033E65">
              <w:rPr>
                <w:rFonts w:cs="Calibri"/>
                <w:b/>
                <w:bCs/>
                <w:color w:val="000000"/>
                <w:sz w:val="20"/>
                <w:lang w:eastAsia="es-CR"/>
              </w:rPr>
              <w:t>50%  a un 99%</w:t>
            </w:r>
            <w:r w:rsidRPr="00033E65">
              <w:rPr>
                <w:rFonts w:cs="Calibri"/>
                <w:color w:val="000000"/>
                <w:sz w:val="20"/>
                <w:lang w:eastAsia="es-CR"/>
              </w:rPr>
              <w:t xml:space="preserve"> del rango establecido se debe ubicar en esta categoría.</w:t>
            </w:r>
          </w:p>
        </w:tc>
      </w:tr>
      <w:tr w:rsidR="00791E0F" w:rsidRPr="00033E65" w14:paraId="32F97392" w14:textId="77777777" w:rsidTr="00791E0F">
        <w:trPr>
          <w:trHeight w:val="885"/>
        </w:trPr>
        <w:tc>
          <w:tcPr>
            <w:tcW w:w="854" w:type="pct"/>
            <w:tcBorders>
              <w:top w:val="nil"/>
              <w:left w:val="single" w:sz="4" w:space="0" w:color="auto"/>
              <w:bottom w:val="single" w:sz="4" w:space="0" w:color="auto"/>
              <w:right w:val="single" w:sz="4" w:space="0" w:color="auto"/>
            </w:tcBorders>
            <w:shd w:val="clear" w:color="auto" w:fill="auto"/>
            <w:noWrap/>
            <w:vAlign w:val="center"/>
            <w:hideMark/>
          </w:tcPr>
          <w:p w14:paraId="3EC8D7DE" w14:textId="77777777" w:rsidR="00791E0F" w:rsidRPr="00033E65" w:rsidRDefault="00791E0F" w:rsidP="00791E0F">
            <w:pPr>
              <w:spacing w:before="0" w:after="0"/>
              <w:jc w:val="right"/>
              <w:rPr>
                <w:rFonts w:cs="Calibri"/>
                <w:b/>
                <w:bCs/>
                <w:i/>
                <w:iCs/>
                <w:color w:val="000000"/>
                <w:sz w:val="20"/>
                <w:lang w:eastAsia="es-CR"/>
              </w:rPr>
            </w:pPr>
            <w:r w:rsidRPr="00033E65">
              <w:rPr>
                <w:rFonts w:cs="Calibri"/>
                <w:b/>
                <w:bCs/>
                <w:i/>
                <w:iCs/>
                <w:color w:val="000000"/>
                <w:sz w:val="20"/>
                <w:lang w:eastAsia="es-CR"/>
              </w:rPr>
              <w:t>Bien</w:t>
            </w:r>
          </w:p>
        </w:tc>
        <w:tc>
          <w:tcPr>
            <w:tcW w:w="526" w:type="pct"/>
            <w:tcBorders>
              <w:top w:val="nil"/>
              <w:left w:val="nil"/>
              <w:bottom w:val="single" w:sz="4" w:space="0" w:color="auto"/>
              <w:right w:val="single" w:sz="4" w:space="0" w:color="auto"/>
            </w:tcBorders>
            <w:shd w:val="clear" w:color="008080" w:fill="00B050"/>
            <w:vAlign w:val="center"/>
            <w:hideMark/>
          </w:tcPr>
          <w:p w14:paraId="3A0E2901" w14:textId="77777777" w:rsidR="00791E0F" w:rsidRPr="00033E65" w:rsidRDefault="00791E0F" w:rsidP="00791E0F">
            <w:pPr>
              <w:spacing w:before="0" w:after="0"/>
              <w:jc w:val="center"/>
              <w:rPr>
                <w:rFonts w:cs="Calibri"/>
                <w:b/>
                <w:bCs/>
                <w:color w:val="000000"/>
                <w:szCs w:val="22"/>
                <w:lang w:eastAsia="es-CR"/>
              </w:rPr>
            </w:pPr>
            <w:r w:rsidRPr="00033E65">
              <w:rPr>
                <w:rFonts w:cs="Calibri"/>
                <w:b/>
                <w:bCs/>
                <w:color w:val="000000"/>
                <w:szCs w:val="22"/>
                <w:lang w:eastAsia="es-CR"/>
              </w:rPr>
              <w:t>B</w:t>
            </w:r>
          </w:p>
        </w:tc>
        <w:tc>
          <w:tcPr>
            <w:tcW w:w="709" w:type="pct"/>
            <w:tcBorders>
              <w:top w:val="nil"/>
              <w:left w:val="nil"/>
              <w:bottom w:val="single" w:sz="4" w:space="0" w:color="auto"/>
              <w:right w:val="single" w:sz="4" w:space="0" w:color="auto"/>
            </w:tcBorders>
            <w:shd w:val="clear" w:color="auto" w:fill="auto"/>
            <w:vAlign w:val="center"/>
            <w:hideMark/>
          </w:tcPr>
          <w:p w14:paraId="4C47DE89" w14:textId="77777777" w:rsidR="00791E0F" w:rsidRPr="00033E65" w:rsidRDefault="00791E0F" w:rsidP="00791E0F">
            <w:pPr>
              <w:spacing w:before="0" w:after="0"/>
              <w:jc w:val="center"/>
              <w:rPr>
                <w:rFonts w:cs="Calibri"/>
                <w:color w:val="000000"/>
                <w:sz w:val="20"/>
                <w:lang w:eastAsia="es-CR"/>
              </w:rPr>
            </w:pPr>
            <w:r w:rsidRPr="00033E65">
              <w:rPr>
                <w:rFonts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7C30F912" w14:textId="77777777" w:rsidR="00791E0F" w:rsidRPr="00033E65" w:rsidRDefault="00791E0F" w:rsidP="00791E0F">
            <w:pPr>
              <w:spacing w:before="0" w:after="0"/>
              <w:jc w:val="center"/>
              <w:rPr>
                <w:rFonts w:cs="Calibri"/>
                <w:b/>
                <w:bCs/>
                <w:color w:val="000000"/>
                <w:sz w:val="20"/>
                <w:lang w:eastAsia="es-CR"/>
              </w:rPr>
            </w:pPr>
            <w:r w:rsidRPr="00033E65">
              <w:rPr>
                <w:rFonts w:cs="Calibri"/>
                <w:b/>
                <w:bCs/>
                <w:color w:val="000000"/>
                <w:sz w:val="20"/>
                <w:lang w:eastAsia="es-CR"/>
              </w:rPr>
              <w:t>De 11% a 49%</w:t>
            </w:r>
          </w:p>
        </w:tc>
        <w:tc>
          <w:tcPr>
            <w:tcW w:w="2233" w:type="pct"/>
            <w:tcBorders>
              <w:top w:val="nil"/>
              <w:left w:val="nil"/>
              <w:bottom w:val="single" w:sz="4" w:space="0" w:color="auto"/>
              <w:right w:val="single" w:sz="4" w:space="0" w:color="auto"/>
            </w:tcBorders>
            <w:shd w:val="clear" w:color="auto" w:fill="auto"/>
            <w:vAlign w:val="center"/>
            <w:hideMark/>
          </w:tcPr>
          <w:p w14:paraId="7DD0166E" w14:textId="77777777" w:rsidR="00791E0F" w:rsidRPr="00033E65" w:rsidRDefault="00791E0F" w:rsidP="00791E0F">
            <w:pPr>
              <w:spacing w:before="0" w:after="0"/>
              <w:jc w:val="center"/>
              <w:rPr>
                <w:rFonts w:cs="Calibri"/>
                <w:color w:val="000000"/>
                <w:sz w:val="20"/>
                <w:lang w:eastAsia="es-CR"/>
              </w:rPr>
            </w:pPr>
            <w:r w:rsidRPr="00033E65">
              <w:rPr>
                <w:rFonts w:cs="Calibri"/>
                <w:color w:val="000000"/>
                <w:sz w:val="20"/>
                <w:lang w:eastAsia="es-CR"/>
              </w:rPr>
              <w:t xml:space="preserve">Si en la matriz se detecta al menos un indicador que su resultado se aleja negativamente de un </w:t>
            </w:r>
            <w:r w:rsidRPr="00033E65">
              <w:rPr>
                <w:rFonts w:cs="Calibri"/>
                <w:b/>
                <w:bCs/>
                <w:color w:val="000000"/>
                <w:sz w:val="20"/>
                <w:lang w:eastAsia="es-CR"/>
              </w:rPr>
              <w:t>11% a un 49%</w:t>
            </w:r>
            <w:r w:rsidRPr="00033E65">
              <w:rPr>
                <w:rFonts w:cs="Calibri"/>
                <w:color w:val="000000"/>
                <w:sz w:val="20"/>
                <w:lang w:eastAsia="es-CR"/>
              </w:rPr>
              <w:t xml:space="preserve"> del rango establecido se debe ubicar en esta categoría.</w:t>
            </w:r>
          </w:p>
        </w:tc>
      </w:tr>
      <w:tr w:rsidR="00791E0F" w:rsidRPr="00033E65" w14:paraId="42884BA9" w14:textId="77777777" w:rsidTr="00791E0F">
        <w:trPr>
          <w:trHeight w:val="885"/>
        </w:trPr>
        <w:tc>
          <w:tcPr>
            <w:tcW w:w="854" w:type="pct"/>
            <w:tcBorders>
              <w:top w:val="nil"/>
              <w:left w:val="single" w:sz="4" w:space="0" w:color="auto"/>
              <w:bottom w:val="single" w:sz="4" w:space="0" w:color="auto"/>
              <w:right w:val="single" w:sz="4" w:space="0" w:color="auto"/>
            </w:tcBorders>
            <w:shd w:val="clear" w:color="auto" w:fill="auto"/>
            <w:noWrap/>
            <w:vAlign w:val="center"/>
            <w:hideMark/>
          </w:tcPr>
          <w:p w14:paraId="26D37A63" w14:textId="77777777" w:rsidR="00791E0F" w:rsidRPr="00033E65" w:rsidRDefault="00791E0F" w:rsidP="00791E0F">
            <w:pPr>
              <w:spacing w:before="0" w:after="0"/>
              <w:jc w:val="right"/>
              <w:rPr>
                <w:rFonts w:cs="Calibri"/>
                <w:b/>
                <w:bCs/>
                <w:i/>
                <w:iCs/>
                <w:color w:val="000000"/>
                <w:sz w:val="20"/>
                <w:lang w:eastAsia="es-CR"/>
              </w:rPr>
            </w:pPr>
            <w:r w:rsidRPr="00033E65">
              <w:rPr>
                <w:rFonts w:cs="Calibri"/>
                <w:b/>
                <w:bCs/>
                <w:i/>
                <w:iCs/>
                <w:color w:val="000000"/>
                <w:sz w:val="20"/>
                <w:lang w:eastAsia="es-CR"/>
              </w:rPr>
              <w:t>Excelente</w:t>
            </w:r>
          </w:p>
        </w:tc>
        <w:tc>
          <w:tcPr>
            <w:tcW w:w="526" w:type="pct"/>
            <w:tcBorders>
              <w:top w:val="nil"/>
              <w:left w:val="nil"/>
              <w:bottom w:val="single" w:sz="4" w:space="0" w:color="auto"/>
              <w:right w:val="single" w:sz="4" w:space="0" w:color="auto"/>
            </w:tcBorders>
            <w:shd w:val="clear" w:color="0000CC" w:fill="0000FF"/>
            <w:vAlign w:val="center"/>
            <w:hideMark/>
          </w:tcPr>
          <w:p w14:paraId="1A0AF358" w14:textId="77777777" w:rsidR="00791E0F" w:rsidRPr="00033E65" w:rsidRDefault="00791E0F" w:rsidP="00791E0F">
            <w:pPr>
              <w:spacing w:before="0" w:after="0"/>
              <w:jc w:val="center"/>
              <w:rPr>
                <w:rFonts w:cs="Calibri"/>
                <w:b/>
                <w:bCs/>
                <w:color w:val="000000"/>
                <w:sz w:val="20"/>
                <w:lang w:eastAsia="es-CR"/>
              </w:rPr>
            </w:pPr>
            <w:r w:rsidRPr="00033E65">
              <w:rPr>
                <w:rFonts w:cs="Calibri"/>
                <w:b/>
                <w:bCs/>
                <w:color w:val="000000"/>
                <w:sz w:val="20"/>
                <w:lang w:eastAsia="es-CR"/>
              </w:rPr>
              <w:t>A</w:t>
            </w:r>
          </w:p>
        </w:tc>
        <w:tc>
          <w:tcPr>
            <w:tcW w:w="709" w:type="pct"/>
            <w:tcBorders>
              <w:top w:val="nil"/>
              <w:left w:val="nil"/>
              <w:bottom w:val="single" w:sz="4" w:space="0" w:color="auto"/>
              <w:right w:val="single" w:sz="4" w:space="0" w:color="auto"/>
            </w:tcBorders>
            <w:shd w:val="clear" w:color="auto" w:fill="auto"/>
            <w:vAlign w:val="center"/>
            <w:hideMark/>
          </w:tcPr>
          <w:p w14:paraId="31264678" w14:textId="77777777" w:rsidR="00791E0F" w:rsidRPr="00033E65" w:rsidRDefault="00791E0F" w:rsidP="00791E0F">
            <w:pPr>
              <w:spacing w:before="0" w:after="0"/>
              <w:jc w:val="center"/>
              <w:rPr>
                <w:rFonts w:cs="Calibri"/>
                <w:color w:val="000000"/>
                <w:sz w:val="20"/>
                <w:lang w:eastAsia="es-CR"/>
              </w:rPr>
            </w:pPr>
            <w:r w:rsidRPr="00033E65">
              <w:rPr>
                <w:rFonts w:cs="Calibri"/>
                <w:color w:val="000000"/>
                <w:sz w:val="20"/>
                <w:lang w:eastAsia="es-CR"/>
              </w:rPr>
              <w:t>Cero o bien 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246A38B8" w14:textId="77777777" w:rsidR="00791E0F" w:rsidRPr="00033E65" w:rsidRDefault="00791E0F" w:rsidP="00791E0F">
            <w:pPr>
              <w:spacing w:before="0" w:after="0"/>
              <w:jc w:val="center"/>
              <w:rPr>
                <w:rFonts w:cs="Calibri"/>
                <w:b/>
                <w:bCs/>
                <w:color w:val="000000"/>
                <w:sz w:val="20"/>
                <w:lang w:eastAsia="es-CR"/>
              </w:rPr>
            </w:pPr>
            <w:r w:rsidRPr="00033E65">
              <w:rPr>
                <w:rFonts w:cs="Calibri"/>
                <w:b/>
                <w:bCs/>
                <w:color w:val="000000"/>
                <w:sz w:val="20"/>
                <w:lang w:eastAsia="es-CR"/>
              </w:rPr>
              <w:t>De 0% a 10%</w:t>
            </w:r>
          </w:p>
        </w:tc>
        <w:tc>
          <w:tcPr>
            <w:tcW w:w="2233" w:type="pct"/>
            <w:tcBorders>
              <w:top w:val="nil"/>
              <w:left w:val="nil"/>
              <w:bottom w:val="single" w:sz="4" w:space="0" w:color="auto"/>
              <w:right w:val="single" w:sz="4" w:space="0" w:color="auto"/>
            </w:tcBorders>
            <w:shd w:val="clear" w:color="auto" w:fill="auto"/>
            <w:vAlign w:val="center"/>
            <w:hideMark/>
          </w:tcPr>
          <w:p w14:paraId="1A0EBD7E" w14:textId="77777777" w:rsidR="00791E0F" w:rsidRPr="00033E65" w:rsidRDefault="00791E0F" w:rsidP="00791E0F">
            <w:pPr>
              <w:spacing w:before="0" w:after="0"/>
              <w:jc w:val="center"/>
              <w:rPr>
                <w:rFonts w:cs="Calibri"/>
                <w:color w:val="000000"/>
                <w:sz w:val="20"/>
                <w:lang w:eastAsia="es-CR"/>
              </w:rPr>
            </w:pPr>
            <w:r w:rsidRPr="00033E65">
              <w:rPr>
                <w:rFonts w:cs="Calibri"/>
                <w:color w:val="000000"/>
                <w:sz w:val="20"/>
                <w:lang w:eastAsia="es-CR"/>
              </w:rPr>
              <w:t xml:space="preserve">Si en la matriz se detecta que el indicador con mayor oportunidad de mejora se aleja negativamente máximo un </w:t>
            </w:r>
            <w:r w:rsidRPr="00033E65">
              <w:rPr>
                <w:rFonts w:cs="Calibri"/>
                <w:b/>
                <w:bCs/>
                <w:color w:val="000000"/>
                <w:sz w:val="20"/>
                <w:lang w:eastAsia="es-CR"/>
              </w:rPr>
              <w:t>10%</w:t>
            </w:r>
            <w:r w:rsidRPr="00033E65">
              <w:rPr>
                <w:rFonts w:cs="Calibri"/>
                <w:color w:val="000000"/>
                <w:sz w:val="20"/>
                <w:lang w:eastAsia="es-CR"/>
              </w:rPr>
              <w:t xml:space="preserve">  del rango establecido, se debe ubicar en esta categoría.</w:t>
            </w:r>
          </w:p>
        </w:tc>
      </w:tr>
    </w:tbl>
    <w:p w14:paraId="1B20FB79" w14:textId="04FBE9C7" w:rsidR="00791E0F" w:rsidRPr="00033E65" w:rsidRDefault="001D28AD" w:rsidP="005A2339">
      <w:pPr>
        <w:rPr>
          <w:i/>
          <w:iCs/>
          <w:sz w:val="20"/>
        </w:rPr>
      </w:pPr>
      <w:r w:rsidRPr="00033E65">
        <w:rPr>
          <w:i/>
          <w:iCs/>
          <w:sz w:val="20"/>
        </w:rPr>
        <w:t>Fuente: Dirección de Planificación.</w:t>
      </w:r>
    </w:p>
    <w:p w14:paraId="4F4422C0" w14:textId="77777777" w:rsidR="001D28AD" w:rsidRPr="00033E65" w:rsidRDefault="001D28AD" w:rsidP="005A2339"/>
    <w:p w14:paraId="1C075255" w14:textId="77777777" w:rsidR="00EC5306" w:rsidRDefault="00EC5306" w:rsidP="00EC5306">
      <w:pPr>
        <w:pStyle w:val="Titulo3"/>
        <w:numPr>
          <w:ilvl w:val="0"/>
          <w:numId w:val="0"/>
        </w:numPr>
        <w:ind w:left="720" w:hanging="720"/>
        <w:rPr>
          <w:b w:val="0"/>
          <w:bCs/>
        </w:rPr>
      </w:pPr>
      <w:bookmarkStart w:id="243" w:name="_Toc132639583"/>
      <w:r>
        <w:rPr>
          <w:b w:val="0"/>
          <w:bCs/>
        </w:rPr>
        <w:t>20.2.1</w:t>
      </w:r>
      <w:r w:rsidR="005942B4" w:rsidRPr="009155A4">
        <w:rPr>
          <w:b w:val="0"/>
          <w:bCs/>
        </w:rPr>
        <w:t xml:space="preserve"> </w:t>
      </w:r>
      <w:r w:rsidR="002A11DE" w:rsidRPr="009155A4">
        <w:rPr>
          <w:b w:val="0"/>
          <w:bCs/>
        </w:rPr>
        <w:t xml:space="preserve">Solicitar a la Comisión Alterna de Conflictos, coordinar con la Comisión Agraria y que de forma conjunta </w:t>
      </w:r>
      <w:r w:rsidR="007230EE" w:rsidRPr="009155A4">
        <w:rPr>
          <w:b w:val="0"/>
          <w:bCs/>
        </w:rPr>
        <w:t xml:space="preserve">se puedan promover acciones para que </w:t>
      </w:r>
      <w:r w:rsidR="00F32EB7" w:rsidRPr="009155A4">
        <w:rPr>
          <w:b w:val="0"/>
          <w:bCs/>
        </w:rPr>
        <w:t xml:space="preserve">los Centros de Conciliación den soporte a la materia agraria, </w:t>
      </w:r>
      <w:r w:rsidR="005F78FA" w:rsidRPr="009155A4">
        <w:rPr>
          <w:b w:val="0"/>
          <w:bCs/>
        </w:rPr>
        <w:t xml:space="preserve">y con ello lograr </w:t>
      </w:r>
      <w:r w:rsidR="00F32EB7" w:rsidRPr="009155A4">
        <w:rPr>
          <w:b w:val="0"/>
          <w:bCs/>
        </w:rPr>
        <w:t>incrementar el porcentaje de conciliación</w:t>
      </w:r>
      <w:r w:rsidR="008148D1" w:rsidRPr="009155A4">
        <w:rPr>
          <w:b w:val="0"/>
          <w:bCs/>
        </w:rPr>
        <w:t xml:space="preserve">, que pueda beneficiar en la celeridad de los </w:t>
      </w:r>
      <w:r w:rsidR="00231983" w:rsidRPr="009155A4">
        <w:rPr>
          <w:b w:val="0"/>
          <w:bCs/>
        </w:rPr>
        <w:t>asunto</w:t>
      </w:r>
      <w:r w:rsidR="009155A4" w:rsidRPr="009155A4">
        <w:rPr>
          <w:b w:val="0"/>
          <w:bCs/>
        </w:rPr>
        <w:t>s</w:t>
      </w:r>
      <w:r>
        <w:rPr>
          <w:b w:val="0"/>
          <w:bCs/>
        </w:rPr>
        <w:t>.</w:t>
      </w:r>
      <w:bookmarkEnd w:id="243"/>
    </w:p>
    <w:p w14:paraId="38D0CC97" w14:textId="26ED8C4B" w:rsidR="009155A4" w:rsidRPr="009155A4" w:rsidRDefault="00EC5306" w:rsidP="00EC5306">
      <w:pPr>
        <w:pStyle w:val="Titulo3"/>
        <w:numPr>
          <w:ilvl w:val="0"/>
          <w:numId w:val="0"/>
        </w:numPr>
        <w:ind w:left="720" w:hanging="720"/>
        <w:rPr>
          <w:b w:val="0"/>
          <w:bCs/>
        </w:rPr>
      </w:pPr>
      <w:bookmarkStart w:id="244" w:name="_Toc132639584"/>
      <w:r>
        <w:rPr>
          <w:b w:val="0"/>
          <w:bCs/>
        </w:rPr>
        <w:t>20.2.2</w:t>
      </w:r>
      <w:r w:rsidR="009155A4" w:rsidRPr="009155A4">
        <w:rPr>
          <w:b w:val="0"/>
          <w:bCs/>
        </w:rPr>
        <w:t xml:space="preserve"> </w:t>
      </w:r>
      <w:r w:rsidR="00231983" w:rsidRPr="009155A4">
        <w:rPr>
          <w:b w:val="0"/>
          <w:bCs/>
        </w:rPr>
        <w:t>Solicitar a la Defensa Pública, realizar un análisis del impacto de los servicios prestados a partir de la creación de las plazas de las personas defensoras públicas en la materia</w:t>
      </w:r>
      <w:r w:rsidR="004C50E6" w:rsidRPr="009155A4">
        <w:rPr>
          <w:b w:val="0"/>
          <w:bCs/>
        </w:rPr>
        <w:t>, e informe al Consejo Superior, los beneficios obtenidos, así como el impacto en el servicio brindado</w:t>
      </w:r>
      <w:r w:rsidR="00060AF9" w:rsidRPr="009155A4">
        <w:rPr>
          <w:b w:val="0"/>
          <w:bCs/>
        </w:rPr>
        <w:t xml:space="preserve">. Considerando, las acciones realizadas en impulsar </w:t>
      </w:r>
      <w:r w:rsidR="009E3F22" w:rsidRPr="009155A4">
        <w:rPr>
          <w:b w:val="0"/>
          <w:bCs/>
        </w:rPr>
        <w:t>la celeridad de los procesos judiciales</w:t>
      </w:r>
      <w:r w:rsidR="00F32EB7" w:rsidRPr="009155A4">
        <w:rPr>
          <w:b w:val="0"/>
          <w:bCs/>
        </w:rPr>
        <w:t>.</w:t>
      </w:r>
      <w:bookmarkEnd w:id="244"/>
    </w:p>
    <w:p w14:paraId="752214E2" w14:textId="482F92E9" w:rsidR="00434C04" w:rsidRPr="009155A4" w:rsidRDefault="00EC5306" w:rsidP="009155A4">
      <w:pPr>
        <w:pStyle w:val="Titulo3"/>
        <w:numPr>
          <w:ilvl w:val="0"/>
          <w:numId w:val="0"/>
        </w:numPr>
        <w:ind w:left="720" w:hanging="720"/>
        <w:rPr>
          <w:b w:val="0"/>
          <w:bCs/>
        </w:rPr>
      </w:pPr>
      <w:bookmarkStart w:id="245" w:name="_Toc132639585"/>
      <w:r>
        <w:rPr>
          <w:b w:val="0"/>
          <w:bCs/>
        </w:rPr>
        <w:t>20.2.3</w:t>
      </w:r>
      <w:r w:rsidR="005942B4" w:rsidRPr="009155A4">
        <w:rPr>
          <w:b w:val="0"/>
          <w:bCs/>
        </w:rPr>
        <w:t xml:space="preserve"> </w:t>
      </w:r>
      <w:r w:rsidR="00434C04" w:rsidRPr="009155A4">
        <w:rPr>
          <w:b w:val="0"/>
          <w:bCs/>
        </w:rPr>
        <w:t>Solicitar al Centro de Apoyo y Mejoramiento de la Función Jurisdiccional un seguimiento más cercano a los despachos agrarios, de tal forma, que puedan revisar el impacto de los planes de trabajo propuestos por cada oficina</w:t>
      </w:r>
      <w:r w:rsidR="006A4506" w:rsidRPr="009155A4">
        <w:rPr>
          <w:b w:val="0"/>
          <w:bCs/>
        </w:rPr>
        <w:t xml:space="preserve"> y que visualicen en el fondo la mejora de los tiempos de respuesta a lo interno de los Juzgados</w:t>
      </w:r>
      <w:r w:rsidR="00391D58" w:rsidRPr="009155A4">
        <w:rPr>
          <w:b w:val="0"/>
          <w:bCs/>
        </w:rPr>
        <w:t xml:space="preserve">, ya que las clasificaciones descritas demuestran </w:t>
      </w:r>
      <w:r w:rsidR="009910C3" w:rsidRPr="009155A4">
        <w:rPr>
          <w:b w:val="0"/>
          <w:bCs/>
        </w:rPr>
        <w:t>como los asuntos se mantienen mucho tiempo sin impulso procesal</w:t>
      </w:r>
      <w:r w:rsidR="006A4506" w:rsidRPr="009155A4">
        <w:rPr>
          <w:b w:val="0"/>
          <w:bCs/>
        </w:rPr>
        <w:t>.</w:t>
      </w:r>
      <w:bookmarkEnd w:id="245"/>
      <w:r w:rsidR="006A4506" w:rsidRPr="009155A4">
        <w:rPr>
          <w:b w:val="0"/>
          <w:bCs/>
        </w:rPr>
        <w:t xml:space="preserve"> </w:t>
      </w:r>
    </w:p>
    <w:p w14:paraId="0D348361" w14:textId="77777777" w:rsidR="007F1850" w:rsidRPr="00033E65" w:rsidRDefault="007F1850" w:rsidP="00924F24">
      <w:pPr>
        <w:rPr>
          <w:b/>
          <w:i/>
          <w:sz w:val="18"/>
        </w:rPr>
      </w:pPr>
    </w:p>
    <w:p w14:paraId="3F8376CE" w14:textId="12900035" w:rsidR="00D8361A" w:rsidRPr="00033E65" w:rsidRDefault="00EC5306" w:rsidP="00EC5306">
      <w:pPr>
        <w:pStyle w:val="Ttulo2"/>
        <w:numPr>
          <w:ilvl w:val="0"/>
          <w:numId w:val="0"/>
        </w:numPr>
      </w:pPr>
      <w:bookmarkStart w:id="246" w:name="_Toc132639586"/>
      <w:r>
        <w:t xml:space="preserve">21. </w:t>
      </w:r>
      <w:r w:rsidR="00D8361A" w:rsidRPr="00033E65">
        <w:t>Otras Recomendaciones</w:t>
      </w:r>
      <w:bookmarkEnd w:id="246"/>
      <w:r w:rsidR="00D8361A" w:rsidRPr="00033E65">
        <w:t xml:space="preserve"> </w:t>
      </w:r>
    </w:p>
    <w:p w14:paraId="70D976FF" w14:textId="648FEA4C" w:rsidR="00766ACF" w:rsidRPr="00A90544" w:rsidRDefault="00D14EF9" w:rsidP="00A90544">
      <w:pPr>
        <w:autoSpaceDE w:val="0"/>
        <w:autoSpaceDN w:val="0"/>
        <w:adjustRightInd w:val="0"/>
        <w:spacing w:before="0" w:after="0"/>
        <w:rPr>
          <w:rFonts w:eastAsiaTheme="minorHAnsi"/>
          <w:szCs w:val="22"/>
          <w:lang w:eastAsia="en-US"/>
        </w:rPr>
      </w:pPr>
      <w:r w:rsidRPr="00D14EF9">
        <w:rPr>
          <w:szCs w:val="22"/>
        </w:rPr>
        <w:t xml:space="preserve">Según lo </w:t>
      </w:r>
      <w:r w:rsidR="00B934DC" w:rsidRPr="00D14EF9">
        <w:rPr>
          <w:szCs w:val="22"/>
        </w:rPr>
        <w:t xml:space="preserve">consignado en el informe </w:t>
      </w:r>
      <w:r w:rsidR="008D117B" w:rsidRPr="00A90544">
        <w:rPr>
          <w:rFonts w:eastAsiaTheme="minorHAnsi"/>
          <w:szCs w:val="22"/>
          <w:lang w:eastAsia="en-US"/>
        </w:rPr>
        <w:t>316-PLA-MI-RH-2022,</w:t>
      </w:r>
      <w:r w:rsidR="00766ACF" w:rsidRPr="00A90544">
        <w:rPr>
          <w:rFonts w:eastAsiaTheme="minorHAnsi"/>
          <w:szCs w:val="22"/>
          <w:lang w:eastAsia="en-US"/>
        </w:rPr>
        <w:t xml:space="preserve"> para la formulación de presupuesto del 2023, se mantienen las siguientes recomendaciones</w:t>
      </w:r>
      <w:r w:rsidR="00A502FF">
        <w:rPr>
          <w:rFonts w:eastAsiaTheme="minorHAnsi"/>
          <w:szCs w:val="22"/>
          <w:lang w:eastAsia="en-US"/>
        </w:rPr>
        <w:t xml:space="preserve"> y se dirigen al Consejo Superior con la finalidad de que se atiendan a la brevedad</w:t>
      </w:r>
      <w:r w:rsidR="00766ACF" w:rsidRPr="00A90544">
        <w:rPr>
          <w:rFonts w:eastAsiaTheme="minorHAnsi"/>
          <w:szCs w:val="22"/>
          <w:lang w:eastAsia="en-US"/>
        </w:rPr>
        <w:t xml:space="preserve">, debido a que el informe fue aprobado por el Consejo Superior en sesión </w:t>
      </w:r>
      <w:r w:rsidRPr="00A90544">
        <w:rPr>
          <w:rFonts w:eastAsiaTheme="minorHAnsi"/>
          <w:szCs w:val="22"/>
          <w:lang w:eastAsia="en-US"/>
        </w:rPr>
        <w:t>N° 36-2022 celebrada el 29 de abril de 2022, artículo XXII, pero no se tiene pronunciamiento concreto</w:t>
      </w:r>
      <w:r w:rsidR="0038561C">
        <w:rPr>
          <w:rFonts w:eastAsiaTheme="minorHAnsi"/>
          <w:szCs w:val="22"/>
          <w:lang w:eastAsia="en-US"/>
        </w:rPr>
        <w:t xml:space="preserve"> y conocimiento de que las mismas se estén atendiendo</w:t>
      </w:r>
      <w:r w:rsidR="00C17E46">
        <w:rPr>
          <w:rFonts w:eastAsiaTheme="minorHAnsi"/>
          <w:szCs w:val="22"/>
          <w:lang w:eastAsia="en-US"/>
        </w:rPr>
        <w:t xml:space="preserve"> </w:t>
      </w:r>
      <w:r w:rsidR="00A90544">
        <w:rPr>
          <w:rFonts w:eastAsiaTheme="minorHAnsi"/>
          <w:szCs w:val="22"/>
          <w:lang w:eastAsia="en-US"/>
        </w:rPr>
        <w:t>´por los encargados</w:t>
      </w:r>
      <w:r w:rsidR="0038561C">
        <w:rPr>
          <w:rFonts w:eastAsiaTheme="minorHAnsi"/>
          <w:szCs w:val="22"/>
          <w:lang w:eastAsia="en-US"/>
        </w:rPr>
        <w:t xml:space="preserve">, por tanto, </w:t>
      </w:r>
      <w:r>
        <w:rPr>
          <w:rFonts w:eastAsiaTheme="minorHAnsi"/>
          <w:szCs w:val="22"/>
          <w:lang w:eastAsia="en-US"/>
        </w:rPr>
        <w:t xml:space="preserve"> se mantienen pendientes </w:t>
      </w:r>
      <w:r w:rsidR="00EB43E9">
        <w:rPr>
          <w:rFonts w:eastAsiaTheme="minorHAnsi"/>
          <w:szCs w:val="22"/>
          <w:lang w:eastAsia="en-US"/>
        </w:rPr>
        <w:t>algunos de los elementos</w:t>
      </w:r>
      <w:r w:rsidR="00D51248">
        <w:rPr>
          <w:rFonts w:eastAsiaTheme="minorHAnsi"/>
          <w:szCs w:val="22"/>
          <w:lang w:eastAsia="en-US"/>
        </w:rPr>
        <w:t xml:space="preserve"> y </w:t>
      </w:r>
      <w:r w:rsidR="00EB43E9">
        <w:rPr>
          <w:rFonts w:eastAsiaTheme="minorHAnsi"/>
          <w:szCs w:val="22"/>
          <w:lang w:eastAsia="en-US"/>
        </w:rPr>
        <w:t xml:space="preserve"> se reiteran nuevamente</w:t>
      </w:r>
      <w:r w:rsidRPr="00A90544">
        <w:rPr>
          <w:rFonts w:eastAsiaTheme="minorHAnsi"/>
          <w:szCs w:val="22"/>
          <w:lang w:eastAsia="en-US"/>
        </w:rPr>
        <w:t xml:space="preserve">: </w:t>
      </w:r>
    </w:p>
    <w:p w14:paraId="6BA09170" w14:textId="77777777" w:rsidR="00766ACF" w:rsidRDefault="00766ACF" w:rsidP="00A90544">
      <w:pPr>
        <w:autoSpaceDE w:val="0"/>
        <w:autoSpaceDN w:val="0"/>
        <w:adjustRightInd w:val="0"/>
        <w:spacing w:before="0" w:after="0"/>
        <w:jc w:val="left"/>
      </w:pPr>
    </w:p>
    <w:p w14:paraId="6794C6C1" w14:textId="17C99C89" w:rsidR="00D8361A" w:rsidRPr="00033E65" w:rsidRDefault="00D8361A">
      <w:pPr>
        <w:pStyle w:val="Prrafodelista"/>
        <w:numPr>
          <w:ilvl w:val="0"/>
          <w:numId w:val="16"/>
        </w:numPr>
        <w:ind w:left="714" w:hanging="357"/>
        <w:contextualSpacing w:val="0"/>
      </w:pPr>
      <w:r w:rsidRPr="00033E65">
        <w:t>Se recomienda a la Comisión de la Jurisdicción Agraria, redactar el Reglamento para el Fondo de Financiamiento de la Jurisdicción Agraria, el cual debe remitirlo en aprobación a Corte Plena</w:t>
      </w:r>
      <w:r w:rsidR="00165E7B" w:rsidRPr="00033E65">
        <w:t>, cuando se implemente la ley, según el apartado 3.3.7</w:t>
      </w:r>
      <w:r w:rsidRPr="00033E65">
        <w:t>.</w:t>
      </w:r>
      <w:r w:rsidR="00737C75" w:rsidRPr="00033E65">
        <w:t xml:space="preserve"> </w:t>
      </w:r>
    </w:p>
    <w:p w14:paraId="5199C110" w14:textId="485EF680" w:rsidR="00D8361A" w:rsidRPr="00033E65" w:rsidRDefault="00D8361A">
      <w:pPr>
        <w:pStyle w:val="Prrafodelista"/>
        <w:numPr>
          <w:ilvl w:val="0"/>
          <w:numId w:val="16"/>
        </w:numPr>
        <w:ind w:left="714" w:hanging="357"/>
        <w:contextualSpacing w:val="0"/>
      </w:pPr>
      <w:r w:rsidRPr="00033E65">
        <w:t>Se recomienda a la Defensa Pública, redactar el Reglamento para el Fondo de fortalecimiento de la Defensa Pública, el cual debe remitirlo en aprobación a Corte Plena.</w:t>
      </w:r>
    </w:p>
    <w:p w14:paraId="601047B7" w14:textId="22C35E13" w:rsidR="0002307A" w:rsidRPr="00033E65" w:rsidRDefault="0002307A">
      <w:pPr>
        <w:pStyle w:val="Prrafodelista"/>
        <w:numPr>
          <w:ilvl w:val="0"/>
          <w:numId w:val="16"/>
        </w:numPr>
      </w:pPr>
      <w:r w:rsidRPr="00033E65">
        <w:t xml:space="preserve">En Centro de Apoyo, Coordinación y Mejoramiento a la Función Jurisdiccional deberá velar, porque en los planes de descongestionamiento con plazas de personal juzgador que pertenecen al CACMFJ, se cumplan las cuotas de trabajo de las Juezas y Jueces Agrarios y las técnicas y técnicos judiciales, de forma que se colabore a los despachos, además, tomando en consideración el circulante en trámite por fase, para movilizar los expedientes de la fase de demanda y lleguen a ejecución, y la cantidad de fallo por plaza de Jueza o Juez. </w:t>
      </w:r>
    </w:p>
    <w:p w14:paraId="7F4617E1" w14:textId="327D1A69" w:rsidR="008147FC" w:rsidRPr="00033E65" w:rsidRDefault="008147FC" w:rsidP="005A097A">
      <w:pPr>
        <w:pStyle w:val="Prrafodelista"/>
      </w:pPr>
    </w:p>
    <w:p w14:paraId="0CB03066" w14:textId="4EDBAD2C" w:rsidR="008B159F" w:rsidRPr="00924F24" w:rsidRDefault="00EC5306" w:rsidP="00EC5306">
      <w:pPr>
        <w:pStyle w:val="Ttulo1"/>
        <w:numPr>
          <w:ilvl w:val="0"/>
          <w:numId w:val="0"/>
        </w:numPr>
      </w:pPr>
      <w:bookmarkStart w:id="247" w:name="_Toc132639587"/>
      <w:r>
        <w:t xml:space="preserve">22. </w:t>
      </w:r>
      <w:r w:rsidR="008B159F" w:rsidRPr="00033E65">
        <w:t>Anexos</w:t>
      </w:r>
      <w:bookmarkEnd w:id="247"/>
    </w:p>
    <w:tbl>
      <w:tblPr>
        <w:tblW w:w="8908" w:type="dxa"/>
        <w:jc w:val="center"/>
        <w:tblCellMar>
          <w:left w:w="70" w:type="dxa"/>
          <w:right w:w="70" w:type="dxa"/>
        </w:tblCellMar>
        <w:tblLook w:val="04A0" w:firstRow="1" w:lastRow="0" w:firstColumn="1" w:lastColumn="0" w:noHBand="0" w:noVBand="1"/>
      </w:tblPr>
      <w:tblGrid>
        <w:gridCol w:w="1395"/>
        <w:gridCol w:w="4394"/>
        <w:gridCol w:w="3119"/>
      </w:tblGrid>
      <w:tr w:rsidR="0002307A" w:rsidRPr="00033E65" w14:paraId="2E01B6C9" w14:textId="77777777" w:rsidTr="004A142B">
        <w:trPr>
          <w:trHeight w:val="335"/>
          <w:tblHeader/>
          <w:jc w:val="center"/>
        </w:trPr>
        <w:tc>
          <w:tcPr>
            <w:tcW w:w="1395" w:type="dxa"/>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588CC963" w14:textId="77777777" w:rsidR="0002307A" w:rsidRPr="00033E65" w:rsidRDefault="0002307A" w:rsidP="00A34FFD">
            <w:pPr>
              <w:spacing w:before="0" w:after="0"/>
              <w:jc w:val="center"/>
              <w:rPr>
                <w:b/>
                <w:bCs/>
                <w:color w:val="FFFFFF" w:themeColor="background1"/>
                <w:szCs w:val="22"/>
                <w:lang w:eastAsia="es-CR"/>
              </w:rPr>
            </w:pPr>
            <w:r w:rsidRPr="00033E65">
              <w:rPr>
                <w:b/>
                <w:bCs/>
                <w:color w:val="FFFFFF" w:themeColor="background1"/>
                <w:szCs w:val="22"/>
                <w:lang w:eastAsia="es-CR"/>
              </w:rPr>
              <w:t>Anexo</w:t>
            </w:r>
          </w:p>
        </w:tc>
        <w:tc>
          <w:tcPr>
            <w:tcW w:w="4394" w:type="dxa"/>
            <w:tcBorders>
              <w:top w:val="double" w:sz="6" w:space="0" w:color="44546A"/>
              <w:left w:val="nil"/>
              <w:bottom w:val="double" w:sz="6" w:space="0" w:color="44546A"/>
              <w:right w:val="double" w:sz="6" w:space="0" w:color="44546A"/>
            </w:tcBorders>
            <w:shd w:val="clear" w:color="000000" w:fill="0673A5"/>
            <w:noWrap/>
            <w:vAlign w:val="center"/>
            <w:hideMark/>
          </w:tcPr>
          <w:p w14:paraId="2C16CEBB" w14:textId="77777777" w:rsidR="0002307A" w:rsidRPr="00033E65" w:rsidRDefault="0002307A" w:rsidP="00A34FFD">
            <w:pPr>
              <w:spacing w:before="0" w:after="0"/>
              <w:jc w:val="center"/>
              <w:rPr>
                <w:b/>
                <w:bCs/>
                <w:color w:val="FFFFFF" w:themeColor="background1"/>
                <w:szCs w:val="22"/>
                <w:lang w:eastAsia="es-CR"/>
              </w:rPr>
            </w:pPr>
            <w:r w:rsidRPr="00033E65">
              <w:rPr>
                <w:b/>
                <w:bCs/>
                <w:color w:val="FFFFFF" w:themeColor="background1"/>
                <w:szCs w:val="22"/>
                <w:lang w:eastAsia="es-CR"/>
              </w:rPr>
              <w:t>Nombre</w:t>
            </w:r>
          </w:p>
        </w:tc>
        <w:tc>
          <w:tcPr>
            <w:tcW w:w="3119" w:type="dxa"/>
            <w:tcBorders>
              <w:top w:val="double" w:sz="6" w:space="0" w:color="44546A"/>
              <w:left w:val="nil"/>
              <w:bottom w:val="double" w:sz="6" w:space="0" w:color="44546A"/>
              <w:right w:val="double" w:sz="6" w:space="0" w:color="44546A"/>
            </w:tcBorders>
            <w:shd w:val="clear" w:color="000000" w:fill="0673A5"/>
            <w:noWrap/>
            <w:vAlign w:val="center"/>
            <w:hideMark/>
          </w:tcPr>
          <w:p w14:paraId="0205A7C4" w14:textId="77777777" w:rsidR="0002307A" w:rsidRPr="00033E65" w:rsidRDefault="0002307A" w:rsidP="00A34FFD">
            <w:pPr>
              <w:spacing w:before="0" w:after="0"/>
              <w:jc w:val="center"/>
              <w:rPr>
                <w:b/>
                <w:bCs/>
                <w:color w:val="FFFFFF" w:themeColor="background1"/>
                <w:szCs w:val="22"/>
                <w:lang w:eastAsia="es-CR"/>
              </w:rPr>
            </w:pPr>
            <w:r w:rsidRPr="00033E65">
              <w:rPr>
                <w:b/>
                <w:bCs/>
                <w:color w:val="FFFFFF" w:themeColor="background1"/>
                <w:szCs w:val="22"/>
                <w:lang w:eastAsia="es-CR"/>
              </w:rPr>
              <w:t>Documento</w:t>
            </w:r>
          </w:p>
        </w:tc>
      </w:tr>
      <w:tr w:rsidR="0002307A" w:rsidRPr="00033E65" w14:paraId="1C74C23E"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hideMark/>
          </w:tcPr>
          <w:p w14:paraId="12CE19C9" w14:textId="77777777" w:rsidR="0002307A" w:rsidRPr="00033E65" w:rsidRDefault="0002307A" w:rsidP="00A34FFD">
            <w:pPr>
              <w:spacing w:before="0" w:after="0"/>
              <w:jc w:val="center"/>
              <w:rPr>
                <w:b/>
                <w:bCs/>
                <w:i/>
                <w:iCs/>
                <w:szCs w:val="22"/>
                <w:lang w:eastAsia="es-CR"/>
              </w:rPr>
            </w:pPr>
            <w:r w:rsidRPr="00033E65">
              <w:rPr>
                <w:b/>
                <w:bCs/>
                <w:i/>
                <w:iCs/>
                <w:szCs w:val="22"/>
                <w:lang w:eastAsia="es-CR"/>
              </w:rPr>
              <w:t>1</w:t>
            </w:r>
          </w:p>
        </w:tc>
        <w:tc>
          <w:tcPr>
            <w:tcW w:w="4394" w:type="dxa"/>
            <w:tcBorders>
              <w:top w:val="nil"/>
              <w:left w:val="nil"/>
              <w:bottom w:val="double" w:sz="6" w:space="0" w:color="44546A"/>
              <w:right w:val="double" w:sz="6" w:space="0" w:color="44546A"/>
            </w:tcBorders>
            <w:shd w:val="clear" w:color="auto" w:fill="auto"/>
            <w:vAlign w:val="center"/>
            <w:hideMark/>
          </w:tcPr>
          <w:p w14:paraId="07BFF98F" w14:textId="33D49DC2" w:rsidR="0002307A" w:rsidRPr="00033E65" w:rsidRDefault="00C51C75" w:rsidP="00C51C75">
            <w:pPr>
              <w:spacing w:before="0" w:after="0"/>
              <w:jc w:val="center"/>
              <w:rPr>
                <w:szCs w:val="22"/>
                <w:lang w:eastAsia="es-CR"/>
              </w:rPr>
            </w:pPr>
            <w:r w:rsidRPr="00033E65">
              <w:rPr>
                <w:szCs w:val="22"/>
                <w:lang w:eastAsia="es-CR"/>
              </w:rPr>
              <w:t>Correo del Lic. Jesus Chaves Mora Coordinador de la Unidad de Defensa Pública Agraria y la Administración de la Defensa Pública</w:t>
            </w:r>
          </w:p>
        </w:tc>
        <w:tc>
          <w:tcPr>
            <w:tcW w:w="3119" w:type="dxa"/>
            <w:tcBorders>
              <w:top w:val="nil"/>
              <w:left w:val="nil"/>
              <w:bottom w:val="double" w:sz="6" w:space="0" w:color="44546A"/>
              <w:right w:val="double" w:sz="6" w:space="0" w:color="44546A"/>
            </w:tcBorders>
            <w:shd w:val="clear" w:color="auto" w:fill="auto"/>
            <w:noWrap/>
            <w:vAlign w:val="center"/>
            <w:hideMark/>
          </w:tcPr>
          <w:p w14:paraId="6AD585A4" w14:textId="6AE2926C" w:rsidR="0002307A" w:rsidRPr="00033E65" w:rsidRDefault="0002307A" w:rsidP="00A34FFD">
            <w:pPr>
              <w:spacing w:before="0" w:after="0"/>
              <w:jc w:val="center"/>
              <w:rPr>
                <w:szCs w:val="22"/>
                <w:lang w:eastAsia="es-CR"/>
              </w:rPr>
            </w:pPr>
            <w:bookmarkStart w:id="248" w:name="RANGE!F6"/>
            <w:r w:rsidRPr="00033E65">
              <w:rPr>
                <w:szCs w:val="22"/>
                <w:lang w:eastAsia="es-CR"/>
              </w:rPr>
              <w:t> </w:t>
            </w:r>
            <w:bookmarkEnd w:id="248"/>
            <w:r w:rsidR="004F1FE9" w:rsidRPr="00033E65">
              <w:rPr>
                <w:szCs w:val="22"/>
                <w:lang w:eastAsia="es-CR"/>
              </w:rPr>
              <w:object w:dxaOrig="1508" w:dyaOrig="984" w14:anchorId="3CBB6E19">
                <v:shape id="_x0000_i1026" type="#_x0000_t75" style="width:57pt;height:37.2pt" o:ole="">
                  <v:imagedata r:id="rId46" o:title=""/>
                </v:shape>
                <o:OLEObject Type="Embed" ProgID="Package" ShapeID="_x0000_i1026" DrawAspect="Icon" ObjectID="_1745989760" r:id="rId47"/>
              </w:object>
            </w:r>
            <w:r w:rsidR="004F1FE9" w:rsidRPr="00033E65">
              <w:rPr>
                <w:szCs w:val="22"/>
                <w:lang w:eastAsia="es-CR"/>
              </w:rPr>
              <w:t xml:space="preserve">  </w:t>
            </w:r>
            <w:r w:rsidR="004F1FE9" w:rsidRPr="00033E65">
              <w:rPr>
                <w:szCs w:val="22"/>
                <w:lang w:eastAsia="es-CR"/>
              </w:rPr>
              <w:object w:dxaOrig="1508" w:dyaOrig="984" w14:anchorId="1AAAE55F">
                <v:shape id="_x0000_i1027" type="#_x0000_t75" style="width:60.6pt;height:39.6pt" o:ole="">
                  <v:imagedata r:id="rId48" o:title=""/>
                </v:shape>
                <o:OLEObject Type="Embed" ProgID="Package" ShapeID="_x0000_i1027" DrawAspect="Icon" ObjectID="_1745989761" r:id="rId49"/>
              </w:object>
            </w:r>
          </w:p>
        </w:tc>
      </w:tr>
      <w:tr w:rsidR="0002307A" w:rsidRPr="00033E65" w14:paraId="54398D9D"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hideMark/>
          </w:tcPr>
          <w:p w14:paraId="5763BE1B" w14:textId="20D0769C" w:rsidR="0002307A" w:rsidRPr="00033E65" w:rsidRDefault="001718A0" w:rsidP="00A34FFD">
            <w:pPr>
              <w:spacing w:before="0" w:after="0"/>
              <w:jc w:val="center"/>
              <w:rPr>
                <w:b/>
                <w:bCs/>
                <w:i/>
                <w:iCs/>
                <w:szCs w:val="22"/>
                <w:lang w:eastAsia="es-CR"/>
              </w:rPr>
            </w:pPr>
            <w:r w:rsidRPr="00033E65">
              <w:rPr>
                <w:b/>
                <w:bCs/>
                <w:i/>
                <w:iCs/>
                <w:szCs w:val="22"/>
                <w:lang w:eastAsia="es-CR"/>
              </w:rPr>
              <w:t>2</w:t>
            </w:r>
          </w:p>
        </w:tc>
        <w:tc>
          <w:tcPr>
            <w:tcW w:w="4394" w:type="dxa"/>
            <w:tcBorders>
              <w:top w:val="nil"/>
              <w:left w:val="nil"/>
              <w:bottom w:val="double" w:sz="6" w:space="0" w:color="44546A"/>
              <w:right w:val="double" w:sz="6" w:space="0" w:color="44546A"/>
            </w:tcBorders>
            <w:shd w:val="clear" w:color="auto" w:fill="auto"/>
            <w:vAlign w:val="center"/>
            <w:hideMark/>
          </w:tcPr>
          <w:p w14:paraId="2880E535" w14:textId="77777777" w:rsidR="0002307A" w:rsidRPr="00033E65" w:rsidRDefault="0002307A" w:rsidP="00A34FFD">
            <w:pPr>
              <w:spacing w:before="0" w:after="0"/>
              <w:jc w:val="center"/>
              <w:rPr>
                <w:szCs w:val="22"/>
                <w:lang w:eastAsia="es-CR"/>
              </w:rPr>
            </w:pPr>
            <w:r w:rsidRPr="00033E65">
              <w:rPr>
                <w:szCs w:val="22"/>
              </w:rPr>
              <w:t>Minuta de primera sesión de seguimiento Implementación Reforma Procesal Agraria</w:t>
            </w:r>
            <w:r w:rsidRPr="00033E65">
              <w:rPr>
                <w:szCs w:val="22"/>
                <w:lang w:eastAsia="es-CR"/>
              </w:rPr>
              <w:t> </w:t>
            </w:r>
          </w:p>
        </w:tc>
        <w:bookmarkStart w:id="249" w:name="_MON_1614689562"/>
        <w:bookmarkEnd w:id="249"/>
        <w:tc>
          <w:tcPr>
            <w:tcW w:w="3119" w:type="dxa"/>
            <w:tcBorders>
              <w:top w:val="nil"/>
              <w:left w:val="nil"/>
              <w:bottom w:val="double" w:sz="6" w:space="0" w:color="44546A"/>
              <w:right w:val="double" w:sz="6" w:space="0" w:color="44546A"/>
            </w:tcBorders>
            <w:shd w:val="clear" w:color="auto" w:fill="auto"/>
            <w:noWrap/>
            <w:vAlign w:val="center"/>
            <w:hideMark/>
          </w:tcPr>
          <w:p w14:paraId="73E5DC19" w14:textId="7F000EF5" w:rsidR="0002307A" w:rsidRPr="00033E65" w:rsidRDefault="005E7A57" w:rsidP="00A34FFD">
            <w:pPr>
              <w:spacing w:before="0" w:after="0"/>
              <w:jc w:val="center"/>
              <w:rPr>
                <w:szCs w:val="22"/>
                <w:lang w:eastAsia="es-CR"/>
              </w:rPr>
            </w:pPr>
            <w:r w:rsidRPr="00924F24">
              <w:rPr>
                <w:sz w:val="12"/>
                <w:szCs w:val="12"/>
              </w:rPr>
              <w:object w:dxaOrig="2520" w:dyaOrig="1640" w14:anchorId="3B348B38">
                <v:shape id="_x0000_i1028" type="#_x0000_t75" style="width:126pt;height:82.2pt" o:ole="">
                  <v:imagedata r:id="rId50" o:title=""/>
                </v:shape>
                <o:OLEObject Type="Embed" ProgID="Word.Document.12" ShapeID="_x0000_i1028" DrawAspect="Icon" ObjectID="_1745989762" r:id="rId51">
                  <o:FieldCodes>\s</o:FieldCodes>
                </o:OLEObject>
              </w:object>
            </w:r>
            <w:r w:rsidR="0002307A" w:rsidRPr="00033E65">
              <w:rPr>
                <w:szCs w:val="22"/>
                <w:lang w:eastAsia="es-CR"/>
              </w:rPr>
              <w:t> </w:t>
            </w:r>
          </w:p>
        </w:tc>
      </w:tr>
      <w:tr w:rsidR="0002307A" w:rsidRPr="00033E65" w14:paraId="3F72AE60"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hideMark/>
          </w:tcPr>
          <w:p w14:paraId="3EFA947B" w14:textId="68AE03F2" w:rsidR="0002307A" w:rsidRPr="00033E65" w:rsidRDefault="00FB2F8E" w:rsidP="00A34FFD">
            <w:pPr>
              <w:spacing w:before="0" w:after="0"/>
              <w:jc w:val="center"/>
              <w:rPr>
                <w:b/>
                <w:bCs/>
                <w:i/>
                <w:iCs/>
                <w:szCs w:val="22"/>
                <w:lang w:eastAsia="es-CR"/>
              </w:rPr>
            </w:pPr>
            <w:r w:rsidRPr="00033E65">
              <w:rPr>
                <w:b/>
                <w:bCs/>
                <w:i/>
                <w:iCs/>
                <w:szCs w:val="22"/>
                <w:lang w:eastAsia="es-CR"/>
              </w:rPr>
              <w:t>3</w:t>
            </w:r>
          </w:p>
        </w:tc>
        <w:tc>
          <w:tcPr>
            <w:tcW w:w="4394" w:type="dxa"/>
            <w:tcBorders>
              <w:top w:val="nil"/>
              <w:left w:val="nil"/>
              <w:bottom w:val="double" w:sz="6" w:space="0" w:color="44546A"/>
              <w:right w:val="double" w:sz="6" w:space="0" w:color="44546A"/>
            </w:tcBorders>
            <w:shd w:val="clear" w:color="auto" w:fill="auto"/>
            <w:vAlign w:val="center"/>
            <w:hideMark/>
          </w:tcPr>
          <w:p w14:paraId="2E1F015C" w14:textId="77777777" w:rsidR="0002307A" w:rsidRPr="00033E65" w:rsidRDefault="0002307A" w:rsidP="00A34FFD">
            <w:pPr>
              <w:spacing w:before="0" w:after="0"/>
              <w:jc w:val="center"/>
              <w:rPr>
                <w:szCs w:val="22"/>
                <w:lang w:eastAsia="es-CR"/>
              </w:rPr>
            </w:pPr>
            <w:r w:rsidRPr="00033E65">
              <w:rPr>
                <w:szCs w:val="22"/>
                <w:lang w:eastAsia="es-CR"/>
              </w:rPr>
              <w:t> </w:t>
            </w:r>
            <w:r w:rsidRPr="00033E65">
              <w:rPr>
                <w:szCs w:val="22"/>
              </w:rPr>
              <w:t>Respuesta a información Solicitada a la Licda. Vargas respecto Capacitación CONCILIACION</w:t>
            </w:r>
          </w:p>
        </w:tc>
        <w:tc>
          <w:tcPr>
            <w:tcW w:w="3119" w:type="dxa"/>
            <w:tcBorders>
              <w:top w:val="nil"/>
              <w:left w:val="nil"/>
              <w:bottom w:val="double" w:sz="6" w:space="0" w:color="44546A"/>
              <w:right w:val="double" w:sz="6" w:space="0" w:color="44546A"/>
            </w:tcBorders>
            <w:shd w:val="clear" w:color="auto" w:fill="auto"/>
            <w:noWrap/>
            <w:vAlign w:val="center"/>
            <w:hideMark/>
          </w:tcPr>
          <w:p w14:paraId="7683F59E" w14:textId="529F52F5" w:rsidR="0002307A" w:rsidRPr="00033E65" w:rsidRDefault="009155A4" w:rsidP="00A34FFD">
            <w:pPr>
              <w:spacing w:before="0" w:after="0"/>
              <w:jc w:val="center"/>
              <w:rPr>
                <w:szCs w:val="22"/>
                <w:lang w:eastAsia="es-CR"/>
              </w:rPr>
            </w:pPr>
            <w:r w:rsidRPr="00033E65">
              <w:rPr>
                <w:szCs w:val="22"/>
              </w:rPr>
              <w:object w:dxaOrig="2520" w:dyaOrig="1640" w14:anchorId="69CDBBD5">
                <v:shape id="_x0000_i1029" type="#_x0000_t75" style="width:95.4pt;height:55.8pt" o:ole="">
                  <v:imagedata r:id="rId52" o:title=""/>
                </v:shape>
                <o:OLEObject Type="Embed" ProgID="Package" ShapeID="_x0000_i1029" DrawAspect="Icon" ObjectID="_1745989763" r:id="rId53"/>
              </w:object>
            </w:r>
            <w:r w:rsidR="0002307A" w:rsidRPr="00033E65">
              <w:rPr>
                <w:szCs w:val="22"/>
                <w:lang w:eastAsia="es-CR"/>
              </w:rPr>
              <w:t> </w:t>
            </w:r>
          </w:p>
        </w:tc>
      </w:tr>
      <w:tr w:rsidR="0002307A" w:rsidRPr="00033E65" w14:paraId="0D924A52"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hideMark/>
          </w:tcPr>
          <w:p w14:paraId="2D987C02" w14:textId="3366BD8E" w:rsidR="0002307A" w:rsidRPr="00033E65" w:rsidRDefault="00FB2F8E" w:rsidP="00A34FFD">
            <w:pPr>
              <w:spacing w:before="0" w:after="0"/>
              <w:jc w:val="center"/>
              <w:rPr>
                <w:b/>
                <w:bCs/>
                <w:i/>
                <w:iCs/>
                <w:szCs w:val="22"/>
                <w:lang w:eastAsia="es-CR"/>
              </w:rPr>
            </w:pPr>
            <w:r w:rsidRPr="00033E65">
              <w:rPr>
                <w:b/>
                <w:bCs/>
                <w:i/>
                <w:iCs/>
                <w:szCs w:val="22"/>
                <w:lang w:eastAsia="es-CR"/>
              </w:rPr>
              <w:t>4</w:t>
            </w:r>
          </w:p>
        </w:tc>
        <w:tc>
          <w:tcPr>
            <w:tcW w:w="4394" w:type="dxa"/>
            <w:tcBorders>
              <w:top w:val="nil"/>
              <w:left w:val="nil"/>
              <w:bottom w:val="double" w:sz="6" w:space="0" w:color="44546A"/>
              <w:right w:val="double" w:sz="6" w:space="0" w:color="44546A"/>
            </w:tcBorders>
            <w:shd w:val="clear" w:color="auto" w:fill="auto"/>
            <w:vAlign w:val="center"/>
            <w:hideMark/>
          </w:tcPr>
          <w:p w14:paraId="4DDA181E" w14:textId="77777777" w:rsidR="0002307A" w:rsidRPr="00033E65" w:rsidRDefault="0002307A" w:rsidP="00A34FFD">
            <w:pPr>
              <w:spacing w:before="0" w:after="0"/>
              <w:jc w:val="center"/>
              <w:rPr>
                <w:szCs w:val="22"/>
                <w:lang w:eastAsia="es-CR"/>
              </w:rPr>
            </w:pPr>
            <w:r w:rsidRPr="00033E65">
              <w:rPr>
                <w:szCs w:val="22"/>
              </w:rPr>
              <w:t>Participación de personas juzgadoras conciliadoras en el Taller Medidas Cautelares</w:t>
            </w:r>
            <w:r w:rsidRPr="00033E65">
              <w:rPr>
                <w:szCs w:val="22"/>
                <w:lang w:eastAsia="es-CR"/>
              </w:rPr>
              <w:t> </w:t>
            </w:r>
          </w:p>
        </w:tc>
        <w:tc>
          <w:tcPr>
            <w:tcW w:w="3119" w:type="dxa"/>
            <w:tcBorders>
              <w:top w:val="nil"/>
              <w:left w:val="nil"/>
              <w:bottom w:val="double" w:sz="6" w:space="0" w:color="44546A"/>
              <w:right w:val="double" w:sz="6" w:space="0" w:color="44546A"/>
            </w:tcBorders>
            <w:shd w:val="clear" w:color="auto" w:fill="auto"/>
            <w:noWrap/>
            <w:vAlign w:val="center"/>
            <w:hideMark/>
          </w:tcPr>
          <w:p w14:paraId="42DC0400" w14:textId="35ED0EC7" w:rsidR="0002307A" w:rsidRPr="00033E65" w:rsidRDefault="0002307A" w:rsidP="00A34FFD">
            <w:pPr>
              <w:spacing w:before="0" w:after="0"/>
              <w:jc w:val="center"/>
              <w:rPr>
                <w:szCs w:val="22"/>
                <w:lang w:eastAsia="es-CR"/>
              </w:rPr>
            </w:pPr>
            <w:r w:rsidRPr="00033E65">
              <w:rPr>
                <w:szCs w:val="22"/>
                <w:lang w:eastAsia="es-CR"/>
              </w:rPr>
              <w:t> </w:t>
            </w:r>
            <w:r w:rsidR="009155A4" w:rsidRPr="00033E65">
              <w:rPr>
                <w:szCs w:val="22"/>
              </w:rPr>
              <w:object w:dxaOrig="2520" w:dyaOrig="1640" w14:anchorId="14ABC814">
                <v:shape id="_x0000_i1030" type="#_x0000_t75" style="width:83.4pt;height:57.6pt" o:ole="">
                  <v:imagedata r:id="rId54" o:title=""/>
                </v:shape>
                <o:OLEObject Type="Embed" ProgID="Package" ShapeID="_x0000_i1030" DrawAspect="Icon" ObjectID="_1745989764" r:id="rId55"/>
              </w:object>
            </w:r>
          </w:p>
        </w:tc>
      </w:tr>
      <w:tr w:rsidR="0002307A" w:rsidRPr="00033E65" w14:paraId="28EFD1E2"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hideMark/>
          </w:tcPr>
          <w:p w14:paraId="4039E8DB" w14:textId="70093493" w:rsidR="0002307A" w:rsidRPr="00033E65" w:rsidRDefault="00CD6E69" w:rsidP="00A34FFD">
            <w:pPr>
              <w:spacing w:before="0" w:after="0"/>
              <w:jc w:val="center"/>
              <w:rPr>
                <w:b/>
                <w:bCs/>
                <w:i/>
                <w:iCs/>
                <w:szCs w:val="22"/>
                <w:lang w:eastAsia="es-CR"/>
              </w:rPr>
            </w:pPr>
            <w:r w:rsidRPr="00033E65">
              <w:rPr>
                <w:b/>
                <w:bCs/>
                <w:i/>
                <w:iCs/>
                <w:szCs w:val="22"/>
                <w:lang w:eastAsia="es-CR"/>
              </w:rPr>
              <w:t>5</w:t>
            </w:r>
          </w:p>
        </w:tc>
        <w:tc>
          <w:tcPr>
            <w:tcW w:w="4394" w:type="dxa"/>
            <w:tcBorders>
              <w:top w:val="nil"/>
              <w:left w:val="nil"/>
              <w:bottom w:val="double" w:sz="6" w:space="0" w:color="44546A"/>
              <w:right w:val="double" w:sz="6" w:space="0" w:color="44546A"/>
            </w:tcBorders>
            <w:shd w:val="clear" w:color="auto" w:fill="auto"/>
            <w:vAlign w:val="center"/>
            <w:hideMark/>
          </w:tcPr>
          <w:p w14:paraId="08A6F4D3" w14:textId="77777777" w:rsidR="0002307A" w:rsidRPr="00033E65" w:rsidRDefault="0002307A" w:rsidP="00A34FFD">
            <w:pPr>
              <w:spacing w:before="0" w:after="0"/>
              <w:jc w:val="center"/>
              <w:rPr>
                <w:szCs w:val="22"/>
                <w:lang w:eastAsia="es-CR"/>
              </w:rPr>
            </w:pPr>
            <w:r w:rsidRPr="00033E65">
              <w:rPr>
                <w:szCs w:val="22"/>
                <w:lang w:eastAsia="es-CR"/>
              </w:rPr>
              <w:t> </w:t>
            </w:r>
            <w:r w:rsidRPr="00033E65">
              <w:rPr>
                <w:szCs w:val="22"/>
              </w:rPr>
              <w:t>Sobre cursos de CONCILIACIÓN EN MATERIA AGRARIA</w:t>
            </w:r>
          </w:p>
        </w:tc>
        <w:tc>
          <w:tcPr>
            <w:tcW w:w="3119" w:type="dxa"/>
            <w:tcBorders>
              <w:top w:val="nil"/>
              <w:left w:val="nil"/>
              <w:bottom w:val="double" w:sz="6" w:space="0" w:color="44546A"/>
              <w:right w:val="double" w:sz="6" w:space="0" w:color="44546A"/>
            </w:tcBorders>
            <w:shd w:val="clear" w:color="auto" w:fill="auto"/>
            <w:noWrap/>
            <w:vAlign w:val="center"/>
            <w:hideMark/>
          </w:tcPr>
          <w:p w14:paraId="080AFF46" w14:textId="7EF12D86" w:rsidR="0002307A" w:rsidRPr="00033E65" w:rsidRDefault="0002307A" w:rsidP="00A34FFD">
            <w:pPr>
              <w:spacing w:before="0" w:after="0"/>
              <w:jc w:val="center"/>
              <w:rPr>
                <w:szCs w:val="22"/>
                <w:lang w:eastAsia="es-CR"/>
              </w:rPr>
            </w:pPr>
            <w:r w:rsidRPr="00033E65">
              <w:rPr>
                <w:szCs w:val="22"/>
                <w:lang w:eastAsia="es-CR"/>
              </w:rPr>
              <w:t> </w:t>
            </w:r>
            <w:r w:rsidR="009155A4" w:rsidRPr="00033E65">
              <w:rPr>
                <w:szCs w:val="22"/>
              </w:rPr>
              <w:object w:dxaOrig="2520" w:dyaOrig="1640" w14:anchorId="1D2757BF">
                <v:shape id="_x0000_i1031" type="#_x0000_t75" style="width:75.6pt;height:48.6pt" o:ole="">
                  <v:imagedata r:id="rId56" o:title=""/>
                </v:shape>
                <o:OLEObject Type="Embed" ProgID="Package" ShapeID="_x0000_i1031" DrawAspect="Icon" ObjectID="_1745989765" r:id="rId57"/>
              </w:object>
            </w:r>
          </w:p>
        </w:tc>
      </w:tr>
      <w:tr w:rsidR="0002307A" w:rsidRPr="00033E65" w14:paraId="086BF025"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hideMark/>
          </w:tcPr>
          <w:p w14:paraId="1353A073" w14:textId="744DA51C" w:rsidR="0002307A" w:rsidRPr="00033E65" w:rsidRDefault="00CD6E69" w:rsidP="00A34FFD">
            <w:pPr>
              <w:spacing w:before="0" w:after="0"/>
              <w:jc w:val="center"/>
              <w:rPr>
                <w:b/>
                <w:bCs/>
                <w:i/>
                <w:iCs/>
                <w:szCs w:val="22"/>
                <w:lang w:eastAsia="es-CR"/>
              </w:rPr>
            </w:pPr>
            <w:r w:rsidRPr="00033E65">
              <w:rPr>
                <w:b/>
                <w:bCs/>
                <w:i/>
                <w:iCs/>
                <w:szCs w:val="22"/>
                <w:lang w:eastAsia="es-CR"/>
              </w:rPr>
              <w:t>6</w:t>
            </w:r>
          </w:p>
        </w:tc>
        <w:tc>
          <w:tcPr>
            <w:tcW w:w="4394" w:type="dxa"/>
            <w:tcBorders>
              <w:top w:val="nil"/>
              <w:left w:val="nil"/>
              <w:bottom w:val="double" w:sz="6" w:space="0" w:color="44546A"/>
              <w:right w:val="double" w:sz="6" w:space="0" w:color="44546A"/>
            </w:tcBorders>
            <w:shd w:val="clear" w:color="auto" w:fill="auto"/>
            <w:vAlign w:val="center"/>
            <w:hideMark/>
          </w:tcPr>
          <w:p w14:paraId="0A3F0AFC" w14:textId="77777777" w:rsidR="0002307A" w:rsidRPr="00033E65" w:rsidRDefault="0002307A" w:rsidP="00A34FFD">
            <w:pPr>
              <w:spacing w:before="0" w:after="0"/>
              <w:jc w:val="center"/>
              <w:rPr>
                <w:szCs w:val="22"/>
                <w:lang w:eastAsia="es-CR"/>
              </w:rPr>
            </w:pPr>
            <w:r w:rsidRPr="00033E65">
              <w:rPr>
                <w:szCs w:val="22"/>
                <w:lang w:eastAsia="es-CR"/>
              </w:rPr>
              <w:t> </w:t>
            </w:r>
            <w:r w:rsidRPr="00033E65">
              <w:rPr>
                <w:szCs w:val="22"/>
              </w:rPr>
              <w:t>Plan Piloto Colaboración del Centro de Conciliación del Poder Judicial para el proyecto de implementación del Código Procesal Agrario</w:t>
            </w:r>
          </w:p>
        </w:tc>
        <w:tc>
          <w:tcPr>
            <w:tcW w:w="3119" w:type="dxa"/>
            <w:tcBorders>
              <w:top w:val="nil"/>
              <w:left w:val="nil"/>
              <w:bottom w:val="double" w:sz="6" w:space="0" w:color="44546A"/>
              <w:right w:val="double" w:sz="6" w:space="0" w:color="44546A"/>
            </w:tcBorders>
            <w:shd w:val="clear" w:color="auto" w:fill="auto"/>
            <w:noWrap/>
            <w:vAlign w:val="center"/>
            <w:hideMark/>
          </w:tcPr>
          <w:p w14:paraId="2F9529A8" w14:textId="6E739EE2" w:rsidR="0002307A" w:rsidRPr="00033E65" w:rsidRDefault="0002307A" w:rsidP="00A34FFD">
            <w:pPr>
              <w:spacing w:before="0" w:after="0"/>
              <w:jc w:val="center"/>
              <w:rPr>
                <w:szCs w:val="22"/>
                <w:lang w:eastAsia="es-CR"/>
              </w:rPr>
            </w:pPr>
            <w:r w:rsidRPr="00033E65">
              <w:rPr>
                <w:szCs w:val="22"/>
                <w:lang w:eastAsia="es-CR"/>
              </w:rPr>
              <w:t> </w:t>
            </w:r>
            <w:r w:rsidR="009155A4" w:rsidRPr="00033E65">
              <w:rPr>
                <w:szCs w:val="22"/>
              </w:rPr>
              <w:object w:dxaOrig="2520" w:dyaOrig="1640" w14:anchorId="095E01DF">
                <v:shape id="_x0000_i1032" type="#_x0000_t75" style="width:79.8pt;height:56.4pt" o:ole="">
                  <v:imagedata r:id="rId58" o:title=""/>
                </v:shape>
                <o:OLEObject Type="Embed" ProgID="Package" ShapeID="_x0000_i1032" DrawAspect="Icon" ObjectID="_1745989766" r:id="rId59"/>
              </w:object>
            </w:r>
          </w:p>
        </w:tc>
      </w:tr>
      <w:tr w:rsidR="0002307A" w:rsidRPr="00033E65" w14:paraId="39868CCA"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hideMark/>
          </w:tcPr>
          <w:p w14:paraId="2FE87450" w14:textId="702427E9" w:rsidR="0002307A" w:rsidRPr="00033E65" w:rsidRDefault="00CD6E69" w:rsidP="00A34FFD">
            <w:pPr>
              <w:spacing w:before="0" w:after="0"/>
              <w:jc w:val="center"/>
              <w:rPr>
                <w:b/>
                <w:bCs/>
                <w:i/>
                <w:iCs/>
                <w:szCs w:val="22"/>
                <w:lang w:eastAsia="es-CR"/>
              </w:rPr>
            </w:pPr>
            <w:r w:rsidRPr="00033E65">
              <w:rPr>
                <w:b/>
                <w:bCs/>
                <w:i/>
                <w:iCs/>
                <w:szCs w:val="22"/>
                <w:lang w:eastAsia="es-CR"/>
              </w:rPr>
              <w:t>7</w:t>
            </w:r>
          </w:p>
        </w:tc>
        <w:tc>
          <w:tcPr>
            <w:tcW w:w="4394" w:type="dxa"/>
            <w:tcBorders>
              <w:top w:val="nil"/>
              <w:left w:val="nil"/>
              <w:bottom w:val="double" w:sz="6" w:space="0" w:color="44546A"/>
              <w:right w:val="double" w:sz="6" w:space="0" w:color="44546A"/>
            </w:tcBorders>
            <w:shd w:val="clear" w:color="auto" w:fill="auto"/>
            <w:vAlign w:val="center"/>
            <w:hideMark/>
          </w:tcPr>
          <w:p w14:paraId="03C2F5BC" w14:textId="77777777" w:rsidR="0002307A" w:rsidRPr="00033E65" w:rsidRDefault="0002307A" w:rsidP="00A34FFD">
            <w:pPr>
              <w:spacing w:before="0" w:after="0"/>
              <w:jc w:val="center"/>
              <w:rPr>
                <w:szCs w:val="22"/>
                <w:lang w:eastAsia="es-CR"/>
              </w:rPr>
            </w:pPr>
            <w:r w:rsidRPr="00033E65">
              <w:rPr>
                <w:szCs w:val="22"/>
                <w:lang w:eastAsia="es-CR"/>
              </w:rPr>
              <w:t> Oficio 102-CPS-2019 Plazas Ordinarias y Extraordinarias</w:t>
            </w:r>
          </w:p>
        </w:tc>
        <w:bookmarkStart w:id="250" w:name="_MON_1641974253"/>
        <w:bookmarkEnd w:id="250"/>
        <w:tc>
          <w:tcPr>
            <w:tcW w:w="3119" w:type="dxa"/>
            <w:tcBorders>
              <w:top w:val="nil"/>
              <w:left w:val="nil"/>
              <w:bottom w:val="double" w:sz="6" w:space="0" w:color="44546A"/>
              <w:right w:val="double" w:sz="6" w:space="0" w:color="44546A"/>
            </w:tcBorders>
            <w:shd w:val="clear" w:color="auto" w:fill="auto"/>
            <w:noWrap/>
            <w:vAlign w:val="center"/>
            <w:hideMark/>
          </w:tcPr>
          <w:p w14:paraId="6959EA83" w14:textId="77777777" w:rsidR="0002307A" w:rsidRPr="00033E65" w:rsidRDefault="0002307A" w:rsidP="00A34FFD">
            <w:pPr>
              <w:spacing w:before="0" w:after="0"/>
              <w:jc w:val="center"/>
              <w:rPr>
                <w:szCs w:val="22"/>
                <w:lang w:eastAsia="es-CR"/>
              </w:rPr>
            </w:pPr>
            <w:r w:rsidRPr="00033E65">
              <w:rPr>
                <w:szCs w:val="22"/>
                <w:lang w:eastAsia="es-CR"/>
              </w:rPr>
              <w:object w:dxaOrig="1513" w:dyaOrig="984" w14:anchorId="767A866D">
                <v:shape id="_x0000_i1033" type="#_x0000_t75" style="width:80.4pt;height:42.6pt" o:ole="">
                  <v:imagedata r:id="rId60" o:title=""/>
                </v:shape>
                <o:OLEObject Type="Embed" ProgID="Word.Document.8" ShapeID="_x0000_i1033" DrawAspect="Icon" ObjectID="_1745989767" r:id="rId61">
                  <o:FieldCodes>\s</o:FieldCodes>
                </o:OLEObject>
              </w:object>
            </w:r>
            <w:r w:rsidRPr="00033E65">
              <w:rPr>
                <w:szCs w:val="22"/>
                <w:lang w:eastAsia="es-CR"/>
              </w:rPr>
              <w:t> </w:t>
            </w:r>
          </w:p>
        </w:tc>
      </w:tr>
      <w:tr w:rsidR="0002307A" w:rsidRPr="00033E65" w14:paraId="372A2DE4"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hideMark/>
          </w:tcPr>
          <w:p w14:paraId="79D3FC1E" w14:textId="1663A4D0" w:rsidR="0002307A" w:rsidRPr="00033E65" w:rsidRDefault="00CD6E69" w:rsidP="00A34FFD">
            <w:pPr>
              <w:spacing w:before="0" w:after="0"/>
              <w:jc w:val="center"/>
              <w:rPr>
                <w:b/>
                <w:bCs/>
                <w:i/>
                <w:iCs/>
                <w:szCs w:val="22"/>
                <w:lang w:eastAsia="es-CR"/>
              </w:rPr>
            </w:pPr>
            <w:r w:rsidRPr="00033E65">
              <w:rPr>
                <w:b/>
                <w:bCs/>
                <w:i/>
                <w:iCs/>
                <w:szCs w:val="22"/>
                <w:lang w:eastAsia="es-CR"/>
              </w:rPr>
              <w:t>8</w:t>
            </w:r>
          </w:p>
        </w:tc>
        <w:tc>
          <w:tcPr>
            <w:tcW w:w="4394" w:type="dxa"/>
            <w:tcBorders>
              <w:top w:val="nil"/>
              <w:left w:val="nil"/>
              <w:bottom w:val="double" w:sz="6" w:space="0" w:color="44546A"/>
              <w:right w:val="double" w:sz="6" w:space="0" w:color="44546A"/>
            </w:tcBorders>
            <w:shd w:val="clear" w:color="auto" w:fill="auto"/>
            <w:vAlign w:val="center"/>
            <w:hideMark/>
          </w:tcPr>
          <w:p w14:paraId="547C09D3" w14:textId="77777777" w:rsidR="0002307A" w:rsidRPr="00033E65" w:rsidRDefault="0002307A" w:rsidP="00A34FFD">
            <w:pPr>
              <w:spacing w:before="0" w:after="0"/>
              <w:jc w:val="center"/>
              <w:rPr>
                <w:szCs w:val="22"/>
                <w:lang w:eastAsia="es-CR"/>
              </w:rPr>
            </w:pPr>
            <w:r w:rsidRPr="00033E65">
              <w:rPr>
                <w:szCs w:val="22"/>
                <w:lang w:eastAsia="es-CR"/>
              </w:rPr>
              <w:t xml:space="preserve">Consulta sobre costos de peritaje </w:t>
            </w:r>
          </w:p>
        </w:tc>
        <w:tc>
          <w:tcPr>
            <w:tcW w:w="3119" w:type="dxa"/>
            <w:tcBorders>
              <w:top w:val="nil"/>
              <w:left w:val="nil"/>
              <w:bottom w:val="double" w:sz="6" w:space="0" w:color="44546A"/>
              <w:right w:val="double" w:sz="6" w:space="0" w:color="44546A"/>
            </w:tcBorders>
            <w:shd w:val="clear" w:color="auto" w:fill="auto"/>
            <w:noWrap/>
            <w:vAlign w:val="center"/>
            <w:hideMark/>
          </w:tcPr>
          <w:p w14:paraId="3591D877" w14:textId="44146081" w:rsidR="0002307A" w:rsidRPr="00033E65" w:rsidRDefault="0002307A" w:rsidP="00A34FFD">
            <w:pPr>
              <w:spacing w:before="0" w:after="0"/>
              <w:jc w:val="center"/>
              <w:rPr>
                <w:szCs w:val="22"/>
                <w:lang w:eastAsia="es-CR"/>
              </w:rPr>
            </w:pPr>
            <w:r w:rsidRPr="00033E65">
              <w:rPr>
                <w:szCs w:val="22"/>
                <w:lang w:eastAsia="es-CR"/>
              </w:rPr>
              <w:t> </w:t>
            </w:r>
            <w:r w:rsidR="009155A4" w:rsidRPr="00033E65">
              <w:rPr>
                <w:szCs w:val="22"/>
                <w:lang w:eastAsia="es-CR"/>
              </w:rPr>
              <w:object w:dxaOrig="2520" w:dyaOrig="1640" w14:anchorId="5583E933">
                <v:shape id="_x0000_i1034" type="#_x0000_t75" style="width:1in;height:50.4pt" o:ole="">
                  <v:imagedata r:id="rId62" o:title=""/>
                </v:shape>
                <o:OLEObject Type="Embed" ProgID="Package" ShapeID="_x0000_i1034" DrawAspect="Icon" ObjectID="_1745989768" r:id="rId63"/>
              </w:object>
            </w:r>
          </w:p>
        </w:tc>
      </w:tr>
      <w:tr w:rsidR="0002307A" w:rsidRPr="00033E65" w14:paraId="236D0DB8"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tcPr>
          <w:p w14:paraId="40AC0107" w14:textId="51252192" w:rsidR="0002307A" w:rsidRPr="00033E65" w:rsidRDefault="00B43427" w:rsidP="00A34FFD">
            <w:pPr>
              <w:spacing w:before="0" w:after="0"/>
              <w:jc w:val="center"/>
              <w:rPr>
                <w:b/>
                <w:bCs/>
                <w:i/>
                <w:iCs/>
                <w:szCs w:val="22"/>
                <w:lang w:eastAsia="es-CR"/>
              </w:rPr>
            </w:pPr>
            <w:r w:rsidRPr="00033E65">
              <w:rPr>
                <w:b/>
                <w:bCs/>
                <w:i/>
                <w:iCs/>
                <w:szCs w:val="22"/>
                <w:lang w:eastAsia="es-CR"/>
              </w:rPr>
              <w:t>9</w:t>
            </w:r>
          </w:p>
        </w:tc>
        <w:tc>
          <w:tcPr>
            <w:tcW w:w="4394" w:type="dxa"/>
            <w:tcBorders>
              <w:top w:val="nil"/>
              <w:left w:val="nil"/>
              <w:bottom w:val="double" w:sz="6" w:space="0" w:color="44546A"/>
              <w:right w:val="double" w:sz="6" w:space="0" w:color="44546A"/>
            </w:tcBorders>
            <w:shd w:val="clear" w:color="auto" w:fill="auto"/>
            <w:vAlign w:val="center"/>
          </w:tcPr>
          <w:p w14:paraId="21B030F4" w14:textId="773A72BD" w:rsidR="0002307A" w:rsidRPr="00033E65" w:rsidRDefault="0002307A" w:rsidP="00A34FFD">
            <w:pPr>
              <w:spacing w:before="0" w:after="0"/>
              <w:jc w:val="center"/>
              <w:rPr>
                <w:szCs w:val="22"/>
                <w:lang w:eastAsia="es-CR"/>
              </w:rPr>
            </w:pPr>
            <w:r w:rsidRPr="00033E65">
              <w:rPr>
                <w:szCs w:val="22"/>
                <w:lang w:eastAsia="es-CR"/>
              </w:rPr>
              <w:t xml:space="preserve">Oficio </w:t>
            </w:r>
            <w:r w:rsidR="001D1871" w:rsidRPr="00033E65">
              <w:rPr>
                <w:szCs w:val="22"/>
                <w:lang w:eastAsia="es-CR"/>
              </w:rPr>
              <w:t>N°</w:t>
            </w:r>
            <w:r w:rsidRPr="00033E65">
              <w:rPr>
                <w:szCs w:val="22"/>
                <w:lang w:eastAsia="es-CR"/>
              </w:rPr>
              <w:t xml:space="preserve"> 0292-P-2018 Presidencia de la Corte Suprema de Justicia </w:t>
            </w:r>
          </w:p>
        </w:tc>
        <w:tc>
          <w:tcPr>
            <w:tcW w:w="3119" w:type="dxa"/>
            <w:tcBorders>
              <w:top w:val="nil"/>
              <w:left w:val="nil"/>
              <w:bottom w:val="double" w:sz="6" w:space="0" w:color="44546A"/>
              <w:right w:val="double" w:sz="6" w:space="0" w:color="44546A"/>
            </w:tcBorders>
            <w:shd w:val="clear" w:color="auto" w:fill="auto"/>
            <w:noWrap/>
            <w:vAlign w:val="center"/>
          </w:tcPr>
          <w:p w14:paraId="7F52B816" w14:textId="2FCD5663" w:rsidR="0002307A" w:rsidRPr="00033E65" w:rsidRDefault="0002307A" w:rsidP="00A34FFD">
            <w:pPr>
              <w:spacing w:before="0" w:after="0"/>
              <w:jc w:val="center"/>
              <w:rPr>
                <w:szCs w:val="22"/>
                <w:lang w:eastAsia="es-CR"/>
              </w:rPr>
            </w:pPr>
            <w:r w:rsidRPr="00033E65">
              <w:rPr>
                <w:szCs w:val="22"/>
                <w:lang w:eastAsia="es-CR"/>
              </w:rPr>
              <w:t> </w:t>
            </w:r>
            <w:r w:rsidR="0036774D" w:rsidRPr="00033E65">
              <w:rPr>
                <w:szCs w:val="22"/>
              </w:rPr>
              <w:object w:dxaOrig="2520" w:dyaOrig="1640" w14:anchorId="5C980AA5">
                <v:shape id="_x0000_i1035" type="#_x0000_t75" style="width:75.6pt;height:46.2pt" o:ole="">
                  <v:imagedata r:id="rId64" o:title=""/>
                </v:shape>
                <o:OLEObject Type="Embed" ProgID="Acrobat.Document.DC" ShapeID="_x0000_i1035" DrawAspect="Icon" ObjectID="_1745989769" r:id="rId65"/>
              </w:object>
            </w:r>
          </w:p>
        </w:tc>
      </w:tr>
      <w:tr w:rsidR="0002307A" w:rsidRPr="00033E65" w14:paraId="040EE71A"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tcPr>
          <w:p w14:paraId="29B40AB6" w14:textId="4F12EF68" w:rsidR="0002307A" w:rsidRPr="00033E65" w:rsidRDefault="00B43427" w:rsidP="00A34FFD">
            <w:pPr>
              <w:spacing w:before="0" w:after="0"/>
              <w:jc w:val="center"/>
              <w:rPr>
                <w:b/>
                <w:bCs/>
                <w:i/>
                <w:iCs/>
                <w:szCs w:val="22"/>
                <w:lang w:eastAsia="es-CR"/>
              </w:rPr>
            </w:pPr>
            <w:r w:rsidRPr="00033E65">
              <w:rPr>
                <w:b/>
                <w:bCs/>
                <w:i/>
                <w:iCs/>
                <w:szCs w:val="22"/>
                <w:lang w:eastAsia="es-CR"/>
              </w:rPr>
              <w:t>10</w:t>
            </w:r>
          </w:p>
        </w:tc>
        <w:tc>
          <w:tcPr>
            <w:tcW w:w="4394" w:type="dxa"/>
            <w:tcBorders>
              <w:top w:val="nil"/>
              <w:left w:val="nil"/>
              <w:bottom w:val="double" w:sz="6" w:space="0" w:color="44546A"/>
              <w:right w:val="double" w:sz="6" w:space="0" w:color="44546A"/>
            </w:tcBorders>
            <w:shd w:val="clear" w:color="auto" w:fill="auto"/>
            <w:vAlign w:val="center"/>
          </w:tcPr>
          <w:p w14:paraId="7B0BAACD" w14:textId="77777777" w:rsidR="0002307A" w:rsidRPr="00033E65" w:rsidRDefault="0002307A" w:rsidP="00A34FFD">
            <w:pPr>
              <w:spacing w:before="0" w:after="0"/>
              <w:jc w:val="center"/>
              <w:rPr>
                <w:szCs w:val="22"/>
                <w:lang w:eastAsia="es-CR"/>
              </w:rPr>
            </w:pPr>
            <w:r w:rsidRPr="00033E65">
              <w:rPr>
                <w:szCs w:val="22"/>
                <w:lang w:eastAsia="es-CR"/>
              </w:rPr>
              <w:t>Correo remitido por la Dirección Ejecutiva sobre la necesidad de vehículos para materia Agraria</w:t>
            </w:r>
          </w:p>
        </w:tc>
        <w:tc>
          <w:tcPr>
            <w:tcW w:w="3119" w:type="dxa"/>
            <w:tcBorders>
              <w:top w:val="nil"/>
              <w:left w:val="nil"/>
              <w:bottom w:val="double" w:sz="6" w:space="0" w:color="44546A"/>
              <w:right w:val="double" w:sz="6" w:space="0" w:color="44546A"/>
            </w:tcBorders>
            <w:shd w:val="clear" w:color="auto" w:fill="auto"/>
            <w:noWrap/>
            <w:vAlign w:val="center"/>
          </w:tcPr>
          <w:p w14:paraId="09A46DA4" w14:textId="52153643" w:rsidR="0002307A" w:rsidRPr="00033E65" w:rsidRDefault="00827242" w:rsidP="00A34FFD">
            <w:pPr>
              <w:spacing w:before="0" w:after="0"/>
              <w:jc w:val="center"/>
              <w:rPr>
                <w:szCs w:val="22"/>
                <w:lang w:eastAsia="es-CR"/>
              </w:rPr>
            </w:pPr>
            <w:r w:rsidRPr="00033E65">
              <w:rPr>
                <w:szCs w:val="22"/>
              </w:rPr>
              <w:object w:dxaOrig="1376" w:dyaOrig="893" w14:anchorId="4FDD3E9F">
                <v:shape id="_x0000_i1036" type="#_x0000_t75" style="width:67.2pt;height:41.4pt" o:ole="">
                  <v:imagedata r:id="rId66" o:title=""/>
                </v:shape>
                <o:OLEObject Type="Embed" ProgID="Package" ShapeID="_x0000_i1036" DrawAspect="Icon" ObjectID="_1745989770" r:id="rId67"/>
              </w:object>
            </w:r>
          </w:p>
        </w:tc>
      </w:tr>
      <w:tr w:rsidR="0002307A" w:rsidRPr="00033E65" w14:paraId="346DF0F7"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tcPr>
          <w:p w14:paraId="4AC47E9A" w14:textId="71835CEB" w:rsidR="0002307A" w:rsidRPr="00033E65" w:rsidRDefault="00B43427" w:rsidP="00A34FFD">
            <w:pPr>
              <w:spacing w:before="0" w:after="0"/>
              <w:jc w:val="center"/>
              <w:rPr>
                <w:b/>
                <w:bCs/>
                <w:i/>
                <w:iCs/>
                <w:szCs w:val="22"/>
                <w:lang w:eastAsia="es-CR"/>
              </w:rPr>
            </w:pPr>
            <w:r w:rsidRPr="00033E65">
              <w:rPr>
                <w:b/>
                <w:bCs/>
                <w:i/>
                <w:iCs/>
                <w:szCs w:val="22"/>
                <w:lang w:eastAsia="es-CR"/>
              </w:rPr>
              <w:t>11</w:t>
            </w:r>
          </w:p>
        </w:tc>
        <w:tc>
          <w:tcPr>
            <w:tcW w:w="4394" w:type="dxa"/>
            <w:tcBorders>
              <w:top w:val="nil"/>
              <w:left w:val="nil"/>
              <w:bottom w:val="double" w:sz="6" w:space="0" w:color="44546A"/>
              <w:right w:val="double" w:sz="6" w:space="0" w:color="44546A"/>
            </w:tcBorders>
            <w:shd w:val="clear" w:color="auto" w:fill="auto"/>
            <w:vAlign w:val="center"/>
          </w:tcPr>
          <w:p w14:paraId="6F39AF96" w14:textId="77777777" w:rsidR="0002307A" w:rsidRPr="00033E65" w:rsidRDefault="0002307A" w:rsidP="00A34FFD">
            <w:pPr>
              <w:spacing w:before="0" w:after="0"/>
              <w:jc w:val="center"/>
              <w:rPr>
                <w:szCs w:val="22"/>
                <w:lang w:eastAsia="es-CR"/>
              </w:rPr>
            </w:pPr>
            <w:r w:rsidRPr="00033E65">
              <w:rPr>
                <w:szCs w:val="22"/>
                <w:lang w:eastAsia="es-CR"/>
              </w:rPr>
              <w:t>Presupuesto actualizado Jurisdicción Agraria</w:t>
            </w:r>
          </w:p>
        </w:tc>
        <w:tc>
          <w:tcPr>
            <w:tcW w:w="3119" w:type="dxa"/>
            <w:tcBorders>
              <w:top w:val="nil"/>
              <w:left w:val="nil"/>
              <w:bottom w:val="double" w:sz="6" w:space="0" w:color="44546A"/>
              <w:right w:val="double" w:sz="6" w:space="0" w:color="44546A"/>
            </w:tcBorders>
            <w:shd w:val="clear" w:color="auto" w:fill="auto"/>
            <w:noWrap/>
            <w:vAlign w:val="center"/>
          </w:tcPr>
          <w:p w14:paraId="1311FEF0" w14:textId="4795725B" w:rsidR="0002307A" w:rsidRPr="00033E65" w:rsidRDefault="003A7AE1" w:rsidP="00A34FFD">
            <w:pPr>
              <w:spacing w:before="0" w:after="0"/>
              <w:jc w:val="center"/>
              <w:rPr>
                <w:szCs w:val="22"/>
                <w:lang w:eastAsia="es-CR"/>
              </w:rPr>
            </w:pPr>
            <w:r w:rsidRPr="00033E65">
              <w:rPr>
                <w:szCs w:val="22"/>
                <w:lang w:eastAsia="es-CR"/>
              </w:rPr>
              <w:object w:dxaOrig="1508" w:dyaOrig="984" w14:anchorId="4B50E76C">
                <v:shape id="_x0000_i1037" type="#_x0000_t75" style="width:75pt;height:48pt" o:ole="">
                  <v:imagedata r:id="rId68" o:title=""/>
                </v:shape>
                <o:OLEObject Type="Embed" ProgID="Package" ShapeID="_x0000_i1037" DrawAspect="Icon" ObjectID="_1745989771" r:id="rId69"/>
              </w:object>
            </w:r>
          </w:p>
        </w:tc>
      </w:tr>
      <w:tr w:rsidR="0002307A" w:rsidRPr="00033E65" w14:paraId="1EB06CD6"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tcPr>
          <w:p w14:paraId="78C1FAE9" w14:textId="4A7A5105" w:rsidR="0002307A" w:rsidRPr="00033E65" w:rsidRDefault="0002307A" w:rsidP="00A34FFD">
            <w:pPr>
              <w:spacing w:before="0" w:after="0"/>
              <w:jc w:val="center"/>
              <w:rPr>
                <w:b/>
                <w:bCs/>
                <w:i/>
                <w:iCs/>
                <w:szCs w:val="22"/>
                <w:lang w:eastAsia="es-CR"/>
              </w:rPr>
            </w:pPr>
            <w:r w:rsidRPr="00033E65">
              <w:rPr>
                <w:b/>
                <w:bCs/>
                <w:i/>
                <w:iCs/>
                <w:szCs w:val="22"/>
                <w:lang w:eastAsia="es-CR"/>
              </w:rPr>
              <w:t>1</w:t>
            </w:r>
            <w:r w:rsidR="00B43427" w:rsidRPr="00033E65">
              <w:rPr>
                <w:b/>
                <w:bCs/>
                <w:i/>
                <w:iCs/>
                <w:szCs w:val="22"/>
                <w:lang w:eastAsia="es-CR"/>
              </w:rPr>
              <w:t>2</w:t>
            </w:r>
          </w:p>
        </w:tc>
        <w:tc>
          <w:tcPr>
            <w:tcW w:w="4394" w:type="dxa"/>
            <w:tcBorders>
              <w:top w:val="nil"/>
              <w:left w:val="nil"/>
              <w:bottom w:val="double" w:sz="6" w:space="0" w:color="44546A"/>
              <w:right w:val="double" w:sz="6" w:space="0" w:color="44546A"/>
            </w:tcBorders>
            <w:shd w:val="clear" w:color="auto" w:fill="auto"/>
            <w:vAlign w:val="center"/>
          </w:tcPr>
          <w:p w14:paraId="44C3ABEA" w14:textId="77777777" w:rsidR="0002307A" w:rsidRPr="00033E65" w:rsidRDefault="0002307A" w:rsidP="00A34FFD">
            <w:pPr>
              <w:spacing w:before="0" w:after="0"/>
              <w:jc w:val="center"/>
              <w:rPr>
                <w:szCs w:val="22"/>
                <w:lang w:eastAsia="es-CR"/>
              </w:rPr>
            </w:pPr>
            <w:r w:rsidRPr="00033E65">
              <w:rPr>
                <w:szCs w:val="22"/>
                <w:lang w:eastAsia="es-CR"/>
              </w:rPr>
              <w:t>Consulta Plan Piloto Conciliación en materia Agraria</w:t>
            </w:r>
          </w:p>
        </w:tc>
        <w:tc>
          <w:tcPr>
            <w:tcW w:w="3119" w:type="dxa"/>
            <w:tcBorders>
              <w:top w:val="nil"/>
              <w:left w:val="nil"/>
              <w:bottom w:val="double" w:sz="6" w:space="0" w:color="44546A"/>
              <w:right w:val="double" w:sz="6" w:space="0" w:color="44546A"/>
            </w:tcBorders>
            <w:shd w:val="clear" w:color="auto" w:fill="auto"/>
            <w:noWrap/>
            <w:vAlign w:val="center"/>
          </w:tcPr>
          <w:p w14:paraId="21A6FFCF" w14:textId="2B4F8F8C" w:rsidR="0002307A" w:rsidRPr="00033E65" w:rsidRDefault="00C652F8" w:rsidP="00A34FFD">
            <w:pPr>
              <w:spacing w:before="0" w:after="0"/>
              <w:jc w:val="center"/>
              <w:rPr>
                <w:szCs w:val="22"/>
                <w:lang w:eastAsia="es-CR"/>
              </w:rPr>
            </w:pPr>
            <w:r w:rsidRPr="00033E65">
              <w:rPr>
                <w:szCs w:val="22"/>
                <w:lang w:eastAsia="es-CR"/>
              </w:rPr>
              <w:object w:dxaOrig="1513" w:dyaOrig="984" w14:anchorId="37E53E01">
                <v:shape id="_x0000_i1038" type="#_x0000_t75" style="width:76.8pt;height:46.2pt" o:ole="">
                  <v:imagedata r:id="rId70" o:title=""/>
                </v:shape>
                <o:OLEObject Type="Embed" ProgID="Package" ShapeID="_x0000_i1038" DrawAspect="Icon" ObjectID="_1745989772" r:id="rId71"/>
              </w:object>
            </w:r>
          </w:p>
        </w:tc>
      </w:tr>
      <w:tr w:rsidR="0002307A" w:rsidRPr="00033E65" w14:paraId="3B1866FB"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tcPr>
          <w:p w14:paraId="4A55F5CF" w14:textId="60AE38F5" w:rsidR="0002307A" w:rsidRPr="00033E65" w:rsidRDefault="00592EEE" w:rsidP="00A34FFD">
            <w:pPr>
              <w:spacing w:before="0" w:after="0"/>
              <w:jc w:val="center"/>
              <w:rPr>
                <w:b/>
                <w:i/>
                <w:szCs w:val="22"/>
              </w:rPr>
            </w:pPr>
            <w:r w:rsidRPr="00033E65">
              <w:rPr>
                <w:b/>
                <w:i/>
                <w:szCs w:val="22"/>
              </w:rPr>
              <w:t>1</w:t>
            </w:r>
            <w:r w:rsidR="00B43427" w:rsidRPr="00033E65">
              <w:rPr>
                <w:b/>
                <w:i/>
                <w:szCs w:val="22"/>
              </w:rPr>
              <w:t>3</w:t>
            </w:r>
          </w:p>
        </w:tc>
        <w:tc>
          <w:tcPr>
            <w:tcW w:w="4394" w:type="dxa"/>
            <w:tcBorders>
              <w:top w:val="nil"/>
              <w:left w:val="nil"/>
              <w:bottom w:val="double" w:sz="6" w:space="0" w:color="44546A"/>
              <w:right w:val="double" w:sz="6" w:space="0" w:color="44546A"/>
            </w:tcBorders>
            <w:shd w:val="clear" w:color="auto" w:fill="auto"/>
            <w:vAlign w:val="center"/>
          </w:tcPr>
          <w:p w14:paraId="5EC3EAD4" w14:textId="77777777" w:rsidR="0002307A" w:rsidRPr="00033E65" w:rsidRDefault="0002307A" w:rsidP="00A34FFD">
            <w:pPr>
              <w:spacing w:before="0" w:after="0"/>
              <w:jc w:val="center"/>
              <w:rPr>
                <w:szCs w:val="22"/>
              </w:rPr>
            </w:pPr>
            <w:r w:rsidRPr="00033E65">
              <w:rPr>
                <w:szCs w:val="22"/>
                <w:lang w:eastAsia="es-CR"/>
              </w:rPr>
              <w:t xml:space="preserve">Consulta sobre equipo de cómputo </w:t>
            </w:r>
          </w:p>
        </w:tc>
        <w:tc>
          <w:tcPr>
            <w:tcW w:w="3119" w:type="dxa"/>
            <w:tcBorders>
              <w:top w:val="nil"/>
              <w:left w:val="nil"/>
              <w:bottom w:val="double" w:sz="6" w:space="0" w:color="44546A"/>
              <w:right w:val="double" w:sz="6" w:space="0" w:color="44546A"/>
            </w:tcBorders>
            <w:shd w:val="clear" w:color="auto" w:fill="auto"/>
            <w:noWrap/>
            <w:vAlign w:val="center"/>
          </w:tcPr>
          <w:p w14:paraId="1D149EAF" w14:textId="2007FF26" w:rsidR="0002307A" w:rsidRPr="00033E65" w:rsidRDefault="009155A4" w:rsidP="00A34FFD">
            <w:pPr>
              <w:spacing w:before="0" w:after="0"/>
              <w:jc w:val="center"/>
              <w:rPr>
                <w:szCs w:val="22"/>
              </w:rPr>
            </w:pPr>
            <w:r w:rsidRPr="00033E65">
              <w:rPr>
                <w:szCs w:val="22"/>
                <w:lang w:eastAsia="es-CR"/>
              </w:rPr>
              <w:object w:dxaOrig="2520" w:dyaOrig="1640" w14:anchorId="41E326A9">
                <v:shape id="_x0000_i1039" type="#_x0000_t75" style="width:86.4pt;height:46.8pt" o:ole="">
                  <v:imagedata r:id="rId72" o:title=""/>
                </v:shape>
                <o:OLEObject Type="Embed" ProgID="Package" ShapeID="_x0000_i1039" DrawAspect="Icon" ObjectID="_1745989773" r:id="rId73"/>
              </w:object>
            </w:r>
          </w:p>
        </w:tc>
      </w:tr>
      <w:tr w:rsidR="0002307A" w:rsidRPr="00033E65" w14:paraId="79F184EB"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tcPr>
          <w:p w14:paraId="14704D8A" w14:textId="3C2FEF0B" w:rsidR="0002307A" w:rsidRPr="00033E65" w:rsidRDefault="00592EEE" w:rsidP="00A34FFD">
            <w:pPr>
              <w:spacing w:before="0" w:after="0"/>
              <w:jc w:val="center"/>
              <w:rPr>
                <w:b/>
                <w:i/>
                <w:szCs w:val="22"/>
              </w:rPr>
            </w:pPr>
            <w:r w:rsidRPr="00033E65">
              <w:rPr>
                <w:b/>
                <w:i/>
                <w:szCs w:val="22"/>
              </w:rPr>
              <w:t>1</w:t>
            </w:r>
            <w:r w:rsidR="003926D0" w:rsidRPr="00033E65">
              <w:rPr>
                <w:b/>
                <w:i/>
                <w:szCs w:val="22"/>
              </w:rPr>
              <w:t>4</w:t>
            </w:r>
          </w:p>
        </w:tc>
        <w:tc>
          <w:tcPr>
            <w:tcW w:w="4394" w:type="dxa"/>
            <w:tcBorders>
              <w:top w:val="nil"/>
              <w:left w:val="nil"/>
              <w:bottom w:val="double" w:sz="6" w:space="0" w:color="44546A"/>
              <w:right w:val="double" w:sz="6" w:space="0" w:color="44546A"/>
            </w:tcBorders>
            <w:shd w:val="clear" w:color="auto" w:fill="auto"/>
            <w:vAlign w:val="center"/>
          </w:tcPr>
          <w:p w14:paraId="335B5AE9" w14:textId="77777777" w:rsidR="0002307A" w:rsidRPr="00033E65" w:rsidRDefault="0002307A" w:rsidP="00A34FFD">
            <w:pPr>
              <w:spacing w:before="0" w:after="0"/>
              <w:jc w:val="center"/>
              <w:rPr>
                <w:szCs w:val="22"/>
              </w:rPr>
            </w:pPr>
            <w:r w:rsidRPr="00033E65">
              <w:rPr>
                <w:szCs w:val="22"/>
              </w:rPr>
              <w:t>Informe de Fin de Gestión Coordinación Proyecto de Implementación Reforma Procesal Agraria, de la Magistrada Damaris Vargas</w:t>
            </w:r>
          </w:p>
        </w:tc>
        <w:tc>
          <w:tcPr>
            <w:tcW w:w="3119" w:type="dxa"/>
            <w:tcBorders>
              <w:top w:val="nil"/>
              <w:left w:val="nil"/>
              <w:bottom w:val="double" w:sz="6" w:space="0" w:color="44546A"/>
              <w:right w:val="double" w:sz="6" w:space="0" w:color="44546A"/>
            </w:tcBorders>
            <w:shd w:val="clear" w:color="auto" w:fill="auto"/>
            <w:noWrap/>
            <w:vAlign w:val="center"/>
          </w:tcPr>
          <w:p w14:paraId="52BB63D3" w14:textId="072663BE" w:rsidR="0002307A" w:rsidRPr="00033E65" w:rsidRDefault="009155A4" w:rsidP="00A34FFD">
            <w:pPr>
              <w:spacing w:before="0" w:after="0"/>
              <w:jc w:val="center"/>
              <w:rPr>
                <w:szCs w:val="22"/>
              </w:rPr>
            </w:pPr>
            <w:r w:rsidRPr="00033E65">
              <w:rPr>
                <w:szCs w:val="22"/>
              </w:rPr>
              <w:object w:dxaOrig="2520" w:dyaOrig="1640" w14:anchorId="13CC52CE">
                <v:shape id="_x0000_i1040" type="#_x0000_t75" style="width:83.4pt;height:55.8pt" o:ole="">
                  <v:imagedata r:id="rId74" o:title=""/>
                </v:shape>
                <o:OLEObject Type="Embed" ProgID="Package" ShapeID="_x0000_i1040" DrawAspect="Icon" ObjectID="_1745989774" r:id="rId75"/>
              </w:object>
            </w:r>
          </w:p>
        </w:tc>
      </w:tr>
      <w:tr w:rsidR="0002307A" w:rsidRPr="00033E65" w14:paraId="38BCA219"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tcPr>
          <w:p w14:paraId="41852175" w14:textId="00ED28F4" w:rsidR="0002307A" w:rsidRPr="00033E65" w:rsidRDefault="00D15F96" w:rsidP="00A34FFD">
            <w:pPr>
              <w:spacing w:before="0" w:after="0"/>
              <w:jc w:val="center"/>
              <w:rPr>
                <w:b/>
                <w:i/>
                <w:szCs w:val="22"/>
              </w:rPr>
            </w:pPr>
            <w:r w:rsidRPr="00033E65">
              <w:rPr>
                <w:b/>
                <w:i/>
                <w:szCs w:val="22"/>
              </w:rPr>
              <w:t>1</w:t>
            </w:r>
            <w:r w:rsidR="003926D0" w:rsidRPr="00033E65">
              <w:rPr>
                <w:b/>
                <w:i/>
                <w:szCs w:val="22"/>
              </w:rPr>
              <w:t>5</w:t>
            </w:r>
          </w:p>
        </w:tc>
        <w:tc>
          <w:tcPr>
            <w:tcW w:w="4394" w:type="dxa"/>
            <w:tcBorders>
              <w:top w:val="nil"/>
              <w:left w:val="nil"/>
              <w:bottom w:val="double" w:sz="6" w:space="0" w:color="44546A"/>
              <w:right w:val="double" w:sz="6" w:space="0" w:color="44546A"/>
            </w:tcBorders>
            <w:shd w:val="clear" w:color="auto" w:fill="auto"/>
            <w:vAlign w:val="center"/>
          </w:tcPr>
          <w:p w14:paraId="2B616989" w14:textId="77777777" w:rsidR="0002307A" w:rsidRPr="00033E65" w:rsidRDefault="0002307A" w:rsidP="00A34FFD">
            <w:pPr>
              <w:spacing w:before="0" w:after="0"/>
              <w:jc w:val="center"/>
              <w:rPr>
                <w:szCs w:val="22"/>
              </w:rPr>
            </w:pPr>
            <w:r w:rsidRPr="00033E65">
              <w:rPr>
                <w:szCs w:val="22"/>
              </w:rPr>
              <w:t>Consulta sobre los asuntos con responsabilidad Ambiental</w:t>
            </w:r>
          </w:p>
        </w:tc>
        <w:tc>
          <w:tcPr>
            <w:tcW w:w="3119" w:type="dxa"/>
            <w:tcBorders>
              <w:top w:val="nil"/>
              <w:left w:val="nil"/>
              <w:bottom w:val="double" w:sz="6" w:space="0" w:color="44546A"/>
              <w:right w:val="double" w:sz="6" w:space="0" w:color="44546A"/>
            </w:tcBorders>
            <w:shd w:val="clear" w:color="auto" w:fill="auto"/>
            <w:noWrap/>
            <w:vAlign w:val="center"/>
          </w:tcPr>
          <w:p w14:paraId="531A730D" w14:textId="77777777" w:rsidR="0002307A" w:rsidRPr="00033E65" w:rsidRDefault="0002307A" w:rsidP="00A34FFD">
            <w:pPr>
              <w:spacing w:before="0" w:after="0"/>
              <w:jc w:val="center"/>
              <w:rPr>
                <w:szCs w:val="22"/>
              </w:rPr>
            </w:pPr>
            <w:r w:rsidRPr="00033E65">
              <w:rPr>
                <w:szCs w:val="22"/>
              </w:rPr>
              <w:object w:dxaOrig="1513" w:dyaOrig="984" w14:anchorId="209161DC">
                <v:shape id="_x0000_i1041" type="#_x0000_t75" style="width:76.8pt;height:46.2pt" o:ole="">
                  <v:imagedata r:id="rId76" o:title=""/>
                </v:shape>
                <o:OLEObject Type="Embed" ProgID="Package" ShapeID="_x0000_i1041" DrawAspect="Icon" ObjectID="_1745989775" r:id="rId77"/>
              </w:object>
            </w:r>
          </w:p>
        </w:tc>
      </w:tr>
      <w:tr w:rsidR="0002307A" w:rsidRPr="00033E65" w14:paraId="118AECD9"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tcPr>
          <w:p w14:paraId="37A373E5" w14:textId="671FBB89" w:rsidR="0002307A" w:rsidRPr="00033E65" w:rsidRDefault="00D15F96" w:rsidP="00A34FFD">
            <w:pPr>
              <w:spacing w:before="0" w:after="0"/>
              <w:jc w:val="center"/>
              <w:rPr>
                <w:b/>
                <w:i/>
                <w:szCs w:val="22"/>
              </w:rPr>
            </w:pPr>
            <w:r w:rsidRPr="00033E65">
              <w:rPr>
                <w:b/>
                <w:i/>
                <w:szCs w:val="22"/>
              </w:rPr>
              <w:t>1</w:t>
            </w:r>
            <w:r w:rsidR="003926D0" w:rsidRPr="00033E65">
              <w:rPr>
                <w:b/>
                <w:i/>
                <w:szCs w:val="22"/>
              </w:rPr>
              <w:t>6</w:t>
            </w:r>
          </w:p>
        </w:tc>
        <w:tc>
          <w:tcPr>
            <w:tcW w:w="4394" w:type="dxa"/>
            <w:tcBorders>
              <w:top w:val="nil"/>
              <w:left w:val="nil"/>
              <w:bottom w:val="double" w:sz="6" w:space="0" w:color="44546A"/>
              <w:right w:val="double" w:sz="6" w:space="0" w:color="44546A"/>
            </w:tcBorders>
            <w:shd w:val="clear" w:color="auto" w:fill="auto"/>
            <w:vAlign w:val="center"/>
          </w:tcPr>
          <w:p w14:paraId="14A1F7BA" w14:textId="77777777" w:rsidR="0002307A" w:rsidRPr="00033E65" w:rsidRDefault="0002307A" w:rsidP="00A34FFD">
            <w:pPr>
              <w:spacing w:before="0" w:after="0"/>
              <w:jc w:val="center"/>
              <w:rPr>
                <w:szCs w:val="22"/>
              </w:rPr>
            </w:pPr>
            <w:r w:rsidRPr="00033E65">
              <w:rPr>
                <w:szCs w:val="22"/>
              </w:rPr>
              <w:t>Minuta Reunión Comisión Agraria 20-11-2019</w:t>
            </w:r>
          </w:p>
        </w:tc>
        <w:tc>
          <w:tcPr>
            <w:tcW w:w="3119" w:type="dxa"/>
            <w:tcBorders>
              <w:top w:val="nil"/>
              <w:left w:val="nil"/>
              <w:bottom w:val="double" w:sz="6" w:space="0" w:color="44546A"/>
              <w:right w:val="double" w:sz="6" w:space="0" w:color="44546A"/>
            </w:tcBorders>
            <w:shd w:val="clear" w:color="auto" w:fill="auto"/>
            <w:noWrap/>
            <w:vAlign w:val="center"/>
          </w:tcPr>
          <w:p w14:paraId="24A964C0" w14:textId="7450E3D3" w:rsidR="0002307A" w:rsidRPr="00033E65" w:rsidRDefault="009155A4" w:rsidP="00A34FFD">
            <w:pPr>
              <w:spacing w:before="0" w:after="0"/>
              <w:jc w:val="center"/>
              <w:rPr>
                <w:szCs w:val="22"/>
              </w:rPr>
            </w:pPr>
            <w:r w:rsidRPr="00033E65">
              <w:rPr>
                <w:szCs w:val="22"/>
              </w:rPr>
              <w:object w:dxaOrig="2520" w:dyaOrig="1640" w14:anchorId="0463F12B">
                <v:shape id="_x0000_i1042" type="#_x0000_t75" style="width:97.2pt;height:53.4pt" o:ole="">
                  <v:imagedata r:id="rId78" o:title=""/>
                </v:shape>
                <o:OLEObject Type="Embed" ProgID="Package" ShapeID="_x0000_i1042" DrawAspect="Icon" ObjectID="_1745989776" r:id="rId79"/>
              </w:object>
            </w:r>
          </w:p>
        </w:tc>
      </w:tr>
      <w:tr w:rsidR="0002307A" w:rsidRPr="00033E65" w14:paraId="6C9B36C3" w14:textId="77777777" w:rsidTr="00E871F0">
        <w:trPr>
          <w:trHeight w:val="1299"/>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tcPr>
          <w:p w14:paraId="19AD052B" w14:textId="7BDF5DFD" w:rsidR="0002307A" w:rsidRPr="00033E65" w:rsidRDefault="00D15F96" w:rsidP="00A34FFD">
            <w:pPr>
              <w:spacing w:before="0" w:after="0"/>
              <w:jc w:val="center"/>
              <w:rPr>
                <w:b/>
                <w:i/>
                <w:szCs w:val="22"/>
              </w:rPr>
            </w:pPr>
            <w:r w:rsidRPr="00033E65">
              <w:rPr>
                <w:b/>
                <w:i/>
                <w:szCs w:val="22"/>
              </w:rPr>
              <w:t>1</w:t>
            </w:r>
            <w:r w:rsidR="00A86AA3" w:rsidRPr="00033E65">
              <w:rPr>
                <w:b/>
                <w:i/>
                <w:szCs w:val="22"/>
              </w:rPr>
              <w:t>7</w:t>
            </w:r>
          </w:p>
        </w:tc>
        <w:tc>
          <w:tcPr>
            <w:tcW w:w="4394" w:type="dxa"/>
            <w:tcBorders>
              <w:top w:val="nil"/>
              <w:left w:val="nil"/>
              <w:bottom w:val="double" w:sz="6" w:space="0" w:color="44546A"/>
              <w:right w:val="double" w:sz="6" w:space="0" w:color="44546A"/>
            </w:tcBorders>
            <w:shd w:val="clear" w:color="auto" w:fill="auto"/>
            <w:vAlign w:val="center"/>
          </w:tcPr>
          <w:p w14:paraId="1DAC0F46" w14:textId="79703431" w:rsidR="0002307A" w:rsidRPr="00033E65" w:rsidRDefault="0002307A" w:rsidP="00A34FFD">
            <w:pPr>
              <w:spacing w:before="0" w:after="0"/>
              <w:jc w:val="center"/>
              <w:rPr>
                <w:szCs w:val="22"/>
              </w:rPr>
            </w:pPr>
            <w:bookmarkStart w:id="251" w:name="_Hlk36123031"/>
            <w:r w:rsidRPr="00033E65">
              <w:rPr>
                <w:szCs w:val="22"/>
              </w:rPr>
              <w:t>Oficio 151-PLA-MI-2019, relacionados a los acuerdos tomados en la reunión del 20 de noviembre del año 2019 realizada con el Equipo Gestor en Materia Agraria</w:t>
            </w:r>
            <w:bookmarkEnd w:id="251"/>
          </w:p>
        </w:tc>
        <w:bookmarkStart w:id="252" w:name="_MON_1646735590"/>
        <w:bookmarkEnd w:id="252"/>
        <w:tc>
          <w:tcPr>
            <w:tcW w:w="3119" w:type="dxa"/>
            <w:tcBorders>
              <w:top w:val="nil"/>
              <w:left w:val="nil"/>
              <w:bottom w:val="double" w:sz="6" w:space="0" w:color="44546A"/>
              <w:right w:val="double" w:sz="6" w:space="0" w:color="44546A"/>
            </w:tcBorders>
            <w:shd w:val="clear" w:color="auto" w:fill="auto"/>
            <w:noWrap/>
            <w:vAlign w:val="center"/>
          </w:tcPr>
          <w:p w14:paraId="6CD2C34C" w14:textId="1D79E0A2" w:rsidR="0002307A" w:rsidRPr="00033E65" w:rsidRDefault="007B5EBA" w:rsidP="00A34FFD">
            <w:pPr>
              <w:spacing w:before="0" w:after="0"/>
              <w:jc w:val="center"/>
              <w:rPr>
                <w:szCs w:val="22"/>
              </w:rPr>
            </w:pPr>
            <w:r w:rsidRPr="00E871F0">
              <w:rPr>
                <w:sz w:val="8"/>
                <w:szCs w:val="8"/>
              </w:rPr>
              <w:object w:dxaOrig="2520" w:dyaOrig="1640" w14:anchorId="0927B399">
                <v:shape id="_x0000_i1043" type="#_x0000_t75" style="width:129.6pt;height:82.2pt" o:ole="">
                  <v:imagedata r:id="rId80" o:title=""/>
                </v:shape>
                <o:OLEObject Type="Embed" ProgID="Word.Document.12" ShapeID="_x0000_i1043" DrawAspect="Icon" ObjectID="_1745989777" r:id="rId81">
                  <o:FieldCodes>\s</o:FieldCodes>
                </o:OLEObject>
              </w:object>
            </w:r>
          </w:p>
        </w:tc>
      </w:tr>
      <w:tr w:rsidR="0002307A" w:rsidRPr="00033E65" w14:paraId="0D5E4EAE"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tcPr>
          <w:p w14:paraId="1990D64C" w14:textId="59785560" w:rsidR="0002307A" w:rsidRPr="00033E65" w:rsidRDefault="00A86AA3" w:rsidP="00A34FFD">
            <w:pPr>
              <w:spacing w:before="0" w:after="0"/>
              <w:jc w:val="center"/>
              <w:rPr>
                <w:b/>
                <w:i/>
                <w:szCs w:val="22"/>
              </w:rPr>
            </w:pPr>
            <w:r w:rsidRPr="00033E65">
              <w:rPr>
                <w:b/>
                <w:i/>
                <w:szCs w:val="22"/>
              </w:rPr>
              <w:t>18</w:t>
            </w:r>
          </w:p>
        </w:tc>
        <w:tc>
          <w:tcPr>
            <w:tcW w:w="4394" w:type="dxa"/>
            <w:tcBorders>
              <w:top w:val="nil"/>
              <w:left w:val="nil"/>
              <w:bottom w:val="double" w:sz="6" w:space="0" w:color="44546A"/>
              <w:right w:val="double" w:sz="6" w:space="0" w:color="44546A"/>
            </w:tcBorders>
            <w:shd w:val="clear" w:color="auto" w:fill="auto"/>
            <w:vAlign w:val="center"/>
          </w:tcPr>
          <w:p w14:paraId="6479D409" w14:textId="0C724433" w:rsidR="0002307A" w:rsidRPr="00033E65" w:rsidRDefault="0002307A" w:rsidP="00A34FFD">
            <w:pPr>
              <w:spacing w:before="0" w:after="0"/>
              <w:jc w:val="center"/>
              <w:rPr>
                <w:szCs w:val="22"/>
              </w:rPr>
            </w:pPr>
            <w:bookmarkStart w:id="253" w:name="_Hlk36123107"/>
            <w:r w:rsidRPr="00033E65">
              <w:rPr>
                <w:szCs w:val="22"/>
              </w:rPr>
              <w:t>Acuerdo de la Comisión de la Jurisdicción Civil – oficio 0006-CJC-2020</w:t>
            </w:r>
            <w:bookmarkEnd w:id="253"/>
          </w:p>
        </w:tc>
        <w:bookmarkStart w:id="254" w:name="_MON_1646735909"/>
        <w:bookmarkEnd w:id="254"/>
        <w:tc>
          <w:tcPr>
            <w:tcW w:w="3119" w:type="dxa"/>
            <w:tcBorders>
              <w:top w:val="nil"/>
              <w:left w:val="nil"/>
              <w:bottom w:val="double" w:sz="6" w:space="0" w:color="44546A"/>
              <w:right w:val="double" w:sz="6" w:space="0" w:color="44546A"/>
            </w:tcBorders>
            <w:shd w:val="clear" w:color="auto" w:fill="auto"/>
            <w:noWrap/>
            <w:vAlign w:val="center"/>
          </w:tcPr>
          <w:p w14:paraId="30C8407A" w14:textId="77777777" w:rsidR="0002307A" w:rsidRPr="00033E65" w:rsidRDefault="0002307A" w:rsidP="00A34FFD">
            <w:pPr>
              <w:spacing w:before="0" w:after="0"/>
              <w:jc w:val="center"/>
              <w:rPr>
                <w:szCs w:val="22"/>
              </w:rPr>
            </w:pPr>
            <w:r w:rsidRPr="00033E65">
              <w:rPr>
                <w:szCs w:val="22"/>
              </w:rPr>
              <w:object w:dxaOrig="1513" w:dyaOrig="984" w14:anchorId="5321B82B">
                <v:shape id="_x0000_i1044" type="#_x0000_t75" style="width:76.8pt;height:46.2pt" o:ole="">
                  <v:imagedata r:id="rId82" o:title=""/>
                </v:shape>
                <o:OLEObject Type="Embed" ProgID="Word.Document.12" ShapeID="_x0000_i1044" DrawAspect="Icon" ObjectID="_1745989778" r:id="rId83">
                  <o:FieldCodes>\s</o:FieldCodes>
                </o:OLEObject>
              </w:object>
            </w:r>
          </w:p>
        </w:tc>
      </w:tr>
      <w:tr w:rsidR="0002307A" w:rsidRPr="00033E65" w14:paraId="7A291519"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tcPr>
          <w:p w14:paraId="75FD3230" w14:textId="27298155" w:rsidR="0002307A" w:rsidRPr="00033E65" w:rsidRDefault="00A86AA3" w:rsidP="00A34FFD">
            <w:pPr>
              <w:spacing w:before="0" w:after="0"/>
              <w:jc w:val="center"/>
              <w:rPr>
                <w:b/>
                <w:i/>
                <w:szCs w:val="22"/>
              </w:rPr>
            </w:pPr>
            <w:r w:rsidRPr="00033E65">
              <w:rPr>
                <w:b/>
                <w:i/>
                <w:szCs w:val="22"/>
              </w:rPr>
              <w:t>19</w:t>
            </w:r>
          </w:p>
        </w:tc>
        <w:tc>
          <w:tcPr>
            <w:tcW w:w="4394" w:type="dxa"/>
            <w:tcBorders>
              <w:top w:val="nil"/>
              <w:left w:val="nil"/>
              <w:bottom w:val="double" w:sz="6" w:space="0" w:color="44546A"/>
              <w:right w:val="double" w:sz="6" w:space="0" w:color="44546A"/>
            </w:tcBorders>
            <w:shd w:val="clear" w:color="auto" w:fill="auto"/>
            <w:vAlign w:val="center"/>
          </w:tcPr>
          <w:p w14:paraId="0D7B587F" w14:textId="77777777" w:rsidR="0002307A" w:rsidRPr="00033E65" w:rsidRDefault="0002307A" w:rsidP="00A34FFD">
            <w:pPr>
              <w:spacing w:before="0" w:after="0"/>
              <w:jc w:val="center"/>
              <w:rPr>
                <w:szCs w:val="22"/>
              </w:rPr>
            </w:pPr>
            <w:r w:rsidRPr="00033E65">
              <w:t>Oficio 471-PLA-MI-2020</w:t>
            </w:r>
          </w:p>
        </w:tc>
        <w:bookmarkStart w:id="255" w:name="_MON_1646736532"/>
        <w:bookmarkEnd w:id="255"/>
        <w:tc>
          <w:tcPr>
            <w:tcW w:w="3119" w:type="dxa"/>
            <w:tcBorders>
              <w:top w:val="nil"/>
              <w:left w:val="nil"/>
              <w:bottom w:val="double" w:sz="6" w:space="0" w:color="44546A"/>
              <w:right w:val="double" w:sz="6" w:space="0" w:color="44546A"/>
            </w:tcBorders>
            <w:shd w:val="clear" w:color="auto" w:fill="auto"/>
            <w:noWrap/>
            <w:vAlign w:val="center"/>
          </w:tcPr>
          <w:p w14:paraId="4FFEB9C2" w14:textId="77777777" w:rsidR="0002307A" w:rsidRPr="00033E65" w:rsidRDefault="0002307A" w:rsidP="00A34FFD">
            <w:pPr>
              <w:spacing w:before="0" w:after="0"/>
              <w:jc w:val="center"/>
              <w:rPr>
                <w:szCs w:val="22"/>
              </w:rPr>
            </w:pPr>
            <w:r w:rsidRPr="00033E65">
              <w:rPr>
                <w:szCs w:val="22"/>
              </w:rPr>
              <w:object w:dxaOrig="1513" w:dyaOrig="984" w14:anchorId="4FA31D51">
                <v:shape id="_x0000_i1045" type="#_x0000_t75" style="width:76.8pt;height:46.2pt" o:ole="">
                  <v:imagedata r:id="rId84" o:title=""/>
                </v:shape>
                <o:OLEObject Type="Embed" ProgID="Word.Document.8" ShapeID="_x0000_i1045" DrawAspect="Icon" ObjectID="_1745989779" r:id="rId85">
                  <o:FieldCodes>\s</o:FieldCodes>
                </o:OLEObject>
              </w:object>
            </w:r>
          </w:p>
        </w:tc>
      </w:tr>
      <w:tr w:rsidR="00D15F96" w:rsidRPr="00033E65" w14:paraId="3D65F5CD"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tcPr>
          <w:p w14:paraId="5FCC5C8D" w14:textId="20E3C3D6" w:rsidR="00D15F96" w:rsidRPr="00033E65" w:rsidRDefault="006716C6" w:rsidP="00A34FFD">
            <w:pPr>
              <w:spacing w:before="0" w:after="0"/>
              <w:jc w:val="center"/>
              <w:rPr>
                <w:b/>
                <w:i/>
                <w:szCs w:val="22"/>
              </w:rPr>
            </w:pPr>
            <w:r w:rsidRPr="00033E65">
              <w:rPr>
                <w:b/>
                <w:i/>
                <w:szCs w:val="22"/>
              </w:rPr>
              <w:t>2</w:t>
            </w:r>
            <w:r w:rsidR="00A86AA3" w:rsidRPr="00033E65">
              <w:rPr>
                <w:b/>
                <w:i/>
                <w:szCs w:val="22"/>
              </w:rPr>
              <w:t>0</w:t>
            </w:r>
          </w:p>
        </w:tc>
        <w:tc>
          <w:tcPr>
            <w:tcW w:w="4394" w:type="dxa"/>
            <w:tcBorders>
              <w:top w:val="nil"/>
              <w:left w:val="nil"/>
              <w:bottom w:val="double" w:sz="6" w:space="0" w:color="44546A"/>
              <w:right w:val="double" w:sz="6" w:space="0" w:color="44546A"/>
            </w:tcBorders>
            <w:shd w:val="clear" w:color="auto" w:fill="auto"/>
            <w:vAlign w:val="center"/>
          </w:tcPr>
          <w:p w14:paraId="3E076CFB" w14:textId="4E43AC9D" w:rsidR="00D15F96" w:rsidRPr="00033E65" w:rsidRDefault="006716C6" w:rsidP="00A34FFD">
            <w:pPr>
              <w:spacing w:before="0" w:after="0"/>
              <w:jc w:val="center"/>
            </w:pPr>
            <w:r w:rsidRPr="00033E65">
              <w:t>Oficio 816-PLA-MI-2020</w:t>
            </w:r>
          </w:p>
        </w:tc>
        <w:bookmarkStart w:id="256" w:name="_MON_1674923053"/>
        <w:bookmarkEnd w:id="256"/>
        <w:tc>
          <w:tcPr>
            <w:tcW w:w="3119" w:type="dxa"/>
            <w:tcBorders>
              <w:top w:val="nil"/>
              <w:left w:val="nil"/>
              <w:bottom w:val="double" w:sz="6" w:space="0" w:color="44546A"/>
              <w:right w:val="double" w:sz="6" w:space="0" w:color="44546A"/>
            </w:tcBorders>
            <w:shd w:val="clear" w:color="auto" w:fill="auto"/>
            <w:noWrap/>
            <w:vAlign w:val="center"/>
          </w:tcPr>
          <w:p w14:paraId="3DECB845" w14:textId="640B68C9" w:rsidR="00D15F96" w:rsidRPr="00033E65" w:rsidRDefault="00D15F96" w:rsidP="00A34FFD">
            <w:pPr>
              <w:spacing w:before="0" w:after="0"/>
              <w:jc w:val="center"/>
              <w:rPr>
                <w:szCs w:val="22"/>
              </w:rPr>
            </w:pPr>
            <w:r w:rsidRPr="00033E65">
              <w:rPr>
                <w:szCs w:val="22"/>
              </w:rPr>
              <w:object w:dxaOrig="1513" w:dyaOrig="984" w14:anchorId="24BFE3B4">
                <v:shape id="_x0000_i1046" type="#_x0000_t75" style="width:76.8pt;height:46.2pt" o:ole="">
                  <v:imagedata r:id="rId86" o:title=""/>
                </v:shape>
                <o:OLEObject Type="Embed" ProgID="Word.Document.12" ShapeID="_x0000_i1046" DrawAspect="Icon" ObjectID="_1745989780" r:id="rId87">
                  <o:FieldCodes>\s</o:FieldCodes>
                </o:OLEObject>
              </w:object>
            </w:r>
          </w:p>
        </w:tc>
      </w:tr>
      <w:tr w:rsidR="006716C6" w:rsidRPr="00033E65" w14:paraId="45040947"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tcPr>
          <w:p w14:paraId="2E60ED3D" w14:textId="63290702" w:rsidR="006716C6" w:rsidRPr="00033E65" w:rsidRDefault="006716C6" w:rsidP="00A34FFD">
            <w:pPr>
              <w:spacing w:before="0" w:after="0"/>
              <w:jc w:val="center"/>
              <w:rPr>
                <w:b/>
                <w:i/>
                <w:szCs w:val="22"/>
              </w:rPr>
            </w:pPr>
            <w:r w:rsidRPr="00033E65">
              <w:rPr>
                <w:b/>
                <w:i/>
                <w:szCs w:val="22"/>
              </w:rPr>
              <w:t>2</w:t>
            </w:r>
            <w:r w:rsidR="00A86AA3" w:rsidRPr="00033E65">
              <w:rPr>
                <w:b/>
                <w:i/>
                <w:szCs w:val="22"/>
              </w:rPr>
              <w:t>1</w:t>
            </w:r>
          </w:p>
        </w:tc>
        <w:tc>
          <w:tcPr>
            <w:tcW w:w="4394" w:type="dxa"/>
            <w:tcBorders>
              <w:top w:val="nil"/>
              <w:left w:val="nil"/>
              <w:bottom w:val="double" w:sz="6" w:space="0" w:color="44546A"/>
              <w:right w:val="double" w:sz="6" w:space="0" w:color="44546A"/>
            </w:tcBorders>
            <w:shd w:val="clear" w:color="auto" w:fill="auto"/>
            <w:vAlign w:val="center"/>
          </w:tcPr>
          <w:p w14:paraId="577A108E" w14:textId="3C3C17B3" w:rsidR="006716C6" w:rsidRPr="00033E65" w:rsidRDefault="006716C6" w:rsidP="00A34FFD">
            <w:pPr>
              <w:spacing w:before="0" w:after="0"/>
              <w:jc w:val="center"/>
            </w:pPr>
            <w:r w:rsidRPr="00033E65">
              <w:t xml:space="preserve">Informe </w:t>
            </w:r>
            <w:r w:rsidRPr="00033E65">
              <w:rPr>
                <w:lang w:eastAsia="en-US"/>
              </w:rPr>
              <w:t>104-PLA-ES-MI-2021</w:t>
            </w:r>
          </w:p>
        </w:tc>
        <w:bookmarkStart w:id="257" w:name="_MON_1674923202"/>
        <w:bookmarkEnd w:id="257"/>
        <w:tc>
          <w:tcPr>
            <w:tcW w:w="3119" w:type="dxa"/>
            <w:tcBorders>
              <w:top w:val="nil"/>
              <w:left w:val="nil"/>
              <w:bottom w:val="double" w:sz="6" w:space="0" w:color="44546A"/>
              <w:right w:val="double" w:sz="6" w:space="0" w:color="44546A"/>
            </w:tcBorders>
            <w:shd w:val="clear" w:color="auto" w:fill="auto"/>
            <w:noWrap/>
            <w:vAlign w:val="center"/>
          </w:tcPr>
          <w:p w14:paraId="00D9F7CC" w14:textId="1BFBF4B4" w:rsidR="006716C6" w:rsidRPr="00033E65" w:rsidRDefault="006716C6" w:rsidP="00A34FFD">
            <w:pPr>
              <w:spacing w:before="0" w:after="0"/>
              <w:jc w:val="center"/>
              <w:rPr>
                <w:szCs w:val="22"/>
              </w:rPr>
            </w:pPr>
            <w:r w:rsidRPr="00033E65">
              <w:rPr>
                <w:szCs w:val="22"/>
              </w:rPr>
              <w:object w:dxaOrig="1513" w:dyaOrig="984" w14:anchorId="2BE76865">
                <v:shape id="_x0000_i1047" type="#_x0000_t75" style="width:76.8pt;height:46.2pt" o:ole="">
                  <v:imagedata r:id="rId88" o:title=""/>
                </v:shape>
                <o:OLEObject Type="Embed" ProgID="Word.Document.8" ShapeID="_x0000_i1047" DrawAspect="Icon" ObjectID="_1745989781" r:id="rId89">
                  <o:FieldCodes>\s</o:FieldCodes>
                </o:OLEObject>
              </w:object>
            </w:r>
          </w:p>
        </w:tc>
      </w:tr>
      <w:tr w:rsidR="0002307A" w:rsidRPr="00033E65" w14:paraId="08CD6193" w14:textId="77777777" w:rsidTr="004A142B">
        <w:trPr>
          <w:trHeight w:val="335"/>
          <w:jc w:val="center"/>
        </w:trPr>
        <w:tc>
          <w:tcPr>
            <w:tcW w:w="1395" w:type="dxa"/>
            <w:tcBorders>
              <w:top w:val="nil"/>
              <w:left w:val="double" w:sz="6" w:space="0" w:color="44546A"/>
              <w:bottom w:val="double" w:sz="6" w:space="0" w:color="44546A"/>
              <w:right w:val="double" w:sz="6" w:space="0" w:color="44546A"/>
            </w:tcBorders>
            <w:shd w:val="clear" w:color="auto" w:fill="auto"/>
            <w:noWrap/>
            <w:vAlign w:val="center"/>
          </w:tcPr>
          <w:p w14:paraId="151B672E" w14:textId="3F98CE62" w:rsidR="0002307A" w:rsidRPr="00033E65" w:rsidRDefault="0088455F" w:rsidP="00A34FFD">
            <w:pPr>
              <w:spacing w:before="0" w:after="0"/>
              <w:jc w:val="center"/>
              <w:rPr>
                <w:b/>
                <w:i/>
                <w:szCs w:val="22"/>
              </w:rPr>
            </w:pPr>
            <w:r w:rsidRPr="00033E65">
              <w:rPr>
                <w:b/>
                <w:i/>
                <w:szCs w:val="22"/>
              </w:rPr>
              <w:t>2</w:t>
            </w:r>
            <w:r w:rsidR="00A86AA3" w:rsidRPr="00033E65">
              <w:rPr>
                <w:b/>
                <w:i/>
                <w:szCs w:val="22"/>
              </w:rPr>
              <w:t>2</w:t>
            </w:r>
          </w:p>
        </w:tc>
        <w:tc>
          <w:tcPr>
            <w:tcW w:w="4394" w:type="dxa"/>
            <w:tcBorders>
              <w:top w:val="nil"/>
              <w:left w:val="nil"/>
              <w:bottom w:val="double" w:sz="6" w:space="0" w:color="44546A"/>
              <w:right w:val="double" w:sz="6" w:space="0" w:color="44546A"/>
            </w:tcBorders>
            <w:shd w:val="clear" w:color="auto" w:fill="auto"/>
            <w:vAlign w:val="center"/>
          </w:tcPr>
          <w:p w14:paraId="5752165E" w14:textId="77777777" w:rsidR="0002307A" w:rsidRPr="00033E65" w:rsidRDefault="0002307A" w:rsidP="00A34FFD">
            <w:pPr>
              <w:spacing w:before="0" w:after="0"/>
              <w:jc w:val="center"/>
              <w:rPr>
                <w:szCs w:val="22"/>
              </w:rPr>
            </w:pPr>
            <w:r w:rsidRPr="00033E65">
              <w:rPr>
                <w:szCs w:val="22"/>
              </w:rPr>
              <w:t>Recomendaciones de Auditoría Judicial 1284-213-AUO-2014</w:t>
            </w:r>
          </w:p>
        </w:tc>
        <w:tc>
          <w:tcPr>
            <w:tcW w:w="3119" w:type="dxa"/>
            <w:tcBorders>
              <w:top w:val="nil"/>
              <w:left w:val="nil"/>
              <w:bottom w:val="double" w:sz="6" w:space="0" w:color="44546A"/>
              <w:right w:val="double" w:sz="6" w:space="0" w:color="44546A"/>
            </w:tcBorders>
            <w:shd w:val="clear" w:color="auto" w:fill="auto"/>
            <w:noWrap/>
            <w:vAlign w:val="center"/>
          </w:tcPr>
          <w:p w14:paraId="0330F902" w14:textId="78280C04" w:rsidR="0002307A" w:rsidRPr="00033E65" w:rsidRDefault="009155A4" w:rsidP="00A34FFD">
            <w:pPr>
              <w:spacing w:before="0" w:after="0"/>
              <w:jc w:val="center"/>
              <w:rPr>
                <w:szCs w:val="22"/>
              </w:rPr>
            </w:pPr>
            <w:r w:rsidRPr="00033E65">
              <w:object w:dxaOrig="2520" w:dyaOrig="1640" w14:anchorId="3FA88225">
                <v:shape id="_x0000_i1048" type="#_x0000_t75" style="width:90.6pt;height:63.6pt" o:ole="">
                  <v:imagedata r:id="rId90" o:title=""/>
                </v:shape>
                <o:OLEObject Type="Embed" ProgID="Package" ShapeID="_x0000_i1048" DrawAspect="Icon" ObjectID="_1745989782" r:id="rId91"/>
              </w:object>
            </w:r>
          </w:p>
        </w:tc>
      </w:tr>
      <w:tr w:rsidR="00CE6DE9" w:rsidRPr="00033E65" w14:paraId="071CEB40" w14:textId="77777777" w:rsidTr="004A142B">
        <w:trPr>
          <w:trHeight w:val="335"/>
          <w:jc w:val="center"/>
        </w:trPr>
        <w:tc>
          <w:tcPr>
            <w:tcW w:w="1395" w:type="dxa"/>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524F41F0" w14:textId="1480C057" w:rsidR="00CE6DE9" w:rsidRPr="00033E65" w:rsidRDefault="00A86AA3" w:rsidP="00A34FFD">
            <w:pPr>
              <w:spacing w:before="0" w:after="0"/>
              <w:jc w:val="center"/>
              <w:rPr>
                <w:b/>
                <w:i/>
                <w:szCs w:val="22"/>
              </w:rPr>
            </w:pPr>
            <w:r w:rsidRPr="00033E65">
              <w:rPr>
                <w:b/>
                <w:i/>
                <w:szCs w:val="22"/>
              </w:rPr>
              <w:t>2</w:t>
            </w:r>
            <w:r w:rsidR="009367DB" w:rsidRPr="00033E65">
              <w:rPr>
                <w:b/>
                <w:i/>
                <w:szCs w:val="22"/>
              </w:rPr>
              <w:t>3</w:t>
            </w:r>
          </w:p>
        </w:tc>
        <w:tc>
          <w:tcPr>
            <w:tcW w:w="4394"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45A18092" w14:textId="7D1B4EC5" w:rsidR="00CE6DE9" w:rsidRPr="00033E65" w:rsidRDefault="00CE6DE9" w:rsidP="00A34FFD">
            <w:pPr>
              <w:spacing w:before="0" w:after="0"/>
              <w:jc w:val="center"/>
              <w:rPr>
                <w:szCs w:val="22"/>
              </w:rPr>
            </w:pPr>
            <w:r w:rsidRPr="00033E65">
              <w:rPr>
                <w:szCs w:val="22"/>
              </w:rPr>
              <w:t xml:space="preserve">Informe de Avance del Proyecto del 18 de diciembre del 2020, Comisión Agraria </w:t>
            </w:r>
          </w:p>
        </w:tc>
        <w:bookmarkStart w:id="258" w:name="_MON_1679335756"/>
        <w:bookmarkEnd w:id="258"/>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5FCE443E" w14:textId="58F5C2DB" w:rsidR="00CE6DE9" w:rsidRPr="00033E65" w:rsidRDefault="00513B14" w:rsidP="00A34FFD">
            <w:pPr>
              <w:spacing w:before="0" w:after="0"/>
              <w:jc w:val="center"/>
              <w:rPr>
                <w:szCs w:val="22"/>
              </w:rPr>
            </w:pPr>
            <w:r w:rsidRPr="00033E65">
              <w:rPr>
                <w:szCs w:val="22"/>
              </w:rPr>
              <w:object w:dxaOrig="1513" w:dyaOrig="984" w14:anchorId="67413667">
                <v:shape id="_x0000_i1049" type="#_x0000_t75" style="width:1in;height:46.2pt" o:ole="">
                  <v:imagedata r:id="rId92" o:title=""/>
                </v:shape>
                <o:OLEObject Type="Embed" ProgID="Word.Document.12" ShapeID="_x0000_i1049" DrawAspect="Icon" ObjectID="_1745989783" r:id="rId93">
                  <o:FieldCodes>\s</o:FieldCodes>
                </o:OLEObject>
              </w:object>
            </w:r>
          </w:p>
        </w:tc>
      </w:tr>
      <w:tr w:rsidR="00FD00FD" w:rsidRPr="00033E65" w14:paraId="2904B2C6" w14:textId="77777777" w:rsidTr="004A142B">
        <w:trPr>
          <w:trHeight w:val="335"/>
          <w:jc w:val="center"/>
        </w:trPr>
        <w:tc>
          <w:tcPr>
            <w:tcW w:w="1395" w:type="dxa"/>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559AC2A8" w14:textId="2DBE4FC0" w:rsidR="00FD00FD" w:rsidRPr="00033E65" w:rsidRDefault="00FD00FD" w:rsidP="00A34FFD">
            <w:pPr>
              <w:spacing w:before="0" w:after="0"/>
              <w:jc w:val="center"/>
              <w:rPr>
                <w:b/>
                <w:i/>
                <w:szCs w:val="22"/>
              </w:rPr>
            </w:pPr>
            <w:r w:rsidRPr="00033E65">
              <w:rPr>
                <w:b/>
                <w:i/>
                <w:szCs w:val="22"/>
              </w:rPr>
              <w:t>2</w:t>
            </w:r>
            <w:r w:rsidR="009367DB" w:rsidRPr="00033E65">
              <w:rPr>
                <w:b/>
                <w:i/>
                <w:szCs w:val="22"/>
              </w:rPr>
              <w:t>4</w:t>
            </w:r>
          </w:p>
        </w:tc>
        <w:tc>
          <w:tcPr>
            <w:tcW w:w="4394"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2D2A78C8" w14:textId="105127C0" w:rsidR="00FD00FD" w:rsidRPr="00033E65" w:rsidRDefault="00FD00FD" w:rsidP="00A34FFD">
            <w:pPr>
              <w:spacing w:before="0" w:after="0"/>
              <w:jc w:val="center"/>
              <w:rPr>
                <w:szCs w:val="22"/>
              </w:rPr>
            </w:pPr>
            <w:r w:rsidRPr="00033E65">
              <w:rPr>
                <w:szCs w:val="22"/>
              </w:rPr>
              <w:t>Oficio 1996-2021</w:t>
            </w:r>
          </w:p>
        </w:tc>
        <w:bookmarkStart w:id="259" w:name="_MON_1708232116"/>
        <w:bookmarkEnd w:id="259"/>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51684AA6" w14:textId="727707D3" w:rsidR="00FD00FD" w:rsidRPr="00033E65" w:rsidRDefault="00FD00FD" w:rsidP="00A34FFD">
            <w:pPr>
              <w:spacing w:before="0" w:after="0"/>
              <w:jc w:val="center"/>
              <w:rPr>
                <w:szCs w:val="22"/>
              </w:rPr>
            </w:pPr>
            <w:r w:rsidRPr="00033E65">
              <w:rPr>
                <w:szCs w:val="22"/>
              </w:rPr>
              <w:object w:dxaOrig="1508" w:dyaOrig="984" w14:anchorId="5B742AFA">
                <v:shape id="_x0000_i1050" type="#_x0000_t75" style="width:1in;height:52.2pt" o:ole="">
                  <v:imagedata r:id="rId94" o:title=""/>
                </v:shape>
                <o:OLEObject Type="Embed" ProgID="Word.Document.12" ShapeID="_x0000_i1050" DrawAspect="Icon" ObjectID="_1745989784" r:id="rId95">
                  <o:FieldCodes>\s</o:FieldCodes>
                </o:OLEObject>
              </w:object>
            </w:r>
          </w:p>
        </w:tc>
      </w:tr>
      <w:tr w:rsidR="00FD00FD" w:rsidRPr="00033E65" w14:paraId="65D1E410" w14:textId="77777777" w:rsidTr="004A142B">
        <w:trPr>
          <w:trHeight w:val="335"/>
          <w:jc w:val="center"/>
        </w:trPr>
        <w:tc>
          <w:tcPr>
            <w:tcW w:w="1395" w:type="dxa"/>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3D83C208" w14:textId="7E3A2EF6" w:rsidR="00FD00FD" w:rsidRPr="00033E65" w:rsidRDefault="00FD00FD" w:rsidP="00A34FFD">
            <w:pPr>
              <w:spacing w:before="0" w:after="0"/>
              <w:jc w:val="center"/>
              <w:rPr>
                <w:b/>
                <w:i/>
                <w:szCs w:val="22"/>
              </w:rPr>
            </w:pPr>
            <w:r w:rsidRPr="00033E65">
              <w:rPr>
                <w:b/>
                <w:i/>
                <w:szCs w:val="22"/>
              </w:rPr>
              <w:t>2</w:t>
            </w:r>
            <w:r w:rsidR="009367DB" w:rsidRPr="00033E65">
              <w:rPr>
                <w:b/>
                <w:i/>
                <w:szCs w:val="22"/>
              </w:rPr>
              <w:t>5</w:t>
            </w:r>
          </w:p>
        </w:tc>
        <w:tc>
          <w:tcPr>
            <w:tcW w:w="4394"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02B76F4C" w14:textId="39FF6F90" w:rsidR="00FD00FD" w:rsidRPr="00033E65" w:rsidRDefault="00FD00FD" w:rsidP="00A34FFD">
            <w:pPr>
              <w:spacing w:before="0" w:after="0"/>
              <w:jc w:val="center"/>
              <w:rPr>
                <w:szCs w:val="22"/>
              </w:rPr>
            </w:pPr>
            <w:r w:rsidRPr="00033E65">
              <w:rPr>
                <w:szCs w:val="22"/>
              </w:rPr>
              <w:t>Oficio 105-CAIICJZA-2021</w:t>
            </w:r>
          </w:p>
        </w:tc>
        <w:bookmarkStart w:id="260" w:name="_MON_1708232136"/>
        <w:bookmarkEnd w:id="260"/>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52356789" w14:textId="2A5F3285" w:rsidR="00FD00FD" w:rsidRPr="00033E65" w:rsidRDefault="00FD00FD" w:rsidP="00A34FFD">
            <w:pPr>
              <w:spacing w:before="0" w:after="0"/>
              <w:jc w:val="center"/>
              <w:rPr>
                <w:szCs w:val="22"/>
              </w:rPr>
            </w:pPr>
            <w:r w:rsidRPr="00033E65">
              <w:rPr>
                <w:szCs w:val="22"/>
              </w:rPr>
              <w:object w:dxaOrig="1508" w:dyaOrig="984" w14:anchorId="2121F36E">
                <v:shape id="_x0000_i1051" type="#_x0000_t75" style="width:1in;height:52.2pt" o:ole="">
                  <v:imagedata r:id="rId96" o:title=""/>
                </v:shape>
                <o:OLEObject Type="Embed" ProgID="Word.Document.8" ShapeID="_x0000_i1051" DrawAspect="Icon" ObjectID="_1745989785" r:id="rId97">
                  <o:FieldCodes>\s</o:FieldCodes>
                </o:OLEObject>
              </w:object>
            </w:r>
          </w:p>
        </w:tc>
      </w:tr>
      <w:tr w:rsidR="007F252D" w:rsidRPr="00033E65" w14:paraId="7F916177" w14:textId="77777777" w:rsidTr="004A142B">
        <w:trPr>
          <w:trHeight w:val="335"/>
          <w:jc w:val="center"/>
        </w:trPr>
        <w:tc>
          <w:tcPr>
            <w:tcW w:w="1395" w:type="dxa"/>
            <w:tcBorders>
              <w:top w:val="double" w:sz="4" w:space="0" w:color="244061" w:themeColor="accent1" w:themeShade="80"/>
              <w:left w:val="double" w:sz="6" w:space="0" w:color="44546A"/>
              <w:bottom w:val="double" w:sz="6" w:space="0" w:color="44546A"/>
              <w:right w:val="double" w:sz="6" w:space="0" w:color="44546A"/>
            </w:tcBorders>
            <w:shd w:val="clear" w:color="auto" w:fill="auto"/>
            <w:noWrap/>
            <w:vAlign w:val="center"/>
          </w:tcPr>
          <w:p w14:paraId="45B75B6A" w14:textId="4405A18C" w:rsidR="007F252D" w:rsidRPr="00033E65" w:rsidRDefault="007F252D" w:rsidP="00A34FFD">
            <w:pPr>
              <w:spacing w:before="0" w:after="0"/>
              <w:jc w:val="center"/>
              <w:rPr>
                <w:b/>
                <w:i/>
                <w:szCs w:val="22"/>
              </w:rPr>
            </w:pPr>
            <w:r w:rsidRPr="00033E65">
              <w:rPr>
                <w:b/>
                <w:i/>
                <w:szCs w:val="22"/>
              </w:rPr>
              <w:t>2</w:t>
            </w:r>
            <w:r w:rsidR="009367DB" w:rsidRPr="00033E65">
              <w:rPr>
                <w:b/>
                <w:i/>
                <w:szCs w:val="22"/>
              </w:rPr>
              <w:t>6</w:t>
            </w:r>
          </w:p>
        </w:tc>
        <w:tc>
          <w:tcPr>
            <w:tcW w:w="4394" w:type="dxa"/>
            <w:tcBorders>
              <w:top w:val="double" w:sz="4" w:space="0" w:color="244061" w:themeColor="accent1" w:themeShade="80"/>
              <w:left w:val="nil"/>
              <w:bottom w:val="double" w:sz="6" w:space="0" w:color="44546A"/>
              <w:right w:val="double" w:sz="6" w:space="0" w:color="44546A"/>
            </w:tcBorders>
            <w:shd w:val="clear" w:color="auto" w:fill="auto"/>
            <w:vAlign w:val="center"/>
          </w:tcPr>
          <w:p w14:paraId="263AC401" w14:textId="0C40796B" w:rsidR="007F252D" w:rsidRPr="00033E65" w:rsidRDefault="007F252D" w:rsidP="00A34FFD">
            <w:pPr>
              <w:spacing w:before="0" w:after="0"/>
              <w:jc w:val="center"/>
              <w:rPr>
                <w:szCs w:val="22"/>
              </w:rPr>
            </w:pPr>
            <w:r w:rsidRPr="00033E65">
              <w:rPr>
                <w:szCs w:val="22"/>
              </w:rPr>
              <w:t>Oficio: No. 0021-TA-2022</w:t>
            </w:r>
          </w:p>
        </w:tc>
        <w:tc>
          <w:tcPr>
            <w:tcW w:w="3119" w:type="dxa"/>
            <w:tcBorders>
              <w:top w:val="double" w:sz="4" w:space="0" w:color="244061" w:themeColor="accent1" w:themeShade="80"/>
              <w:left w:val="nil"/>
              <w:bottom w:val="double" w:sz="6" w:space="0" w:color="44546A"/>
              <w:right w:val="double" w:sz="6" w:space="0" w:color="44546A"/>
            </w:tcBorders>
            <w:shd w:val="clear" w:color="auto" w:fill="auto"/>
            <w:noWrap/>
            <w:vAlign w:val="center"/>
          </w:tcPr>
          <w:p w14:paraId="377E33AE" w14:textId="6F096A9D" w:rsidR="007F252D" w:rsidRPr="00033E65" w:rsidRDefault="00C77857" w:rsidP="00A34FFD">
            <w:pPr>
              <w:spacing w:before="0" w:after="0"/>
              <w:jc w:val="center"/>
              <w:rPr>
                <w:szCs w:val="22"/>
              </w:rPr>
            </w:pPr>
            <w:r w:rsidRPr="00033E65">
              <w:rPr>
                <w:szCs w:val="22"/>
              </w:rPr>
              <w:object w:dxaOrig="1508" w:dyaOrig="984" w14:anchorId="711CC2D4">
                <v:shape id="_x0000_i1052" type="#_x0000_t75" style="width:76.8pt;height:52.2pt" o:ole="">
                  <v:imagedata r:id="rId98" o:title=""/>
                </v:shape>
                <o:OLEObject Type="Embed" ProgID="Acrobat.Document.DC" ShapeID="_x0000_i1052" DrawAspect="Icon" ObjectID="_1745989786" r:id="rId99"/>
              </w:object>
            </w:r>
          </w:p>
        </w:tc>
      </w:tr>
    </w:tbl>
    <w:p w14:paraId="404E0631" w14:textId="0FCD56FB" w:rsidR="00FD00FD" w:rsidRPr="00033E65" w:rsidRDefault="00FD00FD" w:rsidP="00D8361A">
      <w:pPr>
        <w:rPr>
          <w:lang w:eastAsia="en-US"/>
        </w:rPr>
      </w:pPr>
    </w:p>
    <w:p w14:paraId="538E8811" w14:textId="77777777" w:rsidR="00FD00FD" w:rsidRPr="00033E65" w:rsidRDefault="00FD00FD" w:rsidP="00D8361A">
      <w:pPr>
        <w:rPr>
          <w:lang w:eastAsia="en-US"/>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gridCol w:w="6887"/>
      </w:tblGrid>
      <w:tr w:rsidR="006762A7" w:rsidRPr="00033E65" w14:paraId="6EFCB6F5" w14:textId="77777777" w:rsidTr="004A142B">
        <w:tc>
          <w:tcPr>
            <w:tcW w:w="1828" w:type="dxa"/>
            <w:shd w:val="clear" w:color="auto" w:fill="F2F2F2" w:themeFill="background1" w:themeFillShade="F2"/>
            <w:vAlign w:val="center"/>
          </w:tcPr>
          <w:p w14:paraId="641224A7" w14:textId="77777777" w:rsidR="006762A7" w:rsidRPr="00033E65" w:rsidRDefault="006762A7" w:rsidP="006762A7">
            <w:pPr>
              <w:spacing w:line="276" w:lineRule="auto"/>
              <w:rPr>
                <w:rFonts w:cs="Book Antiqua"/>
                <w:b/>
                <w:bCs/>
                <w:szCs w:val="24"/>
              </w:rPr>
            </w:pPr>
            <w:r w:rsidRPr="00033E65">
              <w:rPr>
                <w:rFonts w:cs="Book Antiqua"/>
                <w:b/>
                <w:bCs/>
                <w:szCs w:val="24"/>
              </w:rPr>
              <w:t xml:space="preserve">Elaborado </w:t>
            </w:r>
          </w:p>
        </w:tc>
        <w:tc>
          <w:tcPr>
            <w:tcW w:w="6887" w:type="dxa"/>
            <w:shd w:val="clear" w:color="auto" w:fill="auto"/>
            <w:vAlign w:val="center"/>
          </w:tcPr>
          <w:p w14:paraId="615D7299" w14:textId="77777777" w:rsidR="006762A7" w:rsidRPr="00033E65" w:rsidRDefault="00F06B1F" w:rsidP="003D75F2">
            <w:pPr>
              <w:spacing w:line="276" w:lineRule="auto"/>
              <w:rPr>
                <w:rFonts w:cs="Book Antiqua"/>
                <w:szCs w:val="24"/>
              </w:rPr>
            </w:pPr>
            <w:r w:rsidRPr="00033E65">
              <w:rPr>
                <w:rFonts w:cs="Book Antiqua"/>
                <w:szCs w:val="24"/>
              </w:rPr>
              <w:t>MSc. Abigail Gómez Abarca, Coordinadora de Unidad 3 a.i.</w:t>
            </w:r>
          </w:p>
          <w:p w14:paraId="0E3887F9" w14:textId="68924B93" w:rsidR="00FD5626" w:rsidRPr="00033E65" w:rsidRDefault="00FD5626" w:rsidP="003D75F2">
            <w:pPr>
              <w:spacing w:line="276" w:lineRule="auto"/>
              <w:rPr>
                <w:rFonts w:cs="Book Antiqua"/>
                <w:szCs w:val="24"/>
              </w:rPr>
            </w:pPr>
            <w:r w:rsidRPr="00033E65">
              <w:rPr>
                <w:rFonts w:cs="Book Antiqua"/>
                <w:szCs w:val="24"/>
              </w:rPr>
              <w:t>Licda. Diana Raquel Cordero Villalobos, Profesional 2</w:t>
            </w:r>
          </w:p>
          <w:p w14:paraId="27151614" w14:textId="3985C1AA" w:rsidR="00FD5626" w:rsidRPr="00033E65" w:rsidRDefault="00FD5626" w:rsidP="003D75F2">
            <w:pPr>
              <w:spacing w:line="276" w:lineRule="auto"/>
              <w:rPr>
                <w:rFonts w:cs="Book Antiqua"/>
                <w:szCs w:val="24"/>
              </w:rPr>
            </w:pPr>
            <w:r w:rsidRPr="00033E65">
              <w:rPr>
                <w:rFonts w:cs="Book Antiqua"/>
                <w:szCs w:val="24"/>
              </w:rPr>
              <w:t>Ing. Marliz Verónica Sánchez Calderón, Profesional 2</w:t>
            </w:r>
          </w:p>
        </w:tc>
      </w:tr>
      <w:tr w:rsidR="006762A7" w:rsidRPr="00033E65" w14:paraId="118C0017" w14:textId="77777777" w:rsidTr="004A142B">
        <w:tc>
          <w:tcPr>
            <w:tcW w:w="1828" w:type="dxa"/>
            <w:shd w:val="clear" w:color="auto" w:fill="F2F2F2" w:themeFill="background1" w:themeFillShade="F2"/>
            <w:vAlign w:val="center"/>
          </w:tcPr>
          <w:p w14:paraId="7003CFF5" w14:textId="77777777" w:rsidR="006762A7" w:rsidRPr="00033E65" w:rsidRDefault="006762A7" w:rsidP="006762A7">
            <w:pPr>
              <w:spacing w:line="276" w:lineRule="auto"/>
              <w:rPr>
                <w:rFonts w:cs="Book Antiqua"/>
                <w:b/>
                <w:bCs/>
                <w:szCs w:val="24"/>
              </w:rPr>
            </w:pPr>
            <w:r w:rsidRPr="00033E65">
              <w:rPr>
                <w:rFonts w:cs="Book Antiqua"/>
                <w:b/>
                <w:bCs/>
                <w:szCs w:val="24"/>
              </w:rPr>
              <w:t xml:space="preserve">Revisado </w:t>
            </w:r>
          </w:p>
        </w:tc>
        <w:tc>
          <w:tcPr>
            <w:tcW w:w="6887" w:type="dxa"/>
            <w:shd w:val="clear" w:color="auto" w:fill="auto"/>
            <w:vAlign w:val="center"/>
          </w:tcPr>
          <w:p w14:paraId="5D4DED0D" w14:textId="396CEA25" w:rsidR="006762A7" w:rsidRPr="00033E65" w:rsidRDefault="006762A7" w:rsidP="006762A7">
            <w:pPr>
              <w:spacing w:line="276" w:lineRule="auto"/>
              <w:rPr>
                <w:rFonts w:cs="Book Antiqua"/>
                <w:szCs w:val="24"/>
              </w:rPr>
            </w:pPr>
            <w:r w:rsidRPr="00033E65">
              <w:rPr>
                <w:rFonts w:cs="Book Antiqua"/>
                <w:szCs w:val="24"/>
              </w:rPr>
              <w:t xml:space="preserve">Ing. </w:t>
            </w:r>
            <w:r w:rsidR="00E57561" w:rsidRPr="00033E65">
              <w:rPr>
                <w:rFonts w:cs="Book Antiqua"/>
                <w:szCs w:val="24"/>
              </w:rPr>
              <w:t>Yesenia Salazar Guzmán</w:t>
            </w:r>
            <w:r w:rsidRPr="00033E65">
              <w:rPr>
                <w:rFonts w:cs="Book Antiqua"/>
                <w:szCs w:val="24"/>
              </w:rPr>
              <w:t>, Jef</w:t>
            </w:r>
            <w:r w:rsidR="00E57561" w:rsidRPr="00033E65">
              <w:rPr>
                <w:rFonts w:cs="Book Antiqua"/>
                <w:szCs w:val="24"/>
              </w:rPr>
              <w:t>a</w:t>
            </w:r>
            <w:r w:rsidRPr="00033E65">
              <w:rPr>
                <w:rFonts w:cs="Book Antiqua"/>
                <w:szCs w:val="24"/>
              </w:rPr>
              <w:t xml:space="preserve"> a.i. del Subproceso de Modernización Institucional</w:t>
            </w:r>
            <w:r w:rsidR="00E57561" w:rsidRPr="00033E65">
              <w:rPr>
                <w:rFonts w:cs="Book Antiqua"/>
                <w:szCs w:val="24"/>
              </w:rPr>
              <w:t>, área No Penal</w:t>
            </w:r>
          </w:p>
        </w:tc>
      </w:tr>
      <w:tr w:rsidR="006762A7" w:rsidRPr="00033E65" w14:paraId="7E781F30" w14:textId="77777777" w:rsidTr="004A142B">
        <w:tc>
          <w:tcPr>
            <w:tcW w:w="1828" w:type="dxa"/>
            <w:shd w:val="clear" w:color="auto" w:fill="F2F2F2" w:themeFill="background1" w:themeFillShade="F2"/>
            <w:vAlign w:val="center"/>
          </w:tcPr>
          <w:p w14:paraId="42EC2934" w14:textId="77777777" w:rsidR="006762A7" w:rsidRPr="00033E65" w:rsidRDefault="006762A7" w:rsidP="006762A7">
            <w:pPr>
              <w:spacing w:line="276" w:lineRule="auto"/>
              <w:rPr>
                <w:rFonts w:cs="Book Antiqua"/>
                <w:b/>
                <w:bCs/>
                <w:szCs w:val="24"/>
              </w:rPr>
            </w:pPr>
            <w:r w:rsidRPr="00033E65">
              <w:rPr>
                <w:rFonts w:cs="Book Antiqua"/>
                <w:b/>
                <w:bCs/>
                <w:szCs w:val="24"/>
              </w:rPr>
              <w:t>Aprobado</w:t>
            </w:r>
          </w:p>
        </w:tc>
        <w:tc>
          <w:tcPr>
            <w:tcW w:w="6887" w:type="dxa"/>
            <w:shd w:val="clear" w:color="auto" w:fill="auto"/>
            <w:vAlign w:val="center"/>
          </w:tcPr>
          <w:p w14:paraId="78F5883A" w14:textId="5B551B5A" w:rsidR="006762A7" w:rsidRPr="00033E65" w:rsidRDefault="007E641F" w:rsidP="006762A7">
            <w:pPr>
              <w:spacing w:line="276" w:lineRule="auto"/>
              <w:rPr>
                <w:rFonts w:cs="Book Antiqua"/>
                <w:szCs w:val="24"/>
              </w:rPr>
            </w:pPr>
            <w:r w:rsidRPr="00033E65">
              <w:rPr>
                <w:rFonts w:cs="Book Antiqua"/>
                <w:szCs w:val="24"/>
              </w:rPr>
              <w:t>Licda. Nacira Va</w:t>
            </w:r>
            <w:r w:rsidR="00230EC8" w:rsidRPr="00033E65">
              <w:rPr>
                <w:rFonts w:cs="Book Antiqua"/>
                <w:szCs w:val="24"/>
              </w:rPr>
              <w:t>l</w:t>
            </w:r>
            <w:r w:rsidRPr="00033E65">
              <w:rPr>
                <w:rFonts w:cs="Book Antiqua"/>
                <w:szCs w:val="24"/>
              </w:rPr>
              <w:t>verde Bermudez, Directora a.i. de</w:t>
            </w:r>
            <w:r w:rsidR="00420C4B" w:rsidRPr="00033E65">
              <w:rPr>
                <w:rFonts w:cs="Book Antiqua"/>
                <w:szCs w:val="24"/>
              </w:rPr>
              <w:t xml:space="preserve"> Planificación</w:t>
            </w:r>
          </w:p>
        </w:tc>
      </w:tr>
    </w:tbl>
    <w:p w14:paraId="42DA3176" w14:textId="3D4821B9" w:rsidR="00131C90" w:rsidRPr="00D8361A" w:rsidRDefault="00131C90" w:rsidP="001D1871">
      <w:pPr>
        <w:spacing w:before="0" w:after="0"/>
        <w:rPr>
          <w:lang w:eastAsia="en-US"/>
        </w:rPr>
      </w:pPr>
    </w:p>
    <w:sectPr w:rsidR="00131C90" w:rsidRPr="00D8361A">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AE12FC" w14:textId="77777777" w:rsidR="00CF7210" w:rsidRDefault="00CF7210" w:rsidP="005967E5">
      <w:pPr>
        <w:spacing w:before="0" w:after="0"/>
      </w:pPr>
      <w:r>
        <w:separator/>
      </w:r>
    </w:p>
  </w:endnote>
  <w:endnote w:type="continuationSeparator" w:id="0">
    <w:p w14:paraId="61A9CD59" w14:textId="77777777" w:rsidR="00CF7210" w:rsidRDefault="00CF7210" w:rsidP="005967E5">
      <w:pPr>
        <w:spacing w:before="0" w:after="0"/>
      </w:pPr>
      <w:r>
        <w:continuationSeparator/>
      </w:r>
    </w:p>
  </w:endnote>
  <w:endnote w:type="continuationNotice" w:id="1">
    <w:p w14:paraId="58BD337B" w14:textId="77777777" w:rsidR="00CF7210" w:rsidRDefault="00CF7210">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Symbol">
    <w:panose1 w:val="05010000000000000000"/>
    <w:charset w:val="00"/>
    <w:family w:val="auto"/>
    <w:pitch w:val="variable"/>
    <w:sig w:usb0="800000AF" w:usb1="1001ECEA"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Arial-BoldMT">
    <w:altName w:val="Impact"/>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8080000" w:usb2="00000010" w:usb3="00000000" w:csb0="00100001" w:csb1="00000000"/>
  </w:font>
  <w:font w:name="Times-Roman">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6180910"/>
      <w:docPartObj>
        <w:docPartGallery w:val="Page Numbers (Bottom of Page)"/>
        <w:docPartUnique/>
      </w:docPartObj>
    </w:sdtPr>
    <w:sdtContent>
      <w:p w14:paraId="04C7A130" w14:textId="507028CB" w:rsidR="00E5304A" w:rsidRDefault="00E5304A" w:rsidP="005967E5">
        <w:pPr>
          <w:pStyle w:val="Piedepgina"/>
          <w:jc w:val="right"/>
        </w:pPr>
        <w:r>
          <w:fldChar w:fldCharType="begin"/>
        </w:r>
        <w:r>
          <w:instrText>PAGE   \* MERGEFORMAT</w:instrText>
        </w:r>
        <w:r>
          <w:fldChar w:fldCharType="separate"/>
        </w:r>
        <w:r w:rsidR="0032388C">
          <w:rPr>
            <w:noProof/>
          </w:rPr>
          <w:t>21</w:t>
        </w:r>
        <w:r>
          <w:fldChar w:fldCharType="end"/>
        </w:r>
      </w:p>
    </w:sdtContent>
  </w:sdt>
  <w:p w14:paraId="797F503A" w14:textId="6D36B78D" w:rsidR="00E5304A" w:rsidRPr="004A0947" w:rsidRDefault="00E5304A" w:rsidP="005967E5">
    <w:pPr>
      <w:pBdr>
        <w:top w:val="single" w:sz="4" w:space="1" w:color="auto"/>
      </w:pBdr>
      <w:jc w:val="center"/>
      <w:rPr>
        <w:b/>
        <w:bCs/>
        <w:i/>
        <w:iCs/>
        <w:color w:val="000000"/>
        <w:sz w:val="20"/>
      </w:rPr>
    </w:pPr>
    <w:r w:rsidRPr="004A0947">
      <w:rPr>
        <w:b/>
        <w:bCs/>
        <w:i/>
        <w:iCs/>
        <w:color w:val="000000"/>
        <w:sz w:val="20"/>
      </w:rPr>
      <w:t>Trabajamos por el desarrollo de la administración de justicia</w:t>
    </w:r>
    <w:r>
      <w:rPr>
        <w:b/>
        <w:bCs/>
        <w:i/>
        <w:iCs/>
        <w:color w:val="000000"/>
        <w:sz w:val="20"/>
      </w:rPr>
      <w:t xml:space="preserve"> </w:t>
    </w:r>
    <w:r w:rsidRPr="004A0947">
      <w:rPr>
        <w:b/>
        <w:bCs/>
        <w:i/>
        <w:iCs/>
        <w:color w:val="000000"/>
        <w:sz w:val="20"/>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2C5D6C" w14:textId="77777777" w:rsidR="00CF7210" w:rsidRDefault="00CF7210" w:rsidP="005967E5">
      <w:pPr>
        <w:spacing w:before="0" w:after="0"/>
      </w:pPr>
      <w:r>
        <w:separator/>
      </w:r>
    </w:p>
  </w:footnote>
  <w:footnote w:type="continuationSeparator" w:id="0">
    <w:p w14:paraId="601C6CD0" w14:textId="77777777" w:rsidR="00CF7210" w:rsidRDefault="00CF7210" w:rsidP="005967E5">
      <w:pPr>
        <w:spacing w:before="0" w:after="0"/>
      </w:pPr>
      <w:r>
        <w:continuationSeparator/>
      </w:r>
    </w:p>
  </w:footnote>
  <w:footnote w:type="continuationNotice" w:id="1">
    <w:p w14:paraId="0C03FA24" w14:textId="77777777" w:rsidR="00CF7210" w:rsidRDefault="00CF7210">
      <w:pPr>
        <w:spacing w:before="0" w:after="0"/>
      </w:pPr>
    </w:p>
  </w:footnote>
  <w:footnote w:id="2">
    <w:p w14:paraId="32A470C3" w14:textId="77777777" w:rsidR="00E5304A" w:rsidRPr="00A2252A" w:rsidRDefault="00E5304A" w:rsidP="005046C5">
      <w:pPr>
        <w:pStyle w:val="Textonotapie"/>
        <w:rPr>
          <w:i/>
          <w:iCs/>
        </w:rPr>
      </w:pPr>
      <w:r w:rsidRPr="00741856">
        <w:rPr>
          <w:rStyle w:val="Refdenotaalpie"/>
        </w:rPr>
        <w:footnoteRef/>
      </w:r>
      <w:r w:rsidRPr="00741856">
        <w:t xml:space="preserve"> </w:t>
      </w:r>
      <w:r w:rsidRPr="00741856">
        <w:rPr>
          <w:i/>
          <w:iCs/>
          <w:sz w:val="18"/>
          <w:szCs w:val="18"/>
        </w:rPr>
        <w:t xml:space="preserve">En </w:t>
      </w:r>
      <w:r w:rsidRPr="00741856">
        <w:rPr>
          <w:rFonts w:cs="Arial"/>
          <w:i/>
          <w:iCs/>
          <w:sz w:val="18"/>
          <w:szCs w:val="18"/>
          <w:lang w:val="es-ES" w:eastAsia="zh-CN"/>
        </w:rPr>
        <w:t>sesión extraordinaria 47-19 (Presupuesto 2020), celebrada el 23 de mayo del año 2020, “artículo VIII, informe 102-</w:t>
      </w:r>
      <w:r w:rsidRPr="00741856">
        <w:rPr>
          <w:rFonts w:cs="Arial"/>
          <w:i/>
          <w:iCs/>
          <w:sz w:val="18"/>
          <w:szCs w:val="18"/>
          <w:lang w:val="es-ES" w:eastAsia="zh-CN"/>
        </w:rPr>
        <w:softHyphen/>
        <w:t>CSP-19, se conoce el consolidado de las plazas aprobadas para el 2020 por el Consejo Superior, donde las plazas extraordinarias de Defensora o Defensor Público se trasladan a plazas Ordinarias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A66C8" w14:textId="7DA860C6" w:rsidR="00E5304A" w:rsidRDefault="00E5304A" w:rsidP="00AD0453">
    <w:pPr>
      <w:pStyle w:val="Encabezado"/>
      <w:tabs>
        <w:tab w:val="center" w:pos="8804"/>
        <w:tab w:val="right" w:pos="8875"/>
      </w:tabs>
      <w:jc w:val="center"/>
      <w:rPr>
        <w:rFonts w:cs="Book Antiqua"/>
        <w:i/>
        <w:iCs/>
        <w:sz w:val="18"/>
        <w:szCs w:val="18"/>
      </w:rPr>
    </w:pPr>
    <w:r>
      <w:rPr>
        <w:rFonts w:cs="Book Antiqua"/>
        <w:i/>
        <w:iCs/>
        <w:sz w:val="18"/>
        <w:szCs w:val="18"/>
      </w:rPr>
      <w:t>Dirección de Planificación</w:t>
    </w:r>
    <w:r w:rsidR="004A4889">
      <w:rPr>
        <w:noProof/>
        <w:sz w:val="24"/>
        <w:szCs w:val="24"/>
      </w:rPr>
      <w:drawing>
        <wp:inline distT="0" distB="0" distL="0" distR="0" wp14:anchorId="610F0046" wp14:editId="2BA1EA5B">
          <wp:extent cx="315595" cy="412115"/>
          <wp:effectExtent l="0" t="0" r="8255"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5595" cy="412115"/>
                  </a:xfrm>
                  <a:prstGeom prst="rect">
                    <a:avLst/>
                  </a:prstGeom>
                  <a:noFill/>
                  <a:ln>
                    <a:noFill/>
                  </a:ln>
                </pic:spPr>
              </pic:pic>
            </a:graphicData>
          </a:graphic>
        </wp:inline>
      </w:drawing>
    </w:r>
  </w:p>
  <w:p w14:paraId="3395C8F8" w14:textId="31D4B395" w:rsidR="00E5304A" w:rsidRDefault="00E5304A" w:rsidP="00AD0453">
    <w:pPr>
      <w:pStyle w:val="Encabezado"/>
      <w:tabs>
        <w:tab w:val="right" w:pos="8875"/>
      </w:tabs>
      <w:jc w:val="center"/>
      <w:rPr>
        <w:rFonts w:cs="Book Antiqua"/>
        <w:i/>
        <w:iCs/>
        <w:sz w:val="18"/>
        <w:szCs w:val="18"/>
      </w:rPr>
    </w:pPr>
    <w:r>
      <w:rPr>
        <w:rFonts w:cs="Book Antiqua"/>
        <w:i/>
        <w:iCs/>
        <w:sz w:val="18"/>
        <w:szCs w:val="18"/>
      </w:rPr>
      <w:t>San José - Costa Rica</w:t>
    </w:r>
  </w:p>
  <w:p w14:paraId="1657681F" w14:textId="72DF38AB" w:rsidR="00E5304A" w:rsidRDefault="00E5304A" w:rsidP="00541283">
    <w:pPr>
      <w:pStyle w:val="Encabezado"/>
      <w:jc w:val="center"/>
      <w:rPr>
        <w:lang w:val="en-US"/>
      </w:rPr>
    </w:pPr>
    <w:r w:rsidRPr="00190583">
      <w:rPr>
        <w:rFonts w:cs="Book Antiqua"/>
        <w:i/>
        <w:iCs/>
        <w:sz w:val="18"/>
        <w:szCs w:val="18"/>
        <w:lang w:val="en-US"/>
      </w:rPr>
      <w:t xml:space="preserve">Telf.   </w:t>
    </w:r>
    <w:r>
      <w:rPr>
        <w:rFonts w:cs="Book Antiqua"/>
        <w:i/>
        <w:iCs/>
        <w:sz w:val="18"/>
        <w:szCs w:val="18"/>
        <w:lang w:val="en-US"/>
      </w:rPr>
      <w:t xml:space="preserve">2295-3600 / 3599 / Apdo.  95-1003 / </w:t>
    </w:r>
    <w:hyperlink r:id="rId2" w:history="1">
      <w:r w:rsidRPr="00F54DDC">
        <w:rPr>
          <w:rStyle w:val="Hipervnculo"/>
          <w:rFonts w:cs="Book Antiqua"/>
          <w:i/>
          <w:iCs/>
          <w:sz w:val="18"/>
          <w:szCs w:val="18"/>
          <w:lang w:val="en-US"/>
        </w:rPr>
        <w:t>planificacion@poder-judicial.go.cr</w:t>
      </w:r>
    </w:hyperlink>
  </w:p>
  <w:p w14:paraId="3C1501E0" w14:textId="1210BD21" w:rsidR="00E5304A" w:rsidRPr="00541283" w:rsidRDefault="00E5304A" w:rsidP="00541283">
    <w:pPr>
      <w:pStyle w:val="Encabezado"/>
      <w:jc w:val="center"/>
      <w:rPr>
        <w:lang w:val="en-US"/>
      </w:rPr>
    </w:pPr>
    <w:r>
      <w:rPr>
        <w:lang w:val="en-US"/>
      </w:rPr>
      <w:t>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0596F"/>
    <w:multiLevelType w:val="multilevel"/>
    <w:tmpl w:val="609A8A08"/>
    <w:lvl w:ilvl="0">
      <w:start w:val="1"/>
      <w:numFmt w:val="lowerLetter"/>
      <w:lvlText w:val="%1."/>
      <w:lvlJc w:val="left"/>
      <w:pPr>
        <w:tabs>
          <w:tab w:val="num" w:pos="0"/>
        </w:tabs>
        <w:ind w:left="0" w:firstLine="0"/>
      </w:pPr>
    </w:lvl>
    <w:lvl w:ilvl="1">
      <w:start w:val="1"/>
      <w:numFmt w:val="bullet"/>
      <w:lvlText w:val=""/>
      <w:lvlJc w:val="left"/>
      <w:pPr>
        <w:tabs>
          <w:tab w:val="num" w:pos="0"/>
        </w:tabs>
        <w:ind w:left="0" w:firstLine="0"/>
      </w:pPr>
      <w:rPr>
        <w:rFonts w:ascii="OpenSymbol" w:hAnsi="OpenSymbol" w:cs="OpenSymbol" w:hint="default"/>
      </w:rPr>
    </w:lvl>
    <w:lvl w:ilvl="2">
      <w:start w:val="1"/>
      <w:numFmt w:val="bullet"/>
      <w:lvlText w:val=""/>
      <w:lvlJc w:val="left"/>
      <w:pPr>
        <w:tabs>
          <w:tab w:val="num" w:pos="0"/>
        </w:tabs>
        <w:ind w:left="0" w:firstLine="0"/>
      </w:pPr>
      <w:rPr>
        <w:rFonts w:ascii="OpenSymbol" w:hAnsi="OpenSymbol" w:cs="OpenSymbol" w:hint="default"/>
      </w:rPr>
    </w:lvl>
    <w:lvl w:ilvl="3">
      <w:start w:val="1"/>
      <w:numFmt w:val="bullet"/>
      <w:lvlText w:val=""/>
      <w:lvlJc w:val="left"/>
      <w:pPr>
        <w:tabs>
          <w:tab w:val="num" w:pos="0"/>
        </w:tabs>
        <w:ind w:left="0" w:firstLine="0"/>
      </w:pPr>
      <w:rPr>
        <w:rFonts w:ascii="OpenSymbol" w:hAnsi="OpenSymbol" w:cs="OpenSymbol" w:hint="default"/>
      </w:rPr>
    </w:lvl>
    <w:lvl w:ilvl="4">
      <w:start w:val="1"/>
      <w:numFmt w:val="bullet"/>
      <w:lvlText w:val=""/>
      <w:lvlJc w:val="left"/>
      <w:pPr>
        <w:tabs>
          <w:tab w:val="num" w:pos="0"/>
        </w:tabs>
        <w:ind w:left="0" w:firstLine="0"/>
      </w:pPr>
      <w:rPr>
        <w:rFonts w:ascii="OpenSymbol" w:hAnsi="OpenSymbol" w:cs="OpenSymbol" w:hint="default"/>
      </w:rPr>
    </w:lvl>
    <w:lvl w:ilvl="5">
      <w:start w:val="1"/>
      <w:numFmt w:val="bullet"/>
      <w:lvlText w:val=""/>
      <w:lvlJc w:val="left"/>
      <w:pPr>
        <w:tabs>
          <w:tab w:val="num" w:pos="0"/>
        </w:tabs>
        <w:ind w:left="0" w:firstLine="0"/>
      </w:pPr>
      <w:rPr>
        <w:rFonts w:ascii="OpenSymbol" w:hAnsi="OpenSymbol" w:cs="OpenSymbol" w:hint="default"/>
      </w:rPr>
    </w:lvl>
    <w:lvl w:ilvl="6">
      <w:start w:val="1"/>
      <w:numFmt w:val="bullet"/>
      <w:lvlText w:val=""/>
      <w:lvlJc w:val="left"/>
      <w:pPr>
        <w:tabs>
          <w:tab w:val="num" w:pos="0"/>
        </w:tabs>
        <w:ind w:left="0" w:firstLine="0"/>
      </w:pPr>
      <w:rPr>
        <w:rFonts w:ascii="OpenSymbol" w:hAnsi="OpenSymbol" w:cs="OpenSymbol" w:hint="default"/>
      </w:rPr>
    </w:lvl>
    <w:lvl w:ilvl="7">
      <w:start w:val="1"/>
      <w:numFmt w:val="bullet"/>
      <w:lvlText w:val=""/>
      <w:lvlJc w:val="left"/>
      <w:pPr>
        <w:tabs>
          <w:tab w:val="num" w:pos="0"/>
        </w:tabs>
        <w:ind w:left="0" w:firstLine="0"/>
      </w:pPr>
      <w:rPr>
        <w:rFonts w:ascii="OpenSymbol" w:hAnsi="OpenSymbol" w:cs="OpenSymbol" w:hint="default"/>
      </w:rPr>
    </w:lvl>
    <w:lvl w:ilvl="8">
      <w:start w:val="1"/>
      <w:numFmt w:val="bullet"/>
      <w:lvlText w:val=""/>
      <w:lvlJc w:val="left"/>
      <w:pPr>
        <w:tabs>
          <w:tab w:val="num" w:pos="0"/>
        </w:tabs>
        <w:ind w:left="0" w:firstLine="0"/>
      </w:pPr>
      <w:rPr>
        <w:rFonts w:ascii="OpenSymbol" w:hAnsi="OpenSymbol" w:cs="OpenSymbol" w:hint="default"/>
      </w:rPr>
    </w:lvl>
  </w:abstractNum>
  <w:abstractNum w:abstractNumId="1" w15:restartNumberingAfterBreak="0">
    <w:nsid w:val="02B75FEF"/>
    <w:multiLevelType w:val="multilevel"/>
    <w:tmpl w:val="6034FE44"/>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30F04B6"/>
    <w:multiLevelType w:val="hybridMultilevel"/>
    <w:tmpl w:val="015C8C5E"/>
    <w:lvl w:ilvl="0" w:tplc="140A0003">
      <w:start w:val="1"/>
      <w:numFmt w:val="bullet"/>
      <w:lvlText w:val="o"/>
      <w:lvlJc w:val="left"/>
      <w:pPr>
        <w:ind w:left="720" w:hanging="360"/>
      </w:pPr>
      <w:rPr>
        <w:rFonts w:ascii="Courier New" w:hAnsi="Courier New" w:cs="Courier New"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341008F"/>
    <w:multiLevelType w:val="multilevel"/>
    <w:tmpl w:val="2B7CB5B2"/>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54315A8"/>
    <w:multiLevelType w:val="hybridMultilevel"/>
    <w:tmpl w:val="E4FC298C"/>
    <w:lvl w:ilvl="0" w:tplc="140A000D">
      <w:start w:val="1"/>
      <w:numFmt w:val="bullet"/>
      <w:lvlText w:val=""/>
      <w:lvlJc w:val="left"/>
      <w:pPr>
        <w:ind w:left="1287" w:hanging="360"/>
      </w:pPr>
      <w:rPr>
        <w:rFonts w:ascii="Wingdings" w:hAnsi="Wingdings" w:hint="default"/>
      </w:rPr>
    </w:lvl>
    <w:lvl w:ilvl="1" w:tplc="140A0003">
      <w:start w:val="1"/>
      <w:numFmt w:val="bullet"/>
      <w:lvlText w:val="o"/>
      <w:lvlJc w:val="left"/>
      <w:pPr>
        <w:ind w:left="2007" w:hanging="360"/>
      </w:pPr>
      <w:rPr>
        <w:rFonts w:ascii="Courier New" w:hAnsi="Courier New" w:cs="Courier New" w:hint="default"/>
      </w:rPr>
    </w:lvl>
    <w:lvl w:ilvl="2" w:tplc="140A0005">
      <w:start w:val="1"/>
      <w:numFmt w:val="bullet"/>
      <w:lvlText w:val=""/>
      <w:lvlJc w:val="left"/>
      <w:pPr>
        <w:ind w:left="2727" w:hanging="360"/>
      </w:pPr>
      <w:rPr>
        <w:rFonts w:ascii="Wingdings" w:hAnsi="Wingdings" w:hint="default"/>
      </w:rPr>
    </w:lvl>
    <w:lvl w:ilvl="3" w:tplc="140A0001">
      <w:start w:val="1"/>
      <w:numFmt w:val="bullet"/>
      <w:lvlText w:val=""/>
      <w:lvlJc w:val="left"/>
      <w:pPr>
        <w:ind w:left="3447" w:hanging="360"/>
      </w:pPr>
      <w:rPr>
        <w:rFonts w:ascii="Symbol" w:hAnsi="Symbol" w:hint="default"/>
      </w:rPr>
    </w:lvl>
    <w:lvl w:ilvl="4" w:tplc="140A0003">
      <w:start w:val="1"/>
      <w:numFmt w:val="bullet"/>
      <w:lvlText w:val="o"/>
      <w:lvlJc w:val="left"/>
      <w:pPr>
        <w:ind w:left="4167" w:hanging="360"/>
      </w:pPr>
      <w:rPr>
        <w:rFonts w:ascii="Courier New" w:hAnsi="Courier New" w:cs="Courier New" w:hint="default"/>
      </w:rPr>
    </w:lvl>
    <w:lvl w:ilvl="5" w:tplc="140A0005">
      <w:start w:val="1"/>
      <w:numFmt w:val="bullet"/>
      <w:lvlText w:val=""/>
      <w:lvlJc w:val="left"/>
      <w:pPr>
        <w:ind w:left="4887" w:hanging="360"/>
      </w:pPr>
      <w:rPr>
        <w:rFonts w:ascii="Wingdings" w:hAnsi="Wingdings" w:hint="default"/>
      </w:rPr>
    </w:lvl>
    <w:lvl w:ilvl="6" w:tplc="140A0001">
      <w:start w:val="1"/>
      <w:numFmt w:val="bullet"/>
      <w:lvlText w:val=""/>
      <w:lvlJc w:val="left"/>
      <w:pPr>
        <w:ind w:left="5607" w:hanging="360"/>
      </w:pPr>
      <w:rPr>
        <w:rFonts w:ascii="Symbol" w:hAnsi="Symbol" w:hint="default"/>
      </w:rPr>
    </w:lvl>
    <w:lvl w:ilvl="7" w:tplc="140A0003">
      <w:start w:val="1"/>
      <w:numFmt w:val="bullet"/>
      <w:lvlText w:val="o"/>
      <w:lvlJc w:val="left"/>
      <w:pPr>
        <w:ind w:left="6327" w:hanging="360"/>
      </w:pPr>
      <w:rPr>
        <w:rFonts w:ascii="Courier New" w:hAnsi="Courier New" w:cs="Courier New" w:hint="default"/>
      </w:rPr>
    </w:lvl>
    <w:lvl w:ilvl="8" w:tplc="140A0005">
      <w:start w:val="1"/>
      <w:numFmt w:val="bullet"/>
      <w:lvlText w:val=""/>
      <w:lvlJc w:val="left"/>
      <w:pPr>
        <w:ind w:left="7047" w:hanging="360"/>
      </w:pPr>
      <w:rPr>
        <w:rFonts w:ascii="Wingdings" w:hAnsi="Wingdings" w:hint="default"/>
      </w:rPr>
    </w:lvl>
  </w:abstractNum>
  <w:abstractNum w:abstractNumId="5" w15:restartNumberingAfterBreak="0">
    <w:nsid w:val="057E6B01"/>
    <w:multiLevelType w:val="hybridMultilevel"/>
    <w:tmpl w:val="92F8BD0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57F0880"/>
    <w:multiLevelType w:val="hybridMultilevel"/>
    <w:tmpl w:val="8466CB48"/>
    <w:lvl w:ilvl="0" w:tplc="63BA4578">
      <w:start w:val="7"/>
      <w:numFmt w:val="decimal"/>
      <w:lvlText w:val="%1."/>
      <w:lvlJc w:val="left"/>
      <w:pPr>
        <w:ind w:left="757" w:hanging="360"/>
      </w:pPr>
      <w:rPr>
        <w:rFonts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7" w15:restartNumberingAfterBreak="0">
    <w:nsid w:val="065F0EC3"/>
    <w:multiLevelType w:val="hybridMultilevel"/>
    <w:tmpl w:val="1DEC71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73527D3"/>
    <w:multiLevelType w:val="multilevel"/>
    <w:tmpl w:val="FBB84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82E0848"/>
    <w:multiLevelType w:val="hybridMultilevel"/>
    <w:tmpl w:val="B044A61E"/>
    <w:lvl w:ilvl="0" w:tplc="140A0017">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10" w15:restartNumberingAfterBreak="0">
    <w:nsid w:val="0A592CB4"/>
    <w:multiLevelType w:val="multilevel"/>
    <w:tmpl w:val="6F98854A"/>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15:restartNumberingAfterBreak="0">
    <w:nsid w:val="0BCA7940"/>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0CD62F7C"/>
    <w:multiLevelType w:val="multilevel"/>
    <w:tmpl w:val="CB8AF542"/>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15:restartNumberingAfterBreak="0">
    <w:nsid w:val="0DAA63F8"/>
    <w:multiLevelType w:val="multilevel"/>
    <w:tmpl w:val="DDDA7074"/>
    <w:lvl w:ilvl="0">
      <w:start w:val="1"/>
      <w:numFmt w:val="decimal"/>
      <w:lvlText w:val="%1"/>
      <w:lvlJc w:val="left"/>
      <w:pPr>
        <w:ind w:left="432" w:hanging="432"/>
      </w:pPr>
    </w:lvl>
    <w:lvl w:ilvl="1">
      <w:start w:val="1"/>
      <w:numFmt w:val="decimal"/>
      <w:pStyle w:val="Ttulo2"/>
      <w:lvlText w:val="%1.%2"/>
      <w:lvlJc w:val="left"/>
      <w:pPr>
        <w:ind w:left="718" w:hanging="576"/>
      </w:pPr>
      <w:rPr>
        <w:rFonts w:ascii="Times New Roman" w:hAnsi="Times New Roman"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ulo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13B82CB2"/>
    <w:multiLevelType w:val="hybridMultilevel"/>
    <w:tmpl w:val="CD526F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15673C96"/>
    <w:multiLevelType w:val="hybridMultilevel"/>
    <w:tmpl w:val="2978515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17BD6DDB"/>
    <w:multiLevelType w:val="hybridMultilevel"/>
    <w:tmpl w:val="41ACE5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1A3C29AA"/>
    <w:multiLevelType w:val="hybridMultilevel"/>
    <w:tmpl w:val="1ACA1BDE"/>
    <w:lvl w:ilvl="0" w:tplc="140A0019">
      <w:start w:val="1"/>
      <w:numFmt w:val="lowerLetter"/>
      <w:lvlText w:val="%1."/>
      <w:lvlJc w:val="left"/>
      <w:pPr>
        <w:tabs>
          <w:tab w:val="num" w:pos="770"/>
        </w:tabs>
        <w:ind w:left="770" w:hanging="360"/>
      </w:pPr>
      <w:rPr>
        <w:rFonts w:hint="default"/>
      </w:rPr>
    </w:lvl>
    <w:lvl w:ilvl="1" w:tplc="140A0019" w:tentative="1">
      <w:start w:val="1"/>
      <w:numFmt w:val="bullet"/>
      <w:lvlText w:val="o"/>
      <w:lvlJc w:val="left"/>
      <w:pPr>
        <w:tabs>
          <w:tab w:val="num" w:pos="1490"/>
        </w:tabs>
        <w:ind w:left="1490" w:hanging="360"/>
      </w:pPr>
      <w:rPr>
        <w:rFonts w:ascii="Courier New" w:hAnsi="Courier New" w:cs="Courier New" w:hint="default"/>
      </w:rPr>
    </w:lvl>
    <w:lvl w:ilvl="2" w:tplc="140A001B" w:tentative="1">
      <w:start w:val="1"/>
      <w:numFmt w:val="bullet"/>
      <w:lvlText w:val=""/>
      <w:lvlJc w:val="left"/>
      <w:pPr>
        <w:tabs>
          <w:tab w:val="num" w:pos="2210"/>
        </w:tabs>
        <w:ind w:left="2210" w:hanging="360"/>
      </w:pPr>
      <w:rPr>
        <w:rFonts w:ascii="Wingdings" w:hAnsi="Wingdings" w:hint="default"/>
      </w:rPr>
    </w:lvl>
    <w:lvl w:ilvl="3" w:tplc="140A000F" w:tentative="1">
      <w:start w:val="1"/>
      <w:numFmt w:val="bullet"/>
      <w:lvlText w:val=""/>
      <w:lvlJc w:val="left"/>
      <w:pPr>
        <w:tabs>
          <w:tab w:val="num" w:pos="2930"/>
        </w:tabs>
        <w:ind w:left="2930" w:hanging="360"/>
      </w:pPr>
      <w:rPr>
        <w:rFonts w:ascii="Symbol" w:hAnsi="Symbol" w:hint="default"/>
      </w:rPr>
    </w:lvl>
    <w:lvl w:ilvl="4" w:tplc="140A0019" w:tentative="1">
      <w:start w:val="1"/>
      <w:numFmt w:val="bullet"/>
      <w:lvlText w:val="o"/>
      <w:lvlJc w:val="left"/>
      <w:pPr>
        <w:tabs>
          <w:tab w:val="num" w:pos="3650"/>
        </w:tabs>
        <w:ind w:left="3650" w:hanging="360"/>
      </w:pPr>
      <w:rPr>
        <w:rFonts w:ascii="Courier New" w:hAnsi="Courier New" w:cs="Courier New" w:hint="default"/>
      </w:rPr>
    </w:lvl>
    <w:lvl w:ilvl="5" w:tplc="140A001B" w:tentative="1">
      <w:start w:val="1"/>
      <w:numFmt w:val="bullet"/>
      <w:lvlText w:val=""/>
      <w:lvlJc w:val="left"/>
      <w:pPr>
        <w:tabs>
          <w:tab w:val="num" w:pos="4370"/>
        </w:tabs>
        <w:ind w:left="4370" w:hanging="360"/>
      </w:pPr>
      <w:rPr>
        <w:rFonts w:ascii="Wingdings" w:hAnsi="Wingdings" w:hint="default"/>
      </w:rPr>
    </w:lvl>
    <w:lvl w:ilvl="6" w:tplc="140A000F" w:tentative="1">
      <w:start w:val="1"/>
      <w:numFmt w:val="bullet"/>
      <w:lvlText w:val=""/>
      <w:lvlJc w:val="left"/>
      <w:pPr>
        <w:tabs>
          <w:tab w:val="num" w:pos="5090"/>
        </w:tabs>
        <w:ind w:left="5090" w:hanging="360"/>
      </w:pPr>
      <w:rPr>
        <w:rFonts w:ascii="Symbol" w:hAnsi="Symbol" w:hint="default"/>
      </w:rPr>
    </w:lvl>
    <w:lvl w:ilvl="7" w:tplc="140A0019" w:tentative="1">
      <w:start w:val="1"/>
      <w:numFmt w:val="bullet"/>
      <w:lvlText w:val="o"/>
      <w:lvlJc w:val="left"/>
      <w:pPr>
        <w:tabs>
          <w:tab w:val="num" w:pos="5810"/>
        </w:tabs>
        <w:ind w:left="5810" w:hanging="360"/>
      </w:pPr>
      <w:rPr>
        <w:rFonts w:ascii="Courier New" w:hAnsi="Courier New" w:cs="Courier New" w:hint="default"/>
      </w:rPr>
    </w:lvl>
    <w:lvl w:ilvl="8" w:tplc="140A001B" w:tentative="1">
      <w:start w:val="1"/>
      <w:numFmt w:val="bullet"/>
      <w:lvlText w:val=""/>
      <w:lvlJc w:val="left"/>
      <w:pPr>
        <w:tabs>
          <w:tab w:val="num" w:pos="6530"/>
        </w:tabs>
        <w:ind w:left="6530" w:hanging="360"/>
      </w:pPr>
      <w:rPr>
        <w:rFonts w:ascii="Wingdings" w:hAnsi="Wingdings" w:hint="default"/>
      </w:rPr>
    </w:lvl>
  </w:abstractNum>
  <w:abstractNum w:abstractNumId="18" w15:restartNumberingAfterBreak="0">
    <w:nsid w:val="1AC249AD"/>
    <w:multiLevelType w:val="multilevel"/>
    <w:tmpl w:val="90184BDE"/>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9" w15:restartNumberingAfterBreak="0">
    <w:nsid w:val="1E76445A"/>
    <w:multiLevelType w:val="hybridMultilevel"/>
    <w:tmpl w:val="0EE6F868"/>
    <w:lvl w:ilvl="0" w:tplc="476C8BAE">
      <w:numFmt w:val="bullet"/>
      <w:lvlText w:val="·"/>
      <w:lvlJc w:val="left"/>
      <w:pPr>
        <w:ind w:left="720" w:hanging="360"/>
      </w:pPr>
      <w:rPr>
        <w:rFonts w:ascii="Times New Roman" w:eastAsia="Times New Roman" w:hAnsi="Times New Roman"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210027E6"/>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3F06948"/>
    <w:multiLevelType w:val="hybridMultilevel"/>
    <w:tmpl w:val="9F2AB98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29347D0D"/>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29427CD8"/>
    <w:multiLevelType w:val="multilevel"/>
    <w:tmpl w:val="8ACE7954"/>
    <w:lvl w:ilvl="0">
      <w:start w:val="1"/>
      <w:numFmt w:val="lowerLetter"/>
      <w:lvlText w:val="%1."/>
      <w:lvlJc w:val="left"/>
      <w:pPr>
        <w:tabs>
          <w:tab w:val="num" w:pos="0"/>
        </w:tabs>
        <w:ind w:left="0" w:firstLine="0"/>
      </w:pPr>
    </w:lvl>
    <w:lvl w:ilvl="1">
      <w:start w:val="1"/>
      <w:numFmt w:val="bullet"/>
      <w:lvlText w:val=""/>
      <w:lvlJc w:val="left"/>
      <w:pPr>
        <w:tabs>
          <w:tab w:val="num" w:pos="0"/>
        </w:tabs>
        <w:ind w:left="0" w:firstLine="0"/>
      </w:pPr>
      <w:rPr>
        <w:rFonts w:ascii="OpenSymbol" w:hAnsi="OpenSymbol" w:cs="OpenSymbol" w:hint="default"/>
      </w:rPr>
    </w:lvl>
    <w:lvl w:ilvl="2">
      <w:start w:val="1"/>
      <w:numFmt w:val="bullet"/>
      <w:lvlText w:val=""/>
      <w:lvlJc w:val="left"/>
      <w:pPr>
        <w:tabs>
          <w:tab w:val="num" w:pos="0"/>
        </w:tabs>
        <w:ind w:left="0" w:firstLine="0"/>
      </w:pPr>
      <w:rPr>
        <w:rFonts w:ascii="OpenSymbol" w:hAnsi="OpenSymbol" w:cs="OpenSymbol" w:hint="default"/>
      </w:rPr>
    </w:lvl>
    <w:lvl w:ilvl="3">
      <w:start w:val="1"/>
      <w:numFmt w:val="bullet"/>
      <w:lvlText w:val=""/>
      <w:lvlJc w:val="left"/>
      <w:pPr>
        <w:tabs>
          <w:tab w:val="num" w:pos="0"/>
        </w:tabs>
        <w:ind w:left="0" w:firstLine="0"/>
      </w:pPr>
      <w:rPr>
        <w:rFonts w:ascii="OpenSymbol" w:hAnsi="OpenSymbol" w:cs="OpenSymbol" w:hint="default"/>
      </w:rPr>
    </w:lvl>
    <w:lvl w:ilvl="4">
      <w:start w:val="1"/>
      <w:numFmt w:val="bullet"/>
      <w:lvlText w:val=""/>
      <w:lvlJc w:val="left"/>
      <w:pPr>
        <w:tabs>
          <w:tab w:val="num" w:pos="0"/>
        </w:tabs>
        <w:ind w:left="0" w:firstLine="0"/>
      </w:pPr>
      <w:rPr>
        <w:rFonts w:ascii="OpenSymbol" w:hAnsi="OpenSymbol" w:cs="OpenSymbol" w:hint="default"/>
      </w:rPr>
    </w:lvl>
    <w:lvl w:ilvl="5">
      <w:start w:val="1"/>
      <w:numFmt w:val="bullet"/>
      <w:lvlText w:val=""/>
      <w:lvlJc w:val="left"/>
      <w:pPr>
        <w:tabs>
          <w:tab w:val="num" w:pos="0"/>
        </w:tabs>
        <w:ind w:left="0" w:firstLine="0"/>
      </w:pPr>
      <w:rPr>
        <w:rFonts w:ascii="OpenSymbol" w:hAnsi="OpenSymbol" w:cs="OpenSymbol" w:hint="default"/>
      </w:rPr>
    </w:lvl>
    <w:lvl w:ilvl="6">
      <w:start w:val="1"/>
      <w:numFmt w:val="bullet"/>
      <w:lvlText w:val=""/>
      <w:lvlJc w:val="left"/>
      <w:pPr>
        <w:tabs>
          <w:tab w:val="num" w:pos="0"/>
        </w:tabs>
        <w:ind w:left="0" w:firstLine="0"/>
      </w:pPr>
      <w:rPr>
        <w:rFonts w:ascii="OpenSymbol" w:hAnsi="OpenSymbol" w:cs="OpenSymbol" w:hint="default"/>
      </w:rPr>
    </w:lvl>
    <w:lvl w:ilvl="7">
      <w:start w:val="1"/>
      <w:numFmt w:val="bullet"/>
      <w:lvlText w:val=""/>
      <w:lvlJc w:val="left"/>
      <w:pPr>
        <w:tabs>
          <w:tab w:val="num" w:pos="0"/>
        </w:tabs>
        <w:ind w:left="0" w:firstLine="0"/>
      </w:pPr>
      <w:rPr>
        <w:rFonts w:ascii="OpenSymbol" w:hAnsi="OpenSymbol" w:cs="OpenSymbol" w:hint="default"/>
      </w:rPr>
    </w:lvl>
    <w:lvl w:ilvl="8">
      <w:start w:val="1"/>
      <w:numFmt w:val="bullet"/>
      <w:lvlText w:val=""/>
      <w:lvlJc w:val="left"/>
      <w:pPr>
        <w:tabs>
          <w:tab w:val="num" w:pos="0"/>
        </w:tabs>
        <w:ind w:left="0" w:firstLine="0"/>
      </w:pPr>
      <w:rPr>
        <w:rFonts w:ascii="OpenSymbol" w:hAnsi="OpenSymbol" w:cs="OpenSymbol" w:hint="default"/>
      </w:rPr>
    </w:lvl>
  </w:abstractNum>
  <w:abstractNum w:abstractNumId="24" w15:restartNumberingAfterBreak="0">
    <w:nsid w:val="29514388"/>
    <w:multiLevelType w:val="hybridMultilevel"/>
    <w:tmpl w:val="F6688E26"/>
    <w:lvl w:ilvl="0" w:tplc="140A0019">
      <w:start w:val="1"/>
      <w:numFmt w:val="bullet"/>
      <w:lvlText w:val=""/>
      <w:lvlJc w:val="left"/>
      <w:pPr>
        <w:ind w:left="720" w:hanging="360"/>
      </w:pPr>
      <w:rPr>
        <w:rFonts w:ascii="Symbol" w:hAnsi="Symbol" w:hint="default"/>
      </w:rPr>
    </w:lvl>
    <w:lvl w:ilvl="1" w:tplc="140A0019">
      <w:start w:val="1"/>
      <w:numFmt w:val="bullet"/>
      <w:lvlText w:val="o"/>
      <w:lvlJc w:val="left"/>
      <w:pPr>
        <w:ind w:left="1440" w:hanging="360"/>
      </w:pPr>
      <w:rPr>
        <w:rFonts w:ascii="Courier New" w:hAnsi="Courier New" w:cs="Courier New" w:hint="default"/>
      </w:rPr>
    </w:lvl>
    <w:lvl w:ilvl="2" w:tplc="140A001B">
      <w:start w:val="1"/>
      <w:numFmt w:val="bullet"/>
      <w:lvlText w:val=""/>
      <w:lvlJc w:val="left"/>
      <w:pPr>
        <w:ind w:left="2160" w:hanging="360"/>
      </w:pPr>
      <w:rPr>
        <w:rFonts w:ascii="Wingdings" w:hAnsi="Wingdings" w:hint="default"/>
      </w:rPr>
    </w:lvl>
    <w:lvl w:ilvl="3" w:tplc="140A000F">
      <w:start w:val="1"/>
      <w:numFmt w:val="bullet"/>
      <w:lvlText w:val=""/>
      <w:lvlJc w:val="left"/>
      <w:pPr>
        <w:ind w:left="2880" w:hanging="360"/>
      </w:pPr>
      <w:rPr>
        <w:rFonts w:ascii="Symbol" w:hAnsi="Symbol" w:hint="default"/>
      </w:rPr>
    </w:lvl>
    <w:lvl w:ilvl="4" w:tplc="140A0019">
      <w:start w:val="1"/>
      <w:numFmt w:val="bullet"/>
      <w:lvlText w:val="o"/>
      <w:lvlJc w:val="left"/>
      <w:pPr>
        <w:ind w:left="3600" w:hanging="360"/>
      </w:pPr>
      <w:rPr>
        <w:rFonts w:ascii="Courier New" w:hAnsi="Courier New" w:cs="Courier New" w:hint="default"/>
      </w:rPr>
    </w:lvl>
    <w:lvl w:ilvl="5" w:tplc="140A001B">
      <w:start w:val="1"/>
      <w:numFmt w:val="bullet"/>
      <w:lvlText w:val=""/>
      <w:lvlJc w:val="left"/>
      <w:pPr>
        <w:ind w:left="4320" w:hanging="360"/>
      </w:pPr>
      <w:rPr>
        <w:rFonts w:ascii="Wingdings" w:hAnsi="Wingdings" w:hint="default"/>
      </w:rPr>
    </w:lvl>
    <w:lvl w:ilvl="6" w:tplc="140A000F">
      <w:start w:val="1"/>
      <w:numFmt w:val="bullet"/>
      <w:lvlText w:val=""/>
      <w:lvlJc w:val="left"/>
      <w:pPr>
        <w:ind w:left="5040" w:hanging="360"/>
      </w:pPr>
      <w:rPr>
        <w:rFonts w:ascii="Symbol" w:hAnsi="Symbol" w:hint="default"/>
      </w:rPr>
    </w:lvl>
    <w:lvl w:ilvl="7" w:tplc="140A0019">
      <w:start w:val="1"/>
      <w:numFmt w:val="bullet"/>
      <w:lvlText w:val="o"/>
      <w:lvlJc w:val="left"/>
      <w:pPr>
        <w:ind w:left="5760" w:hanging="360"/>
      </w:pPr>
      <w:rPr>
        <w:rFonts w:ascii="Courier New" w:hAnsi="Courier New" w:cs="Courier New" w:hint="default"/>
      </w:rPr>
    </w:lvl>
    <w:lvl w:ilvl="8" w:tplc="140A001B">
      <w:start w:val="1"/>
      <w:numFmt w:val="bullet"/>
      <w:lvlText w:val=""/>
      <w:lvlJc w:val="left"/>
      <w:pPr>
        <w:ind w:left="6480" w:hanging="360"/>
      </w:pPr>
      <w:rPr>
        <w:rFonts w:ascii="Wingdings" w:hAnsi="Wingdings" w:hint="default"/>
      </w:rPr>
    </w:lvl>
  </w:abstractNum>
  <w:abstractNum w:abstractNumId="25" w15:restartNumberingAfterBreak="0">
    <w:nsid w:val="2981058B"/>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2A2B690F"/>
    <w:multiLevelType w:val="hybridMultilevel"/>
    <w:tmpl w:val="3BFC9AD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2F90690C"/>
    <w:multiLevelType w:val="multilevel"/>
    <w:tmpl w:val="62641D12"/>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8" w15:restartNumberingAfterBreak="0">
    <w:nsid w:val="31F0733D"/>
    <w:multiLevelType w:val="multilevel"/>
    <w:tmpl w:val="6BF29202"/>
    <w:lvl w:ilvl="0">
      <w:start w:val="1"/>
      <w:numFmt w:val="lowerLetter"/>
      <w:lvlText w:val="%1."/>
      <w:lvlJc w:val="left"/>
      <w:pPr>
        <w:tabs>
          <w:tab w:val="num" w:pos="0"/>
        </w:tabs>
        <w:ind w:left="0" w:firstLine="0"/>
      </w:pPr>
    </w:lvl>
    <w:lvl w:ilvl="1">
      <w:start w:val="1"/>
      <w:numFmt w:val="bullet"/>
      <w:lvlText w:val=""/>
      <w:lvlJc w:val="left"/>
      <w:pPr>
        <w:tabs>
          <w:tab w:val="num" w:pos="0"/>
        </w:tabs>
        <w:ind w:left="0" w:firstLine="0"/>
      </w:pPr>
      <w:rPr>
        <w:rFonts w:ascii="OpenSymbol" w:hAnsi="OpenSymbol" w:cs="OpenSymbol" w:hint="default"/>
      </w:rPr>
    </w:lvl>
    <w:lvl w:ilvl="2">
      <w:start w:val="1"/>
      <w:numFmt w:val="bullet"/>
      <w:lvlText w:val=""/>
      <w:lvlJc w:val="left"/>
      <w:pPr>
        <w:tabs>
          <w:tab w:val="num" w:pos="0"/>
        </w:tabs>
        <w:ind w:left="0" w:firstLine="0"/>
      </w:pPr>
      <w:rPr>
        <w:rFonts w:ascii="OpenSymbol" w:hAnsi="OpenSymbol" w:cs="OpenSymbol" w:hint="default"/>
      </w:rPr>
    </w:lvl>
    <w:lvl w:ilvl="3">
      <w:start w:val="1"/>
      <w:numFmt w:val="bullet"/>
      <w:lvlText w:val=""/>
      <w:lvlJc w:val="left"/>
      <w:pPr>
        <w:tabs>
          <w:tab w:val="num" w:pos="0"/>
        </w:tabs>
        <w:ind w:left="0" w:firstLine="0"/>
      </w:pPr>
      <w:rPr>
        <w:rFonts w:ascii="OpenSymbol" w:hAnsi="OpenSymbol" w:cs="OpenSymbol" w:hint="default"/>
      </w:rPr>
    </w:lvl>
    <w:lvl w:ilvl="4">
      <w:start w:val="1"/>
      <w:numFmt w:val="bullet"/>
      <w:lvlText w:val=""/>
      <w:lvlJc w:val="left"/>
      <w:pPr>
        <w:tabs>
          <w:tab w:val="num" w:pos="0"/>
        </w:tabs>
        <w:ind w:left="0" w:firstLine="0"/>
      </w:pPr>
      <w:rPr>
        <w:rFonts w:ascii="OpenSymbol" w:hAnsi="OpenSymbol" w:cs="OpenSymbol" w:hint="default"/>
      </w:rPr>
    </w:lvl>
    <w:lvl w:ilvl="5">
      <w:start w:val="1"/>
      <w:numFmt w:val="bullet"/>
      <w:lvlText w:val=""/>
      <w:lvlJc w:val="left"/>
      <w:pPr>
        <w:tabs>
          <w:tab w:val="num" w:pos="0"/>
        </w:tabs>
        <w:ind w:left="0" w:firstLine="0"/>
      </w:pPr>
      <w:rPr>
        <w:rFonts w:ascii="OpenSymbol" w:hAnsi="OpenSymbol" w:cs="OpenSymbol" w:hint="default"/>
      </w:rPr>
    </w:lvl>
    <w:lvl w:ilvl="6">
      <w:start w:val="1"/>
      <w:numFmt w:val="bullet"/>
      <w:lvlText w:val=""/>
      <w:lvlJc w:val="left"/>
      <w:pPr>
        <w:tabs>
          <w:tab w:val="num" w:pos="0"/>
        </w:tabs>
        <w:ind w:left="0" w:firstLine="0"/>
      </w:pPr>
      <w:rPr>
        <w:rFonts w:ascii="OpenSymbol" w:hAnsi="OpenSymbol" w:cs="OpenSymbol" w:hint="default"/>
      </w:rPr>
    </w:lvl>
    <w:lvl w:ilvl="7">
      <w:start w:val="1"/>
      <w:numFmt w:val="bullet"/>
      <w:lvlText w:val=""/>
      <w:lvlJc w:val="left"/>
      <w:pPr>
        <w:tabs>
          <w:tab w:val="num" w:pos="0"/>
        </w:tabs>
        <w:ind w:left="0" w:firstLine="0"/>
      </w:pPr>
      <w:rPr>
        <w:rFonts w:ascii="OpenSymbol" w:hAnsi="OpenSymbol" w:cs="OpenSymbol" w:hint="default"/>
      </w:rPr>
    </w:lvl>
    <w:lvl w:ilvl="8">
      <w:start w:val="1"/>
      <w:numFmt w:val="bullet"/>
      <w:lvlText w:val=""/>
      <w:lvlJc w:val="left"/>
      <w:pPr>
        <w:tabs>
          <w:tab w:val="num" w:pos="0"/>
        </w:tabs>
        <w:ind w:left="0" w:firstLine="0"/>
      </w:pPr>
      <w:rPr>
        <w:rFonts w:ascii="OpenSymbol" w:hAnsi="OpenSymbol" w:cs="OpenSymbol" w:hint="default"/>
      </w:rPr>
    </w:lvl>
  </w:abstractNum>
  <w:abstractNum w:abstractNumId="29" w15:restartNumberingAfterBreak="0">
    <w:nsid w:val="321B625A"/>
    <w:multiLevelType w:val="hybridMultilevel"/>
    <w:tmpl w:val="E5D499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39720C7A"/>
    <w:multiLevelType w:val="multilevel"/>
    <w:tmpl w:val="C96CE0AC"/>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1" w15:restartNumberingAfterBreak="0">
    <w:nsid w:val="39F11688"/>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3AC30353"/>
    <w:multiLevelType w:val="multilevel"/>
    <w:tmpl w:val="50E866F8"/>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3" w15:restartNumberingAfterBreak="0">
    <w:nsid w:val="3CCB084C"/>
    <w:multiLevelType w:val="multilevel"/>
    <w:tmpl w:val="1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44C745CB"/>
    <w:multiLevelType w:val="hybridMultilevel"/>
    <w:tmpl w:val="849AA2CA"/>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5" w15:restartNumberingAfterBreak="0">
    <w:nsid w:val="44D97FBA"/>
    <w:multiLevelType w:val="hybridMultilevel"/>
    <w:tmpl w:val="B044A61E"/>
    <w:lvl w:ilvl="0" w:tplc="140A0019">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36" w15:restartNumberingAfterBreak="0">
    <w:nsid w:val="454F2C90"/>
    <w:multiLevelType w:val="multilevel"/>
    <w:tmpl w:val="8C1CA2DE"/>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rPr>
        <w:b/>
        <w:bCs/>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7" w15:restartNumberingAfterBreak="0">
    <w:nsid w:val="456D336C"/>
    <w:multiLevelType w:val="hybridMultilevel"/>
    <w:tmpl w:val="E11A51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47332179"/>
    <w:multiLevelType w:val="hybridMultilevel"/>
    <w:tmpl w:val="1C00B02E"/>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15:restartNumberingAfterBreak="0">
    <w:nsid w:val="4B693707"/>
    <w:multiLevelType w:val="hybridMultilevel"/>
    <w:tmpl w:val="8DB6FE86"/>
    <w:lvl w:ilvl="0" w:tplc="140A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D10173F"/>
    <w:multiLevelType w:val="multilevel"/>
    <w:tmpl w:val="140A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786" w:hanging="360"/>
      </w:pPr>
    </w:lvl>
    <w:lvl w:ilvl="8">
      <w:start w:val="1"/>
      <w:numFmt w:val="lowerRoman"/>
      <w:lvlText w:val="%9."/>
      <w:lvlJc w:val="left"/>
      <w:pPr>
        <w:ind w:left="3240" w:hanging="360"/>
      </w:pPr>
    </w:lvl>
  </w:abstractNum>
  <w:abstractNum w:abstractNumId="41" w15:restartNumberingAfterBreak="0">
    <w:nsid w:val="57337846"/>
    <w:multiLevelType w:val="hybridMultilevel"/>
    <w:tmpl w:val="15F49F7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59805DCF"/>
    <w:multiLevelType w:val="hybridMultilevel"/>
    <w:tmpl w:val="54DA84E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5E07721A"/>
    <w:multiLevelType w:val="hybridMultilevel"/>
    <w:tmpl w:val="A78661B6"/>
    <w:lvl w:ilvl="0" w:tplc="140A000F">
      <w:start w:val="1"/>
      <w:numFmt w:val="decimal"/>
      <w:lvlText w:val="%1."/>
      <w:lvlJc w:val="left"/>
      <w:pPr>
        <w:ind w:left="720" w:hanging="360"/>
      </w:pPr>
    </w:lvl>
    <w:lvl w:ilvl="1" w:tplc="EED40360">
      <w:start w:val="1"/>
      <w:numFmt w:val="lowerLetter"/>
      <w:lvlText w:val="%2."/>
      <w:lvlJc w:val="left"/>
      <w:pPr>
        <w:ind w:left="1440" w:hanging="360"/>
      </w:pPr>
      <w:rPr>
        <w:b/>
        <w:bCs/>
        <w:lang w:val="es-E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5FC60AF0"/>
    <w:multiLevelType w:val="multilevel"/>
    <w:tmpl w:val="811ECA2E"/>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5" w15:restartNumberingAfterBreak="0">
    <w:nsid w:val="631561A5"/>
    <w:multiLevelType w:val="hybridMultilevel"/>
    <w:tmpl w:val="2C703B6A"/>
    <w:lvl w:ilvl="0" w:tplc="13A27BAE">
      <w:numFmt w:val="bullet"/>
      <w:lvlText w:val="-"/>
      <w:lvlJc w:val="left"/>
      <w:pPr>
        <w:ind w:left="720" w:hanging="360"/>
      </w:pPr>
      <w:rPr>
        <w:rFonts w:ascii="Times New Roman" w:eastAsia="Times New Roman" w:hAnsi="Times New Roman" w:cs="Times New Roman" w:hint="default"/>
        <w:i/>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6B9B5B1A"/>
    <w:multiLevelType w:val="multilevel"/>
    <w:tmpl w:val="8036112C"/>
    <w:lvl w:ilvl="0">
      <w:start w:val="1"/>
      <w:numFmt w:val="lowerLetter"/>
      <w:lvlText w:val="%1."/>
      <w:lvlJc w:val="left"/>
      <w:pPr>
        <w:tabs>
          <w:tab w:val="num" w:pos="0"/>
        </w:tabs>
        <w:ind w:left="1340" w:hanging="360"/>
      </w:pPr>
    </w:lvl>
    <w:lvl w:ilvl="1">
      <w:start w:val="1"/>
      <w:numFmt w:val="lowerLetter"/>
      <w:lvlText w:val="%2."/>
      <w:lvlJc w:val="left"/>
      <w:pPr>
        <w:tabs>
          <w:tab w:val="num" w:pos="0"/>
        </w:tabs>
        <w:ind w:left="2060" w:hanging="360"/>
      </w:pPr>
    </w:lvl>
    <w:lvl w:ilvl="2">
      <w:start w:val="1"/>
      <w:numFmt w:val="lowerRoman"/>
      <w:lvlText w:val="%3."/>
      <w:lvlJc w:val="right"/>
      <w:pPr>
        <w:tabs>
          <w:tab w:val="num" w:pos="0"/>
        </w:tabs>
        <w:ind w:left="2780" w:hanging="180"/>
      </w:pPr>
    </w:lvl>
    <w:lvl w:ilvl="3">
      <w:start w:val="1"/>
      <w:numFmt w:val="decimal"/>
      <w:lvlText w:val="%4."/>
      <w:lvlJc w:val="left"/>
      <w:pPr>
        <w:tabs>
          <w:tab w:val="num" w:pos="0"/>
        </w:tabs>
        <w:ind w:left="3500" w:hanging="360"/>
      </w:pPr>
    </w:lvl>
    <w:lvl w:ilvl="4">
      <w:start w:val="1"/>
      <w:numFmt w:val="lowerLetter"/>
      <w:lvlText w:val="%5."/>
      <w:lvlJc w:val="left"/>
      <w:pPr>
        <w:tabs>
          <w:tab w:val="num" w:pos="0"/>
        </w:tabs>
        <w:ind w:left="4220" w:hanging="360"/>
      </w:pPr>
    </w:lvl>
    <w:lvl w:ilvl="5">
      <w:start w:val="1"/>
      <w:numFmt w:val="lowerRoman"/>
      <w:lvlText w:val="%6."/>
      <w:lvlJc w:val="right"/>
      <w:pPr>
        <w:tabs>
          <w:tab w:val="num" w:pos="0"/>
        </w:tabs>
        <w:ind w:left="4940" w:hanging="180"/>
      </w:pPr>
    </w:lvl>
    <w:lvl w:ilvl="6">
      <w:start w:val="1"/>
      <w:numFmt w:val="decimal"/>
      <w:lvlText w:val="%7."/>
      <w:lvlJc w:val="left"/>
      <w:pPr>
        <w:tabs>
          <w:tab w:val="num" w:pos="0"/>
        </w:tabs>
        <w:ind w:left="5660" w:hanging="360"/>
      </w:pPr>
    </w:lvl>
    <w:lvl w:ilvl="7">
      <w:start w:val="1"/>
      <w:numFmt w:val="lowerLetter"/>
      <w:lvlText w:val="%8."/>
      <w:lvlJc w:val="left"/>
      <w:pPr>
        <w:tabs>
          <w:tab w:val="num" w:pos="0"/>
        </w:tabs>
        <w:ind w:left="6380" w:hanging="360"/>
      </w:pPr>
    </w:lvl>
    <w:lvl w:ilvl="8">
      <w:start w:val="1"/>
      <w:numFmt w:val="lowerRoman"/>
      <w:lvlText w:val="%9."/>
      <w:lvlJc w:val="right"/>
      <w:pPr>
        <w:tabs>
          <w:tab w:val="num" w:pos="0"/>
        </w:tabs>
        <w:ind w:left="7100" w:hanging="180"/>
      </w:pPr>
    </w:lvl>
  </w:abstractNum>
  <w:abstractNum w:abstractNumId="47" w15:restartNumberingAfterBreak="0">
    <w:nsid w:val="6BB9699D"/>
    <w:multiLevelType w:val="hybridMultilevel"/>
    <w:tmpl w:val="CAD84A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6C8C7517"/>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6D9A69E8"/>
    <w:multiLevelType w:val="hybridMultilevel"/>
    <w:tmpl w:val="782818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6E4655D3"/>
    <w:multiLevelType w:val="hybridMultilevel"/>
    <w:tmpl w:val="AA60A9E4"/>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1" w15:restartNumberingAfterBreak="0">
    <w:nsid w:val="6EC71A3E"/>
    <w:multiLevelType w:val="hybridMultilevel"/>
    <w:tmpl w:val="F638885E"/>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2" w15:restartNumberingAfterBreak="0">
    <w:nsid w:val="753079C0"/>
    <w:multiLevelType w:val="hybridMultilevel"/>
    <w:tmpl w:val="0C9E4D24"/>
    <w:lvl w:ilvl="0" w:tplc="140A0019">
      <w:start w:val="1"/>
      <w:numFmt w:val="bullet"/>
      <w:lvlText w:val=""/>
      <w:lvlJc w:val="left"/>
      <w:pPr>
        <w:ind w:left="786" w:hanging="360"/>
      </w:pPr>
      <w:rPr>
        <w:rFonts w:ascii="Symbol" w:hAnsi="Symbol" w:hint="default"/>
      </w:rPr>
    </w:lvl>
    <w:lvl w:ilvl="1" w:tplc="140A0003" w:tentative="1">
      <w:start w:val="1"/>
      <w:numFmt w:val="bullet"/>
      <w:lvlText w:val="o"/>
      <w:lvlJc w:val="left"/>
      <w:pPr>
        <w:ind w:left="1506" w:hanging="360"/>
      </w:pPr>
      <w:rPr>
        <w:rFonts w:ascii="Courier New" w:hAnsi="Courier New" w:cs="Courier New" w:hint="default"/>
      </w:rPr>
    </w:lvl>
    <w:lvl w:ilvl="2" w:tplc="140A0005" w:tentative="1">
      <w:start w:val="1"/>
      <w:numFmt w:val="bullet"/>
      <w:lvlText w:val=""/>
      <w:lvlJc w:val="left"/>
      <w:pPr>
        <w:ind w:left="2226" w:hanging="360"/>
      </w:pPr>
      <w:rPr>
        <w:rFonts w:ascii="Wingdings" w:hAnsi="Wingdings" w:hint="default"/>
      </w:rPr>
    </w:lvl>
    <w:lvl w:ilvl="3" w:tplc="140A0001" w:tentative="1">
      <w:start w:val="1"/>
      <w:numFmt w:val="bullet"/>
      <w:lvlText w:val=""/>
      <w:lvlJc w:val="left"/>
      <w:pPr>
        <w:ind w:left="2946" w:hanging="360"/>
      </w:pPr>
      <w:rPr>
        <w:rFonts w:ascii="Symbol" w:hAnsi="Symbol" w:hint="default"/>
      </w:rPr>
    </w:lvl>
    <w:lvl w:ilvl="4" w:tplc="140A0003" w:tentative="1">
      <w:start w:val="1"/>
      <w:numFmt w:val="bullet"/>
      <w:lvlText w:val="o"/>
      <w:lvlJc w:val="left"/>
      <w:pPr>
        <w:ind w:left="3666" w:hanging="360"/>
      </w:pPr>
      <w:rPr>
        <w:rFonts w:ascii="Courier New" w:hAnsi="Courier New" w:cs="Courier New" w:hint="default"/>
      </w:rPr>
    </w:lvl>
    <w:lvl w:ilvl="5" w:tplc="140A0005" w:tentative="1">
      <w:start w:val="1"/>
      <w:numFmt w:val="bullet"/>
      <w:lvlText w:val=""/>
      <w:lvlJc w:val="left"/>
      <w:pPr>
        <w:ind w:left="4386" w:hanging="360"/>
      </w:pPr>
      <w:rPr>
        <w:rFonts w:ascii="Wingdings" w:hAnsi="Wingdings" w:hint="default"/>
      </w:rPr>
    </w:lvl>
    <w:lvl w:ilvl="6" w:tplc="140A0001" w:tentative="1">
      <w:start w:val="1"/>
      <w:numFmt w:val="bullet"/>
      <w:lvlText w:val=""/>
      <w:lvlJc w:val="left"/>
      <w:pPr>
        <w:ind w:left="5106" w:hanging="360"/>
      </w:pPr>
      <w:rPr>
        <w:rFonts w:ascii="Symbol" w:hAnsi="Symbol" w:hint="default"/>
      </w:rPr>
    </w:lvl>
    <w:lvl w:ilvl="7" w:tplc="140A0003" w:tentative="1">
      <w:start w:val="1"/>
      <w:numFmt w:val="bullet"/>
      <w:lvlText w:val="o"/>
      <w:lvlJc w:val="left"/>
      <w:pPr>
        <w:ind w:left="5826" w:hanging="360"/>
      </w:pPr>
      <w:rPr>
        <w:rFonts w:ascii="Courier New" w:hAnsi="Courier New" w:cs="Courier New" w:hint="default"/>
      </w:rPr>
    </w:lvl>
    <w:lvl w:ilvl="8" w:tplc="140A0005" w:tentative="1">
      <w:start w:val="1"/>
      <w:numFmt w:val="bullet"/>
      <w:lvlText w:val=""/>
      <w:lvlJc w:val="left"/>
      <w:pPr>
        <w:ind w:left="6546" w:hanging="360"/>
      </w:pPr>
      <w:rPr>
        <w:rFonts w:ascii="Wingdings" w:hAnsi="Wingdings" w:hint="default"/>
      </w:rPr>
    </w:lvl>
  </w:abstractNum>
  <w:abstractNum w:abstractNumId="53" w15:restartNumberingAfterBreak="0">
    <w:nsid w:val="771653EA"/>
    <w:multiLevelType w:val="multilevel"/>
    <w:tmpl w:val="224C434C"/>
    <w:lvl w:ilvl="0">
      <w:start w:val="1"/>
      <w:numFmt w:val="lowerLetter"/>
      <w:lvlText w:val="%1."/>
      <w:lvlJc w:val="left"/>
      <w:pPr>
        <w:tabs>
          <w:tab w:val="num" w:pos="0"/>
        </w:tabs>
        <w:ind w:left="0" w:firstLine="0"/>
      </w:pPr>
    </w:lvl>
    <w:lvl w:ilvl="1">
      <w:start w:val="1"/>
      <w:numFmt w:val="bullet"/>
      <w:lvlText w:val=""/>
      <w:lvlJc w:val="left"/>
      <w:pPr>
        <w:tabs>
          <w:tab w:val="num" w:pos="0"/>
        </w:tabs>
        <w:ind w:left="0" w:firstLine="0"/>
      </w:pPr>
      <w:rPr>
        <w:rFonts w:ascii="OpenSymbol" w:hAnsi="OpenSymbol" w:cs="OpenSymbol" w:hint="default"/>
      </w:rPr>
    </w:lvl>
    <w:lvl w:ilvl="2">
      <w:start w:val="1"/>
      <w:numFmt w:val="bullet"/>
      <w:lvlText w:val=""/>
      <w:lvlJc w:val="left"/>
      <w:pPr>
        <w:tabs>
          <w:tab w:val="num" w:pos="0"/>
        </w:tabs>
        <w:ind w:left="0" w:firstLine="0"/>
      </w:pPr>
      <w:rPr>
        <w:rFonts w:ascii="OpenSymbol" w:hAnsi="OpenSymbol" w:cs="OpenSymbol" w:hint="default"/>
      </w:rPr>
    </w:lvl>
    <w:lvl w:ilvl="3">
      <w:start w:val="1"/>
      <w:numFmt w:val="bullet"/>
      <w:lvlText w:val=""/>
      <w:lvlJc w:val="left"/>
      <w:pPr>
        <w:tabs>
          <w:tab w:val="num" w:pos="0"/>
        </w:tabs>
        <w:ind w:left="0" w:firstLine="0"/>
      </w:pPr>
      <w:rPr>
        <w:rFonts w:ascii="OpenSymbol" w:hAnsi="OpenSymbol" w:cs="OpenSymbol" w:hint="default"/>
      </w:rPr>
    </w:lvl>
    <w:lvl w:ilvl="4">
      <w:start w:val="1"/>
      <w:numFmt w:val="bullet"/>
      <w:lvlText w:val=""/>
      <w:lvlJc w:val="left"/>
      <w:pPr>
        <w:tabs>
          <w:tab w:val="num" w:pos="0"/>
        </w:tabs>
        <w:ind w:left="0" w:firstLine="0"/>
      </w:pPr>
      <w:rPr>
        <w:rFonts w:ascii="OpenSymbol" w:hAnsi="OpenSymbol" w:cs="OpenSymbol" w:hint="default"/>
      </w:rPr>
    </w:lvl>
    <w:lvl w:ilvl="5">
      <w:start w:val="1"/>
      <w:numFmt w:val="bullet"/>
      <w:lvlText w:val=""/>
      <w:lvlJc w:val="left"/>
      <w:pPr>
        <w:tabs>
          <w:tab w:val="num" w:pos="0"/>
        </w:tabs>
        <w:ind w:left="0" w:firstLine="0"/>
      </w:pPr>
      <w:rPr>
        <w:rFonts w:ascii="OpenSymbol" w:hAnsi="OpenSymbol" w:cs="OpenSymbol" w:hint="default"/>
      </w:rPr>
    </w:lvl>
    <w:lvl w:ilvl="6">
      <w:start w:val="1"/>
      <w:numFmt w:val="bullet"/>
      <w:lvlText w:val=""/>
      <w:lvlJc w:val="left"/>
      <w:pPr>
        <w:tabs>
          <w:tab w:val="num" w:pos="0"/>
        </w:tabs>
        <w:ind w:left="0" w:firstLine="0"/>
      </w:pPr>
      <w:rPr>
        <w:rFonts w:ascii="OpenSymbol" w:hAnsi="OpenSymbol" w:cs="OpenSymbol" w:hint="default"/>
      </w:rPr>
    </w:lvl>
    <w:lvl w:ilvl="7">
      <w:start w:val="1"/>
      <w:numFmt w:val="bullet"/>
      <w:lvlText w:val=""/>
      <w:lvlJc w:val="left"/>
      <w:pPr>
        <w:tabs>
          <w:tab w:val="num" w:pos="0"/>
        </w:tabs>
        <w:ind w:left="0" w:firstLine="0"/>
      </w:pPr>
      <w:rPr>
        <w:rFonts w:ascii="OpenSymbol" w:hAnsi="OpenSymbol" w:cs="OpenSymbol" w:hint="default"/>
      </w:rPr>
    </w:lvl>
    <w:lvl w:ilvl="8">
      <w:start w:val="1"/>
      <w:numFmt w:val="bullet"/>
      <w:lvlText w:val=""/>
      <w:lvlJc w:val="left"/>
      <w:pPr>
        <w:tabs>
          <w:tab w:val="num" w:pos="0"/>
        </w:tabs>
        <w:ind w:left="0" w:firstLine="0"/>
      </w:pPr>
      <w:rPr>
        <w:rFonts w:ascii="OpenSymbol" w:hAnsi="OpenSymbol" w:cs="OpenSymbol" w:hint="default"/>
      </w:rPr>
    </w:lvl>
  </w:abstractNum>
  <w:abstractNum w:abstractNumId="54" w15:restartNumberingAfterBreak="0">
    <w:nsid w:val="7BD141B6"/>
    <w:multiLevelType w:val="hybridMultilevel"/>
    <w:tmpl w:val="14C0484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7CC26863"/>
    <w:multiLevelType w:val="multilevel"/>
    <w:tmpl w:val="A8AC3A1A"/>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6107" w:hanging="720"/>
      </w:pPr>
      <w:rPr>
        <w:rFonts w:ascii="Book Antiqua" w:hAnsi="Book Antiqua" w:cs="Times New Roman" w:hint="default"/>
        <w:b/>
        <w:bCs/>
        <w:i w:val="0"/>
        <w:iCs w:val="0"/>
        <w:caps w:val="0"/>
        <w:smallCaps w:val="0"/>
        <w:strike w:val="0"/>
        <w:dstrike w:val="0"/>
        <w:outline w:val="0"/>
        <w:shadow w:val="0"/>
        <w:emboss w:val="0"/>
        <w:imprint w:val="0"/>
        <w:noProof w:val="0"/>
        <w:vanish w:val="0"/>
        <w:spacing w:val="0"/>
        <w:kern w:val="0"/>
        <w:position w:val="0"/>
        <w:sz w:val="22"/>
        <w:szCs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56" w15:restartNumberingAfterBreak="0">
    <w:nsid w:val="7E5550C0"/>
    <w:multiLevelType w:val="multilevel"/>
    <w:tmpl w:val="57E6A8C4"/>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16cid:durableId="1330131019">
    <w:abstractNumId w:val="24"/>
  </w:num>
  <w:num w:numId="2" w16cid:durableId="680670555">
    <w:abstractNumId w:val="55"/>
  </w:num>
  <w:num w:numId="3" w16cid:durableId="276454205">
    <w:abstractNumId w:val="40"/>
  </w:num>
  <w:num w:numId="4" w16cid:durableId="1293049527">
    <w:abstractNumId w:val="35"/>
  </w:num>
  <w:num w:numId="5" w16cid:durableId="177668649">
    <w:abstractNumId w:val="9"/>
  </w:num>
  <w:num w:numId="6" w16cid:durableId="1551307629">
    <w:abstractNumId w:val="17"/>
  </w:num>
  <w:num w:numId="7" w16cid:durableId="190672023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63151644">
    <w:abstractNumId w:val="39"/>
  </w:num>
  <w:num w:numId="9" w16cid:durableId="735053155">
    <w:abstractNumId w:val="47"/>
  </w:num>
  <w:num w:numId="10" w16cid:durableId="2102213250">
    <w:abstractNumId w:val="2"/>
  </w:num>
  <w:num w:numId="11" w16cid:durableId="1167090605">
    <w:abstractNumId w:val="13"/>
    <w:lvlOverride w:ilvl="0">
      <w:startOverride w:val="3"/>
    </w:lvlOverride>
    <w:lvlOverride w:ilvl="1">
      <w:startOverride w:val="1"/>
    </w:lvlOverride>
    <w:lvlOverride w:ilvl="2">
      <w:startOverride w:val="2"/>
    </w:lvlOverride>
    <w:lvlOverride w:ilvl="3">
      <w:startOverride w:val="1"/>
    </w:lvlOverride>
  </w:num>
  <w:num w:numId="12" w16cid:durableId="846678628">
    <w:abstractNumId w:val="16"/>
  </w:num>
  <w:num w:numId="13" w16cid:durableId="1079523285">
    <w:abstractNumId w:val="7"/>
  </w:num>
  <w:num w:numId="14" w16cid:durableId="884759685">
    <w:abstractNumId w:val="43"/>
  </w:num>
  <w:num w:numId="15" w16cid:durableId="1874919876">
    <w:abstractNumId w:val="38"/>
  </w:num>
  <w:num w:numId="16" w16cid:durableId="548301307">
    <w:abstractNumId w:val="26"/>
  </w:num>
  <w:num w:numId="17" w16cid:durableId="232856307">
    <w:abstractNumId w:val="4"/>
  </w:num>
  <w:num w:numId="18" w16cid:durableId="274869809">
    <w:abstractNumId w:val="51"/>
  </w:num>
  <w:num w:numId="19" w16cid:durableId="81798559">
    <w:abstractNumId w:val="13"/>
  </w:num>
  <w:num w:numId="20" w16cid:durableId="736975730">
    <w:abstractNumId w:val="13"/>
  </w:num>
  <w:num w:numId="21" w16cid:durableId="1514414622">
    <w:abstractNumId w:val="6"/>
  </w:num>
  <w:num w:numId="22" w16cid:durableId="1014646679">
    <w:abstractNumId w:val="3"/>
  </w:num>
  <w:num w:numId="23" w16cid:durableId="1678264227">
    <w:abstractNumId w:val="23"/>
  </w:num>
  <w:num w:numId="24" w16cid:durableId="177349254">
    <w:abstractNumId w:val="46"/>
  </w:num>
  <w:num w:numId="25" w16cid:durableId="654526439">
    <w:abstractNumId w:val="53"/>
  </w:num>
  <w:num w:numId="26" w16cid:durableId="1822773744">
    <w:abstractNumId w:val="0"/>
  </w:num>
  <w:num w:numId="27" w16cid:durableId="1591738406">
    <w:abstractNumId w:val="28"/>
  </w:num>
  <w:num w:numId="28" w16cid:durableId="1663854621">
    <w:abstractNumId w:val="36"/>
  </w:num>
  <w:num w:numId="29" w16cid:durableId="1155293698">
    <w:abstractNumId w:val="1"/>
  </w:num>
  <w:num w:numId="30" w16cid:durableId="596253931">
    <w:abstractNumId w:val="10"/>
  </w:num>
  <w:num w:numId="31" w16cid:durableId="780880557">
    <w:abstractNumId w:val="12"/>
  </w:num>
  <w:num w:numId="32" w16cid:durableId="1934317707">
    <w:abstractNumId w:val="44"/>
  </w:num>
  <w:num w:numId="33" w16cid:durableId="1372346180">
    <w:abstractNumId w:val="32"/>
  </w:num>
  <w:num w:numId="34" w16cid:durableId="1885484003">
    <w:abstractNumId w:val="56"/>
  </w:num>
  <w:num w:numId="35" w16cid:durableId="2062244676">
    <w:abstractNumId w:val="18"/>
  </w:num>
  <w:num w:numId="36" w16cid:durableId="739980354">
    <w:abstractNumId w:val="30"/>
  </w:num>
  <w:num w:numId="37" w16cid:durableId="2126578010">
    <w:abstractNumId w:val="27"/>
  </w:num>
  <w:num w:numId="38" w16cid:durableId="14044009">
    <w:abstractNumId w:val="13"/>
    <w:lvlOverride w:ilvl="0">
      <w:startOverride w:val="3"/>
    </w:lvlOverride>
    <w:lvlOverride w:ilvl="1">
      <w:startOverride w:val="3"/>
    </w:lvlOverride>
  </w:num>
  <w:num w:numId="39" w16cid:durableId="223487664">
    <w:abstractNumId w:val="54"/>
  </w:num>
  <w:num w:numId="40" w16cid:durableId="1449934126">
    <w:abstractNumId w:val="41"/>
  </w:num>
  <w:num w:numId="41" w16cid:durableId="1269579965">
    <w:abstractNumId w:val="42"/>
  </w:num>
  <w:num w:numId="42" w16cid:durableId="503016823">
    <w:abstractNumId w:val="29"/>
  </w:num>
  <w:num w:numId="43" w16cid:durableId="632558342">
    <w:abstractNumId w:val="14"/>
  </w:num>
  <w:num w:numId="44" w16cid:durableId="306936070">
    <w:abstractNumId w:val="19"/>
  </w:num>
  <w:num w:numId="45" w16cid:durableId="1694726705">
    <w:abstractNumId w:val="13"/>
  </w:num>
  <w:num w:numId="46" w16cid:durableId="672804324">
    <w:abstractNumId w:val="31"/>
  </w:num>
  <w:num w:numId="47" w16cid:durableId="1395157879">
    <w:abstractNumId w:val="15"/>
  </w:num>
  <w:num w:numId="48" w16cid:durableId="377121538">
    <w:abstractNumId w:val="5"/>
  </w:num>
  <w:num w:numId="49" w16cid:durableId="253826903">
    <w:abstractNumId w:val="22"/>
  </w:num>
  <w:num w:numId="50" w16cid:durableId="1837381846">
    <w:abstractNumId w:val="13"/>
  </w:num>
  <w:num w:numId="51" w16cid:durableId="1587806513">
    <w:abstractNumId w:val="48"/>
  </w:num>
  <w:num w:numId="52" w16cid:durableId="691490181">
    <w:abstractNumId w:val="20"/>
  </w:num>
  <w:num w:numId="53" w16cid:durableId="1641375001">
    <w:abstractNumId w:val="25"/>
  </w:num>
  <w:num w:numId="54" w16cid:durableId="1900163295">
    <w:abstractNumId w:val="11"/>
  </w:num>
  <w:num w:numId="55" w16cid:durableId="1469737598">
    <w:abstractNumId w:val="33"/>
  </w:num>
  <w:num w:numId="56" w16cid:durableId="1303389735">
    <w:abstractNumId w:val="49"/>
  </w:num>
  <w:num w:numId="57" w16cid:durableId="746535956">
    <w:abstractNumId w:val="55"/>
  </w:num>
  <w:num w:numId="58" w16cid:durableId="861163415">
    <w:abstractNumId w:val="21"/>
  </w:num>
  <w:num w:numId="59" w16cid:durableId="1497912725">
    <w:abstractNumId w:val="13"/>
  </w:num>
  <w:num w:numId="60" w16cid:durableId="1997225456">
    <w:abstractNumId w:val="13"/>
  </w:num>
  <w:num w:numId="61" w16cid:durableId="2047023755">
    <w:abstractNumId w:val="13"/>
  </w:num>
  <w:num w:numId="62" w16cid:durableId="1538396218">
    <w:abstractNumId w:val="13"/>
  </w:num>
  <w:num w:numId="63" w16cid:durableId="460734792">
    <w:abstractNumId w:val="13"/>
  </w:num>
  <w:num w:numId="64" w16cid:durableId="1805854149">
    <w:abstractNumId w:val="13"/>
  </w:num>
  <w:num w:numId="65" w16cid:durableId="1180894420">
    <w:abstractNumId w:val="8"/>
  </w:num>
  <w:num w:numId="66" w16cid:durableId="1587108339">
    <w:abstractNumId w:val="37"/>
  </w:num>
  <w:num w:numId="67" w16cid:durableId="95562475">
    <w:abstractNumId w:val="45"/>
  </w:num>
  <w:num w:numId="68" w16cid:durableId="1175194072">
    <w:abstractNumId w:val="52"/>
  </w:num>
  <w:num w:numId="69" w16cid:durableId="2022665071">
    <w:abstractNumId w:val="34"/>
  </w:num>
  <w:num w:numId="70" w16cid:durableId="265232340">
    <w:abstractNumId w:val="13"/>
    <w:lvlOverride w:ilvl="0">
      <w:startOverride w:val="18"/>
    </w:lvlOverride>
    <w:lvlOverride w:ilvl="1">
      <w:startOverride w:val="1"/>
    </w:lvlOverride>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454A"/>
    <w:rsid w:val="000002B5"/>
    <w:rsid w:val="000004DF"/>
    <w:rsid w:val="000007A7"/>
    <w:rsid w:val="00001560"/>
    <w:rsid w:val="00001733"/>
    <w:rsid w:val="000032C4"/>
    <w:rsid w:val="00003AF5"/>
    <w:rsid w:val="0000468D"/>
    <w:rsid w:val="00004828"/>
    <w:rsid w:val="00005414"/>
    <w:rsid w:val="000056E5"/>
    <w:rsid w:val="00006173"/>
    <w:rsid w:val="0000678E"/>
    <w:rsid w:val="0000688F"/>
    <w:rsid w:val="00006B73"/>
    <w:rsid w:val="00006FB3"/>
    <w:rsid w:val="00007B80"/>
    <w:rsid w:val="00007BC1"/>
    <w:rsid w:val="00010615"/>
    <w:rsid w:val="000119E0"/>
    <w:rsid w:val="0001227F"/>
    <w:rsid w:val="00012919"/>
    <w:rsid w:val="0001292B"/>
    <w:rsid w:val="00012961"/>
    <w:rsid w:val="00014BDC"/>
    <w:rsid w:val="000154B9"/>
    <w:rsid w:val="000159CB"/>
    <w:rsid w:val="00015D14"/>
    <w:rsid w:val="00015E8B"/>
    <w:rsid w:val="00016F7A"/>
    <w:rsid w:val="00017973"/>
    <w:rsid w:val="000210CC"/>
    <w:rsid w:val="00022085"/>
    <w:rsid w:val="00022B40"/>
    <w:rsid w:val="0002307A"/>
    <w:rsid w:val="000232D4"/>
    <w:rsid w:val="00023E9D"/>
    <w:rsid w:val="00024139"/>
    <w:rsid w:val="0002418A"/>
    <w:rsid w:val="000241C7"/>
    <w:rsid w:val="00024721"/>
    <w:rsid w:val="00024789"/>
    <w:rsid w:val="000248CB"/>
    <w:rsid w:val="00024B63"/>
    <w:rsid w:val="0002553D"/>
    <w:rsid w:val="00025A48"/>
    <w:rsid w:val="00025ED5"/>
    <w:rsid w:val="00026041"/>
    <w:rsid w:val="00026734"/>
    <w:rsid w:val="00026AAC"/>
    <w:rsid w:val="00027097"/>
    <w:rsid w:val="00031081"/>
    <w:rsid w:val="0003138D"/>
    <w:rsid w:val="00031513"/>
    <w:rsid w:val="00031886"/>
    <w:rsid w:val="00032C15"/>
    <w:rsid w:val="00033332"/>
    <w:rsid w:val="00033383"/>
    <w:rsid w:val="00033E65"/>
    <w:rsid w:val="00033F20"/>
    <w:rsid w:val="00034BD6"/>
    <w:rsid w:val="00036892"/>
    <w:rsid w:val="000372DB"/>
    <w:rsid w:val="00037371"/>
    <w:rsid w:val="00037ECA"/>
    <w:rsid w:val="00040855"/>
    <w:rsid w:val="00042A02"/>
    <w:rsid w:val="00042A28"/>
    <w:rsid w:val="0004392E"/>
    <w:rsid w:val="00043CC4"/>
    <w:rsid w:val="000448EA"/>
    <w:rsid w:val="00044E16"/>
    <w:rsid w:val="000450A8"/>
    <w:rsid w:val="00045598"/>
    <w:rsid w:val="000459FF"/>
    <w:rsid w:val="00045C72"/>
    <w:rsid w:val="00045DB5"/>
    <w:rsid w:val="00045FD1"/>
    <w:rsid w:val="0004638E"/>
    <w:rsid w:val="0004684F"/>
    <w:rsid w:val="00047136"/>
    <w:rsid w:val="00047B06"/>
    <w:rsid w:val="00047D8C"/>
    <w:rsid w:val="000502CF"/>
    <w:rsid w:val="00050DAB"/>
    <w:rsid w:val="00051B2B"/>
    <w:rsid w:val="0005265F"/>
    <w:rsid w:val="0005270C"/>
    <w:rsid w:val="00052889"/>
    <w:rsid w:val="00052BA9"/>
    <w:rsid w:val="00052C3D"/>
    <w:rsid w:val="00053241"/>
    <w:rsid w:val="00053820"/>
    <w:rsid w:val="000539ED"/>
    <w:rsid w:val="0005405C"/>
    <w:rsid w:val="00054296"/>
    <w:rsid w:val="00054BD8"/>
    <w:rsid w:val="0005640B"/>
    <w:rsid w:val="000566CB"/>
    <w:rsid w:val="00056C89"/>
    <w:rsid w:val="000574FD"/>
    <w:rsid w:val="000577C4"/>
    <w:rsid w:val="0006096E"/>
    <w:rsid w:val="00060AF9"/>
    <w:rsid w:val="00061349"/>
    <w:rsid w:val="00061898"/>
    <w:rsid w:val="0006253D"/>
    <w:rsid w:val="0006292A"/>
    <w:rsid w:val="00062B35"/>
    <w:rsid w:val="00063254"/>
    <w:rsid w:val="000638F3"/>
    <w:rsid w:val="00063EFA"/>
    <w:rsid w:val="00063FCB"/>
    <w:rsid w:val="000642C5"/>
    <w:rsid w:val="00064363"/>
    <w:rsid w:val="00064B70"/>
    <w:rsid w:val="00064CE4"/>
    <w:rsid w:val="0006554C"/>
    <w:rsid w:val="000655C4"/>
    <w:rsid w:val="00065831"/>
    <w:rsid w:val="00066C54"/>
    <w:rsid w:val="0006786B"/>
    <w:rsid w:val="000709A7"/>
    <w:rsid w:val="0007185B"/>
    <w:rsid w:val="00073580"/>
    <w:rsid w:val="00073FAA"/>
    <w:rsid w:val="00074511"/>
    <w:rsid w:val="00074F60"/>
    <w:rsid w:val="00074FAA"/>
    <w:rsid w:val="000759E1"/>
    <w:rsid w:val="00076A5B"/>
    <w:rsid w:val="000776B9"/>
    <w:rsid w:val="00077789"/>
    <w:rsid w:val="00077AC1"/>
    <w:rsid w:val="00077EA5"/>
    <w:rsid w:val="00077EAA"/>
    <w:rsid w:val="00080999"/>
    <w:rsid w:val="00081084"/>
    <w:rsid w:val="000820F9"/>
    <w:rsid w:val="000823DA"/>
    <w:rsid w:val="000827B0"/>
    <w:rsid w:val="00082AED"/>
    <w:rsid w:val="0008326E"/>
    <w:rsid w:val="000837E7"/>
    <w:rsid w:val="00083F4D"/>
    <w:rsid w:val="0008428D"/>
    <w:rsid w:val="00084741"/>
    <w:rsid w:val="00084A3A"/>
    <w:rsid w:val="00084F72"/>
    <w:rsid w:val="000858CB"/>
    <w:rsid w:val="000861C1"/>
    <w:rsid w:val="000869F3"/>
    <w:rsid w:val="00086BF6"/>
    <w:rsid w:val="00086E97"/>
    <w:rsid w:val="00090A9F"/>
    <w:rsid w:val="000911C1"/>
    <w:rsid w:val="0009186C"/>
    <w:rsid w:val="00091CC5"/>
    <w:rsid w:val="00091F76"/>
    <w:rsid w:val="0009275A"/>
    <w:rsid w:val="00092B5B"/>
    <w:rsid w:val="00093C6D"/>
    <w:rsid w:val="00094075"/>
    <w:rsid w:val="00094179"/>
    <w:rsid w:val="00094FC2"/>
    <w:rsid w:val="00095153"/>
    <w:rsid w:val="00095B2D"/>
    <w:rsid w:val="000A0A49"/>
    <w:rsid w:val="000A0D6F"/>
    <w:rsid w:val="000A0F8E"/>
    <w:rsid w:val="000A2079"/>
    <w:rsid w:val="000A24A4"/>
    <w:rsid w:val="000A27AB"/>
    <w:rsid w:val="000A3A77"/>
    <w:rsid w:val="000A3C5B"/>
    <w:rsid w:val="000A3E6A"/>
    <w:rsid w:val="000A519A"/>
    <w:rsid w:val="000A51EE"/>
    <w:rsid w:val="000A5591"/>
    <w:rsid w:val="000A6420"/>
    <w:rsid w:val="000A6F50"/>
    <w:rsid w:val="000A74F0"/>
    <w:rsid w:val="000A776D"/>
    <w:rsid w:val="000A7DEF"/>
    <w:rsid w:val="000B093C"/>
    <w:rsid w:val="000B0B89"/>
    <w:rsid w:val="000B100C"/>
    <w:rsid w:val="000B1387"/>
    <w:rsid w:val="000B1A45"/>
    <w:rsid w:val="000B2FA7"/>
    <w:rsid w:val="000B317B"/>
    <w:rsid w:val="000B3D8F"/>
    <w:rsid w:val="000B4B78"/>
    <w:rsid w:val="000B5333"/>
    <w:rsid w:val="000B5CFA"/>
    <w:rsid w:val="000B6055"/>
    <w:rsid w:val="000B6141"/>
    <w:rsid w:val="000B6DC4"/>
    <w:rsid w:val="000B7BF2"/>
    <w:rsid w:val="000C015B"/>
    <w:rsid w:val="000C0B29"/>
    <w:rsid w:val="000C12E5"/>
    <w:rsid w:val="000C1E77"/>
    <w:rsid w:val="000C2DDA"/>
    <w:rsid w:val="000C3441"/>
    <w:rsid w:val="000C3825"/>
    <w:rsid w:val="000C38DC"/>
    <w:rsid w:val="000C3B9F"/>
    <w:rsid w:val="000C406A"/>
    <w:rsid w:val="000C468E"/>
    <w:rsid w:val="000C47B4"/>
    <w:rsid w:val="000C4868"/>
    <w:rsid w:val="000C4D03"/>
    <w:rsid w:val="000C5264"/>
    <w:rsid w:val="000C548E"/>
    <w:rsid w:val="000C553D"/>
    <w:rsid w:val="000C55EF"/>
    <w:rsid w:val="000C6B33"/>
    <w:rsid w:val="000D05D9"/>
    <w:rsid w:val="000D0D26"/>
    <w:rsid w:val="000D1A43"/>
    <w:rsid w:val="000D2049"/>
    <w:rsid w:val="000D2A9D"/>
    <w:rsid w:val="000D426B"/>
    <w:rsid w:val="000D50F6"/>
    <w:rsid w:val="000D5A32"/>
    <w:rsid w:val="000D605D"/>
    <w:rsid w:val="000D6CD3"/>
    <w:rsid w:val="000D7464"/>
    <w:rsid w:val="000E02FA"/>
    <w:rsid w:val="000E03F4"/>
    <w:rsid w:val="000E0642"/>
    <w:rsid w:val="000E121D"/>
    <w:rsid w:val="000E20E3"/>
    <w:rsid w:val="000E2293"/>
    <w:rsid w:val="000E2A67"/>
    <w:rsid w:val="000E3A86"/>
    <w:rsid w:val="000E47D4"/>
    <w:rsid w:val="000E503E"/>
    <w:rsid w:val="000E56A9"/>
    <w:rsid w:val="000E6346"/>
    <w:rsid w:val="000E64B9"/>
    <w:rsid w:val="000E6687"/>
    <w:rsid w:val="000E6802"/>
    <w:rsid w:val="000E6A34"/>
    <w:rsid w:val="000E716F"/>
    <w:rsid w:val="000E74D2"/>
    <w:rsid w:val="000E776C"/>
    <w:rsid w:val="000F198A"/>
    <w:rsid w:val="000F1A61"/>
    <w:rsid w:val="000F1D60"/>
    <w:rsid w:val="000F24C3"/>
    <w:rsid w:val="000F28A0"/>
    <w:rsid w:val="000F3A93"/>
    <w:rsid w:val="000F539E"/>
    <w:rsid w:val="000F5686"/>
    <w:rsid w:val="000F5696"/>
    <w:rsid w:val="000F59E9"/>
    <w:rsid w:val="000F5AA8"/>
    <w:rsid w:val="000F6160"/>
    <w:rsid w:val="000F6403"/>
    <w:rsid w:val="000F6594"/>
    <w:rsid w:val="000F6B2F"/>
    <w:rsid w:val="000F708C"/>
    <w:rsid w:val="000F71F8"/>
    <w:rsid w:val="000F74B3"/>
    <w:rsid w:val="00100513"/>
    <w:rsid w:val="001012F6"/>
    <w:rsid w:val="0010194C"/>
    <w:rsid w:val="00101C95"/>
    <w:rsid w:val="00101D82"/>
    <w:rsid w:val="00102AD3"/>
    <w:rsid w:val="0010355C"/>
    <w:rsid w:val="0010374A"/>
    <w:rsid w:val="00103E7A"/>
    <w:rsid w:val="001048F1"/>
    <w:rsid w:val="0010498A"/>
    <w:rsid w:val="00104C5C"/>
    <w:rsid w:val="00105233"/>
    <w:rsid w:val="0010539F"/>
    <w:rsid w:val="00105CA9"/>
    <w:rsid w:val="00105D32"/>
    <w:rsid w:val="00105E9F"/>
    <w:rsid w:val="00106513"/>
    <w:rsid w:val="00106580"/>
    <w:rsid w:val="001074AC"/>
    <w:rsid w:val="00107B1C"/>
    <w:rsid w:val="001102AB"/>
    <w:rsid w:val="00110D72"/>
    <w:rsid w:val="0011125B"/>
    <w:rsid w:val="00111439"/>
    <w:rsid w:val="001116E7"/>
    <w:rsid w:val="00111D63"/>
    <w:rsid w:val="00112086"/>
    <w:rsid w:val="00112148"/>
    <w:rsid w:val="00112612"/>
    <w:rsid w:val="0011271A"/>
    <w:rsid w:val="00113216"/>
    <w:rsid w:val="00113858"/>
    <w:rsid w:val="0011391C"/>
    <w:rsid w:val="00114B8F"/>
    <w:rsid w:val="0011530D"/>
    <w:rsid w:val="001157AB"/>
    <w:rsid w:val="00115918"/>
    <w:rsid w:val="00115AA4"/>
    <w:rsid w:val="001160A3"/>
    <w:rsid w:val="00116724"/>
    <w:rsid w:val="00116DCC"/>
    <w:rsid w:val="00117364"/>
    <w:rsid w:val="0011776A"/>
    <w:rsid w:val="001200E2"/>
    <w:rsid w:val="001202DF"/>
    <w:rsid w:val="00120958"/>
    <w:rsid w:val="00120F26"/>
    <w:rsid w:val="0012133C"/>
    <w:rsid w:val="00121638"/>
    <w:rsid w:val="00121AEA"/>
    <w:rsid w:val="00121DF3"/>
    <w:rsid w:val="0012254F"/>
    <w:rsid w:val="00122888"/>
    <w:rsid w:val="00122AFE"/>
    <w:rsid w:val="00122C81"/>
    <w:rsid w:val="00123394"/>
    <w:rsid w:val="00123581"/>
    <w:rsid w:val="00123F32"/>
    <w:rsid w:val="001243B6"/>
    <w:rsid w:val="0012488D"/>
    <w:rsid w:val="00124897"/>
    <w:rsid w:val="00124BA0"/>
    <w:rsid w:val="001253EF"/>
    <w:rsid w:val="0012790A"/>
    <w:rsid w:val="00127E99"/>
    <w:rsid w:val="00130251"/>
    <w:rsid w:val="001306C4"/>
    <w:rsid w:val="00130E42"/>
    <w:rsid w:val="0013183B"/>
    <w:rsid w:val="00131C90"/>
    <w:rsid w:val="00131FEB"/>
    <w:rsid w:val="00132021"/>
    <w:rsid w:val="001324A0"/>
    <w:rsid w:val="00133144"/>
    <w:rsid w:val="00134245"/>
    <w:rsid w:val="00134662"/>
    <w:rsid w:val="00134FD0"/>
    <w:rsid w:val="00135657"/>
    <w:rsid w:val="00136A79"/>
    <w:rsid w:val="00137568"/>
    <w:rsid w:val="001377BA"/>
    <w:rsid w:val="001379CF"/>
    <w:rsid w:val="00137ACD"/>
    <w:rsid w:val="00140B1A"/>
    <w:rsid w:val="001416BD"/>
    <w:rsid w:val="00141B89"/>
    <w:rsid w:val="00141E26"/>
    <w:rsid w:val="001427CA"/>
    <w:rsid w:val="00142A2F"/>
    <w:rsid w:val="001439D6"/>
    <w:rsid w:val="00143BFF"/>
    <w:rsid w:val="0014463D"/>
    <w:rsid w:val="00145AE5"/>
    <w:rsid w:val="00145EBD"/>
    <w:rsid w:val="00145FEE"/>
    <w:rsid w:val="001464B9"/>
    <w:rsid w:val="00146748"/>
    <w:rsid w:val="00146784"/>
    <w:rsid w:val="00146CC2"/>
    <w:rsid w:val="0014723C"/>
    <w:rsid w:val="00147647"/>
    <w:rsid w:val="001478BE"/>
    <w:rsid w:val="00150301"/>
    <w:rsid w:val="001504D1"/>
    <w:rsid w:val="00150EAC"/>
    <w:rsid w:val="001518B0"/>
    <w:rsid w:val="00151E88"/>
    <w:rsid w:val="00151F83"/>
    <w:rsid w:val="00151F9E"/>
    <w:rsid w:val="0015226B"/>
    <w:rsid w:val="001528CF"/>
    <w:rsid w:val="001532B5"/>
    <w:rsid w:val="00153AE4"/>
    <w:rsid w:val="001540A5"/>
    <w:rsid w:val="001559D7"/>
    <w:rsid w:val="00155B3A"/>
    <w:rsid w:val="00156BEC"/>
    <w:rsid w:val="00157BB1"/>
    <w:rsid w:val="00157CEB"/>
    <w:rsid w:val="00160655"/>
    <w:rsid w:val="00160E32"/>
    <w:rsid w:val="00161129"/>
    <w:rsid w:val="001618CC"/>
    <w:rsid w:val="0016257B"/>
    <w:rsid w:val="001627FC"/>
    <w:rsid w:val="001641FD"/>
    <w:rsid w:val="00164F2E"/>
    <w:rsid w:val="0016512C"/>
    <w:rsid w:val="00165232"/>
    <w:rsid w:val="00165361"/>
    <w:rsid w:val="00165E7B"/>
    <w:rsid w:val="0017074C"/>
    <w:rsid w:val="00170AEF"/>
    <w:rsid w:val="00170AFA"/>
    <w:rsid w:val="00170CA7"/>
    <w:rsid w:val="00170CD1"/>
    <w:rsid w:val="0017121C"/>
    <w:rsid w:val="00171891"/>
    <w:rsid w:val="001718A0"/>
    <w:rsid w:val="00171A95"/>
    <w:rsid w:val="00171D81"/>
    <w:rsid w:val="00171F17"/>
    <w:rsid w:val="00171F9F"/>
    <w:rsid w:val="001720A8"/>
    <w:rsid w:val="001725D0"/>
    <w:rsid w:val="001728B9"/>
    <w:rsid w:val="00173946"/>
    <w:rsid w:val="00173D7A"/>
    <w:rsid w:val="00174E47"/>
    <w:rsid w:val="00174FFF"/>
    <w:rsid w:val="0017589B"/>
    <w:rsid w:val="00175AEA"/>
    <w:rsid w:val="00175EC0"/>
    <w:rsid w:val="001762C9"/>
    <w:rsid w:val="00176BCF"/>
    <w:rsid w:val="00177D0A"/>
    <w:rsid w:val="00177D6D"/>
    <w:rsid w:val="001803A3"/>
    <w:rsid w:val="00180FEB"/>
    <w:rsid w:val="001810A5"/>
    <w:rsid w:val="001810C2"/>
    <w:rsid w:val="00181FD2"/>
    <w:rsid w:val="00182227"/>
    <w:rsid w:val="0018265F"/>
    <w:rsid w:val="00182B41"/>
    <w:rsid w:val="0018303A"/>
    <w:rsid w:val="001830DF"/>
    <w:rsid w:val="00183BD0"/>
    <w:rsid w:val="00183CEA"/>
    <w:rsid w:val="00183DC0"/>
    <w:rsid w:val="001840A0"/>
    <w:rsid w:val="001848F3"/>
    <w:rsid w:val="00185256"/>
    <w:rsid w:val="00185870"/>
    <w:rsid w:val="00185AAA"/>
    <w:rsid w:val="00185E51"/>
    <w:rsid w:val="00186884"/>
    <w:rsid w:val="001872C0"/>
    <w:rsid w:val="001879F0"/>
    <w:rsid w:val="00187B70"/>
    <w:rsid w:val="00190F8F"/>
    <w:rsid w:val="001926C8"/>
    <w:rsid w:val="001927F9"/>
    <w:rsid w:val="00192D68"/>
    <w:rsid w:val="001936C4"/>
    <w:rsid w:val="00193D42"/>
    <w:rsid w:val="0019435F"/>
    <w:rsid w:val="00195257"/>
    <w:rsid w:val="0019573C"/>
    <w:rsid w:val="00196896"/>
    <w:rsid w:val="00196ACD"/>
    <w:rsid w:val="00196EAF"/>
    <w:rsid w:val="0019710F"/>
    <w:rsid w:val="00197134"/>
    <w:rsid w:val="001A020E"/>
    <w:rsid w:val="001A288B"/>
    <w:rsid w:val="001A2B6E"/>
    <w:rsid w:val="001A6BD6"/>
    <w:rsid w:val="001B00B7"/>
    <w:rsid w:val="001B20E7"/>
    <w:rsid w:val="001B2188"/>
    <w:rsid w:val="001B237D"/>
    <w:rsid w:val="001B2722"/>
    <w:rsid w:val="001B27BF"/>
    <w:rsid w:val="001B350C"/>
    <w:rsid w:val="001B3DF2"/>
    <w:rsid w:val="001B40B4"/>
    <w:rsid w:val="001B45AF"/>
    <w:rsid w:val="001B4BA3"/>
    <w:rsid w:val="001B4F41"/>
    <w:rsid w:val="001B55BB"/>
    <w:rsid w:val="001B569C"/>
    <w:rsid w:val="001B65B3"/>
    <w:rsid w:val="001B660D"/>
    <w:rsid w:val="001B71FD"/>
    <w:rsid w:val="001B7483"/>
    <w:rsid w:val="001B7908"/>
    <w:rsid w:val="001B7DD0"/>
    <w:rsid w:val="001C0409"/>
    <w:rsid w:val="001C11FB"/>
    <w:rsid w:val="001C1978"/>
    <w:rsid w:val="001C2924"/>
    <w:rsid w:val="001C3157"/>
    <w:rsid w:val="001C31AB"/>
    <w:rsid w:val="001C3431"/>
    <w:rsid w:val="001C3486"/>
    <w:rsid w:val="001C3DEF"/>
    <w:rsid w:val="001C3FE4"/>
    <w:rsid w:val="001C423B"/>
    <w:rsid w:val="001C4598"/>
    <w:rsid w:val="001C5211"/>
    <w:rsid w:val="001C5457"/>
    <w:rsid w:val="001C59DF"/>
    <w:rsid w:val="001C5C58"/>
    <w:rsid w:val="001C61ED"/>
    <w:rsid w:val="001C6850"/>
    <w:rsid w:val="001C6CBF"/>
    <w:rsid w:val="001C7371"/>
    <w:rsid w:val="001D0598"/>
    <w:rsid w:val="001D086C"/>
    <w:rsid w:val="001D0F5D"/>
    <w:rsid w:val="001D1871"/>
    <w:rsid w:val="001D28AD"/>
    <w:rsid w:val="001D3A37"/>
    <w:rsid w:val="001D3AB7"/>
    <w:rsid w:val="001D3CB8"/>
    <w:rsid w:val="001D40FD"/>
    <w:rsid w:val="001D450C"/>
    <w:rsid w:val="001D4E90"/>
    <w:rsid w:val="001D5865"/>
    <w:rsid w:val="001D5D7F"/>
    <w:rsid w:val="001D67F8"/>
    <w:rsid w:val="001D7340"/>
    <w:rsid w:val="001D7C05"/>
    <w:rsid w:val="001E00CB"/>
    <w:rsid w:val="001E0564"/>
    <w:rsid w:val="001E15DC"/>
    <w:rsid w:val="001E197E"/>
    <w:rsid w:val="001E1C7E"/>
    <w:rsid w:val="001E2709"/>
    <w:rsid w:val="001E2945"/>
    <w:rsid w:val="001E2A47"/>
    <w:rsid w:val="001E2E99"/>
    <w:rsid w:val="001E36FB"/>
    <w:rsid w:val="001E3998"/>
    <w:rsid w:val="001E3ACB"/>
    <w:rsid w:val="001E3E4F"/>
    <w:rsid w:val="001E3E62"/>
    <w:rsid w:val="001E4441"/>
    <w:rsid w:val="001E4EC9"/>
    <w:rsid w:val="001E4F68"/>
    <w:rsid w:val="001E5EB7"/>
    <w:rsid w:val="001E64FA"/>
    <w:rsid w:val="001E6FF2"/>
    <w:rsid w:val="001F029F"/>
    <w:rsid w:val="001F1080"/>
    <w:rsid w:val="001F1106"/>
    <w:rsid w:val="001F157D"/>
    <w:rsid w:val="001F172D"/>
    <w:rsid w:val="001F175C"/>
    <w:rsid w:val="001F1B95"/>
    <w:rsid w:val="001F2657"/>
    <w:rsid w:val="001F3165"/>
    <w:rsid w:val="001F33AE"/>
    <w:rsid w:val="001F3B18"/>
    <w:rsid w:val="001F3D27"/>
    <w:rsid w:val="001F3EEC"/>
    <w:rsid w:val="001F4742"/>
    <w:rsid w:val="001F563A"/>
    <w:rsid w:val="001F5A12"/>
    <w:rsid w:val="001F5F69"/>
    <w:rsid w:val="001F6D70"/>
    <w:rsid w:val="001F742B"/>
    <w:rsid w:val="001F7473"/>
    <w:rsid w:val="001F7C7B"/>
    <w:rsid w:val="001F7F0F"/>
    <w:rsid w:val="00200233"/>
    <w:rsid w:val="00200359"/>
    <w:rsid w:val="00200739"/>
    <w:rsid w:val="00200948"/>
    <w:rsid w:val="00200E66"/>
    <w:rsid w:val="00201698"/>
    <w:rsid w:val="002031BA"/>
    <w:rsid w:val="00203B12"/>
    <w:rsid w:val="00203C7E"/>
    <w:rsid w:val="0020413F"/>
    <w:rsid w:val="00204CFA"/>
    <w:rsid w:val="00204DDF"/>
    <w:rsid w:val="00205106"/>
    <w:rsid w:val="00205AF7"/>
    <w:rsid w:val="002064A6"/>
    <w:rsid w:val="0020653A"/>
    <w:rsid w:val="00206771"/>
    <w:rsid w:val="00206C38"/>
    <w:rsid w:val="00206DFF"/>
    <w:rsid w:val="00207A23"/>
    <w:rsid w:val="00207F95"/>
    <w:rsid w:val="002102D6"/>
    <w:rsid w:val="00210BF1"/>
    <w:rsid w:val="00210D22"/>
    <w:rsid w:val="002110A3"/>
    <w:rsid w:val="00211A52"/>
    <w:rsid w:val="00212173"/>
    <w:rsid w:val="0021217A"/>
    <w:rsid w:val="00212A0B"/>
    <w:rsid w:val="00212DAA"/>
    <w:rsid w:val="0021379D"/>
    <w:rsid w:val="002141A9"/>
    <w:rsid w:val="00214FA3"/>
    <w:rsid w:val="00215822"/>
    <w:rsid w:val="00216BFD"/>
    <w:rsid w:val="00216D83"/>
    <w:rsid w:val="00217411"/>
    <w:rsid w:val="002178A0"/>
    <w:rsid w:val="00217A00"/>
    <w:rsid w:val="00217E06"/>
    <w:rsid w:val="00217FD2"/>
    <w:rsid w:val="002203C0"/>
    <w:rsid w:val="00220EFE"/>
    <w:rsid w:val="002216A5"/>
    <w:rsid w:val="00221D71"/>
    <w:rsid w:val="00222618"/>
    <w:rsid w:val="00222DC2"/>
    <w:rsid w:val="00222EEB"/>
    <w:rsid w:val="00223201"/>
    <w:rsid w:val="002238ED"/>
    <w:rsid w:val="00224FA7"/>
    <w:rsid w:val="00225A00"/>
    <w:rsid w:val="00225EA9"/>
    <w:rsid w:val="0022612C"/>
    <w:rsid w:val="00226532"/>
    <w:rsid w:val="002268D0"/>
    <w:rsid w:val="00227348"/>
    <w:rsid w:val="00227AC8"/>
    <w:rsid w:val="0022F346"/>
    <w:rsid w:val="0023002D"/>
    <w:rsid w:val="00230208"/>
    <w:rsid w:val="0023063F"/>
    <w:rsid w:val="00230E40"/>
    <w:rsid w:val="00230EC8"/>
    <w:rsid w:val="00231983"/>
    <w:rsid w:val="00231AC3"/>
    <w:rsid w:val="00232A42"/>
    <w:rsid w:val="00232F8A"/>
    <w:rsid w:val="00233324"/>
    <w:rsid w:val="002334F1"/>
    <w:rsid w:val="00233C6D"/>
    <w:rsid w:val="00233FA7"/>
    <w:rsid w:val="00234304"/>
    <w:rsid w:val="00234392"/>
    <w:rsid w:val="0023675B"/>
    <w:rsid w:val="00237305"/>
    <w:rsid w:val="002373E5"/>
    <w:rsid w:val="00237B36"/>
    <w:rsid w:val="00237DA2"/>
    <w:rsid w:val="002400A6"/>
    <w:rsid w:val="002406B3"/>
    <w:rsid w:val="00240F69"/>
    <w:rsid w:val="002412C7"/>
    <w:rsid w:val="0024182A"/>
    <w:rsid w:val="002421D2"/>
    <w:rsid w:val="00242D67"/>
    <w:rsid w:val="00242EE0"/>
    <w:rsid w:val="00243816"/>
    <w:rsid w:val="0024398A"/>
    <w:rsid w:val="00243F93"/>
    <w:rsid w:val="0024480B"/>
    <w:rsid w:val="00244836"/>
    <w:rsid w:val="00244BCB"/>
    <w:rsid w:val="00244F12"/>
    <w:rsid w:val="0024511F"/>
    <w:rsid w:val="00245B9D"/>
    <w:rsid w:val="00245C01"/>
    <w:rsid w:val="00245DCE"/>
    <w:rsid w:val="002464DE"/>
    <w:rsid w:val="00246946"/>
    <w:rsid w:val="00246C88"/>
    <w:rsid w:val="00246F48"/>
    <w:rsid w:val="002479E3"/>
    <w:rsid w:val="00247A81"/>
    <w:rsid w:val="00250158"/>
    <w:rsid w:val="00250B48"/>
    <w:rsid w:val="00250B89"/>
    <w:rsid w:val="002511DA"/>
    <w:rsid w:val="002512ED"/>
    <w:rsid w:val="00251578"/>
    <w:rsid w:val="00251EF9"/>
    <w:rsid w:val="002522F3"/>
    <w:rsid w:val="00252907"/>
    <w:rsid w:val="002536E5"/>
    <w:rsid w:val="00253B64"/>
    <w:rsid w:val="002540CE"/>
    <w:rsid w:val="00254768"/>
    <w:rsid w:val="00254D45"/>
    <w:rsid w:val="00254E09"/>
    <w:rsid w:val="0025548B"/>
    <w:rsid w:val="00255990"/>
    <w:rsid w:val="002563B5"/>
    <w:rsid w:val="002566E0"/>
    <w:rsid w:val="00256E4B"/>
    <w:rsid w:val="002571B8"/>
    <w:rsid w:val="002572A1"/>
    <w:rsid w:val="00257C60"/>
    <w:rsid w:val="00257E8C"/>
    <w:rsid w:val="00262146"/>
    <w:rsid w:val="0026214D"/>
    <w:rsid w:val="00262605"/>
    <w:rsid w:val="00262960"/>
    <w:rsid w:val="00262E09"/>
    <w:rsid w:val="00263621"/>
    <w:rsid w:val="00263627"/>
    <w:rsid w:val="0026364F"/>
    <w:rsid w:val="002638EF"/>
    <w:rsid w:val="002639F9"/>
    <w:rsid w:val="00263F58"/>
    <w:rsid w:val="00264016"/>
    <w:rsid w:val="00264B3E"/>
    <w:rsid w:val="002652F9"/>
    <w:rsid w:val="00265768"/>
    <w:rsid w:val="00265A21"/>
    <w:rsid w:val="00265B12"/>
    <w:rsid w:val="00265E62"/>
    <w:rsid w:val="002669C9"/>
    <w:rsid w:val="00266F50"/>
    <w:rsid w:val="0027017D"/>
    <w:rsid w:val="002701C7"/>
    <w:rsid w:val="002703F3"/>
    <w:rsid w:val="00270500"/>
    <w:rsid w:val="00270BB4"/>
    <w:rsid w:val="00271E92"/>
    <w:rsid w:val="00272C55"/>
    <w:rsid w:val="00272EA0"/>
    <w:rsid w:val="002735E9"/>
    <w:rsid w:val="002738AA"/>
    <w:rsid w:val="00273EC9"/>
    <w:rsid w:val="00274042"/>
    <w:rsid w:val="002740AD"/>
    <w:rsid w:val="002745C7"/>
    <w:rsid w:val="00274652"/>
    <w:rsid w:val="002746B5"/>
    <w:rsid w:val="00274A67"/>
    <w:rsid w:val="00275246"/>
    <w:rsid w:val="00275A0C"/>
    <w:rsid w:val="00275A75"/>
    <w:rsid w:val="0027634F"/>
    <w:rsid w:val="002766F3"/>
    <w:rsid w:val="0027770B"/>
    <w:rsid w:val="00277719"/>
    <w:rsid w:val="00277F19"/>
    <w:rsid w:val="002805A3"/>
    <w:rsid w:val="00281068"/>
    <w:rsid w:val="002814DE"/>
    <w:rsid w:val="00281F9E"/>
    <w:rsid w:val="00282246"/>
    <w:rsid w:val="002826C1"/>
    <w:rsid w:val="00282E1C"/>
    <w:rsid w:val="00282EB2"/>
    <w:rsid w:val="00283CBB"/>
    <w:rsid w:val="00283DA3"/>
    <w:rsid w:val="00283FB9"/>
    <w:rsid w:val="002841B7"/>
    <w:rsid w:val="00284FA2"/>
    <w:rsid w:val="002858C8"/>
    <w:rsid w:val="0028611F"/>
    <w:rsid w:val="00286F5D"/>
    <w:rsid w:val="002878C2"/>
    <w:rsid w:val="00287F8E"/>
    <w:rsid w:val="00287FDC"/>
    <w:rsid w:val="00287FEF"/>
    <w:rsid w:val="00290366"/>
    <w:rsid w:val="0029072B"/>
    <w:rsid w:val="0029265F"/>
    <w:rsid w:val="0029266B"/>
    <w:rsid w:val="00292A60"/>
    <w:rsid w:val="002934CC"/>
    <w:rsid w:val="0029441A"/>
    <w:rsid w:val="00294A0A"/>
    <w:rsid w:val="00294A99"/>
    <w:rsid w:val="00294B6C"/>
    <w:rsid w:val="0029569D"/>
    <w:rsid w:val="00295EB6"/>
    <w:rsid w:val="00296DEA"/>
    <w:rsid w:val="00297520"/>
    <w:rsid w:val="002978A5"/>
    <w:rsid w:val="00297AC6"/>
    <w:rsid w:val="00297B00"/>
    <w:rsid w:val="002A072F"/>
    <w:rsid w:val="002A11DE"/>
    <w:rsid w:val="002A1586"/>
    <w:rsid w:val="002A21E0"/>
    <w:rsid w:val="002A272C"/>
    <w:rsid w:val="002A295D"/>
    <w:rsid w:val="002A30CB"/>
    <w:rsid w:val="002A39AB"/>
    <w:rsid w:val="002A4322"/>
    <w:rsid w:val="002A44E4"/>
    <w:rsid w:val="002A4FC8"/>
    <w:rsid w:val="002A51DC"/>
    <w:rsid w:val="002A59FD"/>
    <w:rsid w:val="002A7151"/>
    <w:rsid w:val="002B120C"/>
    <w:rsid w:val="002B1303"/>
    <w:rsid w:val="002B141E"/>
    <w:rsid w:val="002B17BA"/>
    <w:rsid w:val="002B1D9B"/>
    <w:rsid w:val="002B2240"/>
    <w:rsid w:val="002B3389"/>
    <w:rsid w:val="002B34E5"/>
    <w:rsid w:val="002B399B"/>
    <w:rsid w:val="002B3CC7"/>
    <w:rsid w:val="002B3E5C"/>
    <w:rsid w:val="002B403F"/>
    <w:rsid w:val="002B5488"/>
    <w:rsid w:val="002B55B3"/>
    <w:rsid w:val="002B6259"/>
    <w:rsid w:val="002B6736"/>
    <w:rsid w:val="002B6917"/>
    <w:rsid w:val="002B6991"/>
    <w:rsid w:val="002B70A7"/>
    <w:rsid w:val="002B7427"/>
    <w:rsid w:val="002B75C1"/>
    <w:rsid w:val="002B7C4D"/>
    <w:rsid w:val="002C07ED"/>
    <w:rsid w:val="002C0A59"/>
    <w:rsid w:val="002C1432"/>
    <w:rsid w:val="002C153A"/>
    <w:rsid w:val="002C1790"/>
    <w:rsid w:val="002C209E"/>
    <w:rsid w:val="002C2381"/>
    <w:rsid w:val="002C2C38"/>
    <w:rsid w:val="002C326D"/>
    <w:rsid w:val="002C39DA"/>
    <w:rsid w:val="002C4196"/>
    <w:rsid w:val="002C44D9"/>
    <w:rsid w:val="002C5081"/>
    <w:rsid w:val="002C5EA0"/>
    <w:rsid w:val="002C6273"/>
    <w:rsid w:val="002C705B"/>
    <w:rsid w:val="002C71C9"/>
    <w:rsid w:val="002C7252"/>
    <w:rsid w:val="002D0949"/>
    <w:rsid w:val="002D1671"/>
    <w:rsid w:val="002D1986"/>
    <w:rsid w:val="002D1D31"/>
    <w:rsid w:val="002D255B"/>
    <w:rsid w:val="002D29ED"/>
    <w:rsid w:val="002D2C2C"/>
    <w:rsid w:val="002D2FA9"/>
    <w:rsid w:val="002D3858"/>
    <w:rsid w:val="002D3B21"/>
    <w:rsid w:val="002D419D"/>
    <w:rsid w:val="002D46DF"/>
    <w:rsid w:val="002D4789"/>
    <w:rsid w:val="002D4C2A"/>
    <w:rsid w:val="002D6A74"/>
    <w:rsid w:val="002D6D7E"/>
    <w:rsid w:val="002D6F9F"/>
    <w:rsid w:val="002D7C6B"/>
    <w:rsid w:val="002D7D68"/>
    <w:rsid w:val="002E0687"/>
    <w:rsid w:val="002E0F25"/>
    <w:rsid w:val="002E177E"/>
    <w:rsid w:val="002E17B2"/>
    <w:rsid w:val="002E1960"/>
    <w:rsid w:val="002E1B68"/>
    <w:rsid w:val="002E1B79"/>
    <w:rsid w:val="002E1BEA"/>
    <w:rsid w:val="002E1EB0"/>
    <w:rsid w:val="002E2446"/>
    <w:rsid w:val="002E2CD2"/>
    <w:rsid w:val="002E33E9"/>
    <w:rsid w:val="002E3C2C"/>
    <w:rsid w:val="002E3D1F"/>
    <w:rsid w:val="002E3F50"/>
    <w:rsid w:val="002E40EF"/>
    <w:rsid w:val="002E4AEA"/>
    <w:rsid w:val="002E51DC"/>
    <w:rsid w:val="002E537E"/>
    <w:rsid w:val="002E6482"/>
    <w:rsid w:val="002E65B5"/>
    <w:rsid w:val="002E6E85"/>
    <w:rsid w:val="002E7121"/>
    <w:rsid w:val="002E7344"/>
    <w:rsid w:val="002E7AD8"/>
    <w:rsid w:val="002F0347"/>
    <w:rsid w:val="002F0ADF"/>
    <w:rsid w:val="002F1377"/>
    <w:rsid w:val="002F13DF"/>
    <w:rsid w:val="002F1786"/>
    <w:rsid w:val="002F17CE"/>
    <w:rsid w:val="002F36B6"/>
    <w:rsid w:val="002F3B0B"/>
    <w:rsid w:val="002F3CD4"/>
    <w:rsid w:val="002F3D3E"/>
    <w:rsid w:val="002F3EFD"/>
    <w:rsid w:val="002F5532"/>
    <w:rsid w:val="002F5689"/>
    <w:rsid w:val="002F5B59"/>
    <w:rsid w:val="002F5EFB"/>
    <w:rsid w:val="002F5F2E"/>
    <w:rsid w:val="00300274"/>
    <w:rsid w:val="00301888"/>
    <w:rsid w:val="00301DCD"/>
    <w:rsid w:val="00302833"/>
    <w:rsid w:val="00302C2F"/>
    <w:rsid w:val="00302D82"/>
    <w:rsid w:val="00304743"/>
    <w:rsid w:val="00304871"/>
    <w:rsid w:val="00304B91"/>
    <w:rsid w:val="003067DB"/>
    <w:rsid w:val="003068B6"/>
    <w:rsid w:val="003070E0"/>
    <w:rsid w:val="003073F0"/>
    <w:rsid w:val="00307567"/>
    <w:rsid w:val="003077F6"/>
    <w:rsid w:val="0031027D"/>
    <w:rsid w:val="00310609"/>
    <w:rsid w:val="00312235"/>
    <w:rsid w:val="0031243C"/>
    <w:rsid w:val="0031367F"/>
    <w:rsid w:val="003139CF"/>
    <w:rsid w:val="00314AF9"/>
    <w:rsid w:val="003161F5"/>
    <w:rsid w:val="00316791"/>
    <w:rsid w:val="00316890"/>
    <w:rsid w:val="00316899"/>
    <w:rsid w:val="00316D1E"/>
    <w:rsid w:val="00316D97"/>
    <w:rsid w:val="00316F83"/>
    <w:rsid w:val="0031763A"/>
    <w:rsid w:val="00317843"/>
    <w:rsid w:val="00317B73"/>
    <w:rsid w:val="00317E9F"/>
    <w:rsid w:val="00320FF3"/>
    <w:rsid w:val="00321A8F"/>
    <w:rsid w:val="00321AD7"/>
    <w:rsid w:val="003234F9"/>
    <w:rsid w:val="0032388C"/>
    <w:rsid w:val="00323F88"/>
    <w:rsid w:val="00324905"/>
    <w:rsid w:val="00324A87"/>
    <w:rsid w:val="00325606"/>
    <w:rsid w:val="00325A2D"/>
    <w:rsid w:val="00325BED"/>
    <w:rsid w:val="00325D39"/>
    <w:rsid w:val="003268B4"/>
    <w:rsid w:val="00326BD5"/>
    <w:rsid w:val="00326DCC"/>
    <w:rsid w:val="003270F8"/>
    <w:rsid w:val="003274A5"/>
    <w:rsid w:val="00330690"/>
    <w:rsid w:val="003314A9"/>
    <w:rsid w:val="00332526"/>
    <w:rsid w:val="003328E7"/>
    <w:rsid w:val="00332EC1"/>
    <w:rsid w:val="00332F96"/>
    <w:rsid w:val="003347EF"/>
    <w:rsid w:val="00334A5F"/>
    <w:rsid w:val="00334E3D"/>
    <w:rsid w:val="00335A54"/>
    <w:rsid w:val="00335B0D"/>
    <w:rsid w:val="00336AB9"/>
    <w:rsid w:val="00337747"/>
    <w:rsid w:val="0034138D"/>
    <w:rsid w:val="003413CF"/>
    <w:rsid w:val="00342117"/>
    <w:rsid w:val="00342AF7"/>
    <w:rsid w:val="0034328F"/>
    <w:rsid w:val="00345251"/>
    <w:rsid w:val="003452DE"/>
    <w:rsid w:val="00345F04"/>
    <w:rsid w:val="003461DD"/>
    <w:rsid w:val="00346532"/>
    <w:rsid w:val="00346B45"/>
    <w:rsid w:val="00346BC5"/>
    <w:rsid w:val="00347263"/>
    <w:rsid w:val="0034753A"/>
    <w:rsid w:val="0034780A"/>
    <w:rsid w:val="0034789A"/>
    <w:rsid w:val="00347DCF"/>
    <w:rsid w:val="00350906"/>
    <w:rsid w:val="00350DBB"/>
    <w:rsid w:val="00352310"/>
    <w:rsid w:val="0035246F"/>
    <w:rsid w:val="00353370"/>
    <w:rsid w:val="00353488"/>
    <w:rsid w:val="00353696"/>
    <w:rsid w:val="0035399F"/>
    <w:rsid w:val="00354199"/>
    <w:rsid w:val="00355A40"/>
    <w:rsid w:val="00355BAD"/>
    <w:rsid w:val="00355E14"/>
    <w:rsid w:val="00356D9E"/>
    <w:rsid w:val="00356E9F"/>
    <w:rsid w:val="00356F65"/>
    <w:rsid w:val="0035714A"/>
    <w:rsid w:val="00357A24"/>
    <w:rsid w:val="00360272"/>
    <w:rsid w:val="003607D0"/>
    <w:rsid w:val="00360BB6"/>
    <w:rsid w:val="00361BC8"/>
    <w:rsid w:val="00361DDC"/>
    <w:rsid w:val="003622C3"/>
    <w:rsid w:val="003628FF"/>
    <w:rsid w:val="00362F2F"/>
    <w:rsid w:val="003630DE"/>
    <w:rsid w:val="00363573"/>
    <w:rsid w:val="003637BF"/>
    <w:rsid w:val="00363BC1"/>
    <w:rsid w:val="00364191"/>
    <w:rsid w:val="00364D89"/>
    <w:rsid w:val="00364FDC"/>
    <w:rsid w:val="00365AD5"/>
    <w:rsid w:val="0036654C"/>
    <w:rsid w:val="00366A47"/>
    <w:rsid w:val="00366F8E"/>
    <w:rsid w:val="00367355"/>
    <w:rsid w:val="0036774D"/>
    <w:rsid w:val="0037016B"/>
    <w:rsid w:val="00370A8D"/>
    <w:rsid w:val="00371D70"/>
    <w:rsid w:val="00372277"/>
    <w:rsid w:val="00372EBD"/>
    <w:rsid w:val="00373164"/>
    <w:rsid w:val="00373A8A"/>
    <w:rsid w:val="003745E6"/>
    <w:rsid w:val="00374B3C"/>
    <w:rsid w:val="00374E78"/>
    <w:rsid w:val="0037503E"/>
    <w:rsid w:val="003754AD"/>
    <w:rsid w:val="00376462"/>
    <w:rsid w:val="00376936"/>
    <w:rsid w:val="00376E6A"/>
    <w:rsid w:val="0037722A"/>
    <w:rsid w:val="00377FE4"/>
    <w:rsid w:val="003813A3"/>
    <w:rsid w:val="00381538"/>
    <w:rsid w:val="00382064"/>
    <w:rsid w:val="00382439"/>
    <w:rsid w:val="0038259E"/>
    <w:rsid w:val="00383147"/>
    <w:rsid w:val="00383523"/>
    <w:rsid w:val="00383C6E"/>
    <w:rsid w:val="00384D18"/>
    <w:rsid w:val="00384E94"/>
    <w:rsid w:val="003850B4"/>
    <w:rsid w:val="0038561C"/>
    <w:rsid w:val="0038597E"/>
    <w:rsid w:val="00385CD4"/>
    <w:rsid w:val="00386334"/>
    <w:rsid w:val="00386AE8"/>
    <w:rsid w:val="00387FE7"/>
    <w:rsid w:val="00391D58"/>
    <w:rsid w:val="00391D9D"/>
    <w:rsid w:val="003923DD"/>
    <w:rsid w:val="0039255F"/>
    <w:rsid w:val="003926D0"/>
    <w:rsid w:val="00392DD3"/>
    <w:rsid w:val="00392E3C"/>
    <w:rsid w:val="0039321F"/>
    <w:rsid w:val="00393322"/>
    <w:rsid w:val="003935A7"/>
    <w:rsid w:val="00393634"/>
    <w:rsid w:val="00394365"/>
    <w:rsid w:val="00394702"/>
    <w:rsid w:val="003951AE"/>
    <w:rsid w:val="00395212"/>
    <w:rsid w:val="00395989"/>
    <w:rsid w:val="003967F1"/>
    <w:rsid w:val="0039690F"/>
    <w:rsid w:val="00397074"/>
    <w:rsid w:val="0039763E"/>
    <w:rsid w:val="003A07E0"/>
    <w:rsid w:val="003A0C73"/>
    <w:rsid w:val="003A161B"/>
    <w:rsid w:val="003A16DC"/>
    <w:rsid w:val="003A172B"/>
    <w:rsid w:val="003A1978"/>
    <w:rsid w:val="003A1C30"/>
    <w:rsid w:val="003A2C24"/>
    <w:rsid w:val="003A2CD2"/>
    <w:rsid w:val="003A3B15"/>
    <w:rsid w:val="003A4241"/>
    <w:rsid w:val="003A4430"/>
    <w:rsid w:val="003A468E"/>
    <w:rsid w:val="003A4FFD"/>
    <w:rsid w:val="003A57E7"/>
    <w:rsid w:val="003A696A"/>
    <w:rsid w:val="003A6EF1"/>
    <w:rsid w:val="003A6FEB"/>
    <w:rsid w:val="003A7243"/>
    <w:rsid w:val="003A7307"/>
    <w:rsid w:val="003A799B"/>
    <w:rsid w:val="003A7AE1"/>
    <w:rsid w:val="003B0161"/>
    <w:rsid w:val="003B02A5"/>
    <w:rsid w:val="003B09C2"/>
    <w:rsid w:val="003B0E14"/>
    <w:rsid w:val="003B0EAA"/>
    <w:rsid w:val="003B0F22"/>
    <w:rsid w:val="003B1AF3"/>
    <w:rsid w:val="003B1C9B"/>
    <w:rsid w:val="003B200C"/>
    <w:rsid w:val="003B2D21"/>
    <w:rsid w:val="003B4A62"/>
    <w:rsid w:val="003B5968"/>
    <w:rsid w:val="003B5C39"/>
    <w:rsid w:val="003B7597"/>
    <w:rsid w:val="003C082F"/>
    <w:rsid w:val="003C1693"/>
    <w:rsid w:val="003C19C3"/>
    <w:rsid w:val="003C2D6A"/>
    <w:rsid w:val="003C2E25"/>
    <w:rsid w:val="003C3592"/>
    <w:rsid w:val="003C458A"/>
    <w:rsid w:val="003C4B70"/>
    <w:rsid w:val="003C52B4"/>
    <w:rsid w:val="003C55FC"/>
    <w:rsid w:val="003C67BD"/>
    <w:rsid w:val="003C6F18"/>
    <w:rsid w:val="003C7E65"/>
    <w:rsid w:val="003C7E72"/>
    <w:rsid w:val="003D1922"/>
    <w:rsid w:val="003D2388"/>
    <w:rsid w:val="003D2966"/>
    <w:rsid w:val="003D2AFC"/>
    <w:rsid w:val="003D370E"/>
    <w:rsid w:val="003D47C3"/>
    <w:rsid w:val="003D58D9"/>
    <w:rsid w:val="003D6172"/>
    <w:rsid w:val="003D71DF"/>
    <w:rsid w:val="003D74AB"/>
    <w:rsid w:val="003D75F2"/>
    <w:rsid w:val="003D7A07"/>
    <w:rsid w:val="003E0385"/>
    <w:rsid w:val="003E08DC"/>
    <w:rsid w:val="003E0ACE"/>
    <w:rsid w:val="003E1111"/>
    <w:rsid w:val="003E1506"/>
    <w:rsid w:val="003E1BBB"/>
    <w:rsid w:val="003E1CFF"/>
    <w:rsid w:val="003E23B4"/>
    <w:rsid w:val="003E2468"/>
    <w:rsid w:val="003E37A7"/>
    <w:rsid w:val="003E3819"/>
    <w:rsid w:val="003E4C66"/>
    <w:rsid w:val="003E5CD2"/>
    <w:rsid w:val="003E5D88"/>
    <w:rsid w:val="003E611F"/>
    <w:rsid w:val="003E7553"/>
    <w:rsid w:val="003E76E5"/>
    <w:rsid w:val="003E7C81"/>
    <w:rsid w:val="003F01E8"/>
    <w:rsid w:val="003F058F"/>
    <w:rsid w:val="003F0A3A"/>
    <w:rsid w:val="003F0AD5"/>
    <w:rsid w:val="003F10ED"/>
    <w:rsid w:val="003F1149"/>
    <w:rsid w:val="003F2367"/>
    <w:rsid w:val="003F366B"/>
    <w:rsid w:val="003F399D"/>
    <w:rsid w:val="003F4047"/>
    <w:rsid w:val="003F45F1"/>
    <w:rsid w:val="003F4829"/>
    <w:rsid w:val="003F4D3C"/>
    <w:rsid w:val="003F4D49"/>
    <w:rsid w:val="003F4FEC"/>
    <w:rsid w:val="003F639F"/>
    <w:rsid w:val="003F6D18"/>
    <w:rsid w:val="003F6D4F"/>
    <w:rsid w:val="003F6D74"/>
    <w:rsid w:val="003F7283"/>
    <w:rsid w:val="003F7BA2"/>
    <w:rsid w:val="004007E9"/>
    <w:rsid w:val="00400F22"/>
    <w:rsid w:val="0040100D"/>
    <w:rsid w:val="00402642"/>
    <w:rsid w:val="00403504"/>
    <w:rsid w:val="0040356B"/>
    <w:rsid w:val="00403DBE"/>
    <w:rsid w:val="00403F08"/>
    <w:rsid w:val="00404309"/>
    <w:rsid w:val="00405C86"/>
    <w:rsid w:val="00406060"/>
    <w:rsid w:val="004060F3"/>
    <w:rsid w:val="004064CE"/>
    <w:rsid w:val="00406D81"/>
    <w:rsid w:val="00407299"/>
    <w:rsid w:val="004102D8"/>
    <w:rsid w:val="00410302"/>
    <w:rsid w:val="0041038E"/>
    <w:rsid w:val="00412B06"/>
    <w:rsid w:val="00412FE3"/>
    <w:rsid w:val="0041331E"/>
    <w:rsid w:val="00413CEC"/>
    <w:rsid w:val="00413E1C"/>
    <w:rsid w:val="004145F1"/>
    <w:rsid w:val="00415494"/>
    <w:rsid w:val="004154D7"/>
    <w:rsid w:val="004156A8"/>
    <w:rsid w:val="00415B12"/>
    <w:rsid w:val="0041604A"/>
    <w:rsid w:val="004165E2"/>
    <w:rsid w:val="004168E3"/>
    <w:rsid w:val="00416E81"/>
    <w:rsid w:val="004172D9"/>
    <w:rsid w:val="00417831"/>
    <w:rsid w:val="004204B2"/>
    <w:rsid w:val="004208A0"/>
    <w:rsid w:val="00420AE7"/>
    <w:rsid w:val="00420C4B"/>
    <w:rsid w:val="0042111D"/>
    <w:rsid w:val="00421234"/>
    <w:rsid w:val="004219A0"/>
    <w:rsid w:val="00421CC7"/>
    <w:rsid w:val="00421FD9"/>
    <w:rsid w:val="00422381"/>
    <w:rsid w:val="00422FD4"/>
    <w:rsid w:val="004232D8"/>
    <w:rsid w:val="004246BC"/>
    <w:rsid w:val="00425BDD"/>
    <w:rsid w:val="00425EEE"/>
    <w:rsid w:val="004265F7"/>
    <w:rsid w:val="00426809"/>
    <w:rsid w:val="00426D4F"/>
    <w:rsid w:val="00426FA0"/>
    <w:rsid w:val="0042750B"/>
    <w:rsid w:val="00427695"/>
    <w:rsid w:val="00430DEB"/>
    <w:rsid w:val="00430F44"/>
    <w:rsid w:val="00431327"/>
    <w:rsid w:val="0043141D"/>
    <w:rsid w:val="00433176"/>
    <w:rsid w:val="0043410F"/>
    <w:rsid w:val="004341C7"/>
    <w:rsid w:val="0043490A"/>
    <w:rsid w:val="00434C04"/>
    <w:rsid w:val="00434E05"/>
    <w:rsid w:val="00434F54"/>
    <w:rsid w:val="00435BE5"/>
    <w:rsid w:val="00435E87"/>
    <w:rsid w:val="00437C4D"/>
    <w:rsid w:val="00437D79"/>
    <w:rsid w:val="00437EA9"/>
    <w:rsid w:val="00437F91"/>
    <w:rsid w:val="00440119"/>
    <w:rsid w:val="004401A6"/>
    <w:rsid w:val="00440D2B"/>
    <w:rsid w:val="00441A9D"/>
    <w:rsid w:val="00442139"/>
    <w:rsid w:val="0044361F"/>
    <w:rsid w:val="00443917"/>
    <w:rsid w:val="004439F6"/>
    <w:rsid w:val="0044423A"/>
    <w:rsid w:val="00444D19"/>
    <w:rsid w:val="004461B7"/>
    <w:rsid w:val="00446BAD"/>
    <w:rsid w:val="00446CEF"/>
    <w:rsid w:val="0044734E"/>
    <w:rsid w:val="0044746B"/>
    <w:rsid w:val="00447AAF"/>
    <w:rsid w:val="00450070"/>
    <w:rsid w:val="00450498"/>
    <w:rsid w:val="004504C7"/>
    <w:rsid w:val="00451434"/>
    <w:rsid w:val="0045148F"/>
    <w:rsid w:val="00451A80"/>
    <w:rsid w:val="004520DC"/>
    <w:rsid w:val="004523FD"/>
    <w:rsid w:val="00452601"/>
    <w:rsid w:val="00453397"/>
    <w:rsid w:val="004536F3"/>
    <w:rsid w:val="004537CB"/>
    <w:rsid w:val="00453F44"/>
    <w:rsid w:val="004542CA"/>
    <w:rsid w:val="0045481A"/>
    <w:rsid w:val="00454848"/>
    <w:rsid w:val="00454CDC"/>
    <w:rsid w:val="00454D0F"/>
    <w:rsid w:val="00454F57"/>
    <w:rsid w:val="0045522D"/>
    <w:rsid w:val="004558F3"/>
    <w:rsid w:val="00455D73"/>
    <w:rsid w:val="00455EA2"/>
    <w:rsid w:val="0045602F"/>
    <w:rsid w:val="004564E8"/>
    <w:rsid w:val="00457DCF"/>
    <w:rsid w:val="00460D62"/>
    <w:rsid w:val="00460DAB"/>
    <w:rsid w:val="00461248"/>
    <w:rsid w:val="00461790"/>
    <w:rsid w:val="00461AD4"/>
    <w:rsid w:val="004624B9"/>
    <w:rsid w:val="00462526"/>
    <w:rsid w:val="004626EF"/>
    <w:rsid w:val="00462A9F"/>
    <w:rsid w:val="0046355C"/>
    <w:rsid w:val="0046357B"/>
    <w:rsid w:val="00463C44"/>
    <w:rsid w:val="0046459B"/>
    <w:rsid w:val="0046481B"/>
    <w:rsid w:val="004648BD"/>
    <w:rsid w:val="004649B0"/>
    <w:rsid w:val="0046541E"/>
    <w:rsid w:val="00466357"/>
    <w:rsid w:val="004667AD"/>
    <w:rsid w:val="00466DB8"/>
    <w:rsid w:val="00466F02"/>
    <w:rsid w:val="004672D9"/>
    <w:rsid w:val="004673F5"/>
    <w:rsid w:val="00467F47"/>
    <w:rsid w:val="00470209"/>
    <w:rsid w:val="00470D0C"/>
    <w:rsid w:val="00470DA1"/>
    <w:rsid w:val="00470E51"/>
    <w:rsid w:val="004711AA"/>
    <w:rsid w:val="0047127F"/>
    <w:rsid w:val="004714C6"/>
    <w:rsid w:val="00471AD4"/>
    <w:rsid w:val="00471F4B"/>
    <w:rsid w:val="0047242C"/>
    <w:rsid w:val="0047295D"/>
    <w:rsid w:val="00472C36"/>
    <w:rsid w:val="00472C9E"/>
    <w:rsid w:val="00472CFB"/>
    <w:rsid w:val="0047350C"/>
    <w:rsid w:val="00473EA6"/>
    <w:rsid w:val="004742AC"/>
    <w:rsid w:val="004742D4"/>
    <w:rsid w:val="00474408"/>
    <w:rsid w:val="00474603"/>
    <w:rsid w:val="00474E84"/>
    <w:rsid w:val="00475193"/>
    <w:rsid w:val="00475AA7"/>
    <w:rsid w:val="00475C11"/>
    <w:rsid w:val="00475CEA"/>
    <w:rsid w:val="00475D52"/>
    <w:rsid w:val="004760D5"/>
    <w:rsid w:val="00476181"/>
    <w:rsid w:val="004761CA"/>
    <w:rsid w:val="00476DD9"/>
    <w:rsid w:val="00476EE8"/>
    <w:rsid w:val="00481A05"/>
    <w:rsid w:val="00481B93"/>
    <w:rsid w:val="004829DA"/>
    <w:rsid w:val="00482B61"/>
    <w:rsid w:val="0048322E"/>
    <w:rsid w:val="00483489"/>
    <w:rsid w:val="00484637"/>
    <w:rsid w:val="00484DDA"/>
    <w:rsid w:val="00484FF0"/>
    <w:rsid w:val="00485547"/>
    <w:rsid w:val="004858C8"/>
    <w:rsid w:val="0048690E"/>
    <w:rsid w:val="0048734A"/>
    <w:rsid w:val="00487993"/>
    <w:rsid w:val="00487E94"/>
    <w:rsid w:val="0049056D"/>
    <w:rsid w:val="00490635"/>
    <w:rsid w:val="00490639"/>
    <w:rsid w:val="00491229"/>
    <w:rsid w:val="00491444"/>
    <w:rsid w:val="0049175B"/>
    <w:rsid w:val="0049195E"/>
    <w:rsid w:val="00491A86"/>
    <w:rsid w:val="00491B76"/>
    <w:rsid w:val="00491D29"/>
    <w:rsid w:val="004922AA"/>
    <w:rsid w:val="00493787"/>
    <w:rsid w:val="00494C35"/>
    <w:rsid w:val="00495A0D"/>
    <w:rsid w:val="004963F6"/>
    <w:rsid w:val="00496A7C"/>
    <w:rsid w:val="0049764A"/>
    <w:rsid w:val="00499ED8"/>
    <w:rsid w:val="004A0BB8"/>
    <w:rsid w:val="004A142B"/>
    <w:rsid w:val="004A195C"/>
    <w:rsid w:val="004A28C0"/>
    <w:rsid w:val="004A30D2"/>
    <w:rsid w:val="004A36F7"/>
    <w:rsid w:val="004A3B5A"/>
    <w:rsid w:val="004A4889"/>
    <w:rsid w:val="004A4AC3"/>
    <w:rsid w:val="004A5B63"/>
    <w:rsid w:val="004A5B89"/>
    <w:rsid w:val="004A5ECA"/>
    <w:rsid w:val="004A5ED2"/>
    <w:rsid w:val="004A61EA"/>
    <w:rsid w:val="004A6F20"/>
    <w:rsid w:val="004A7C1A"/>
    <w:rsid w:val="004A7E15"/>
    <w:rsid w:val="004B00EA"/>
    <w:rsid w:val="004B0655"/>
    <w:rsid w:val="004B077F"/>
    <w:rsid w:val="004B09B5"/>
    <w:rsid w:val="004B1129"/>
    <w:rsid w:val="004B23A1"/>
    <w:rsid w:val="004B293D"/>
    <w:rsid w:val="004B3F7F"/>
    <w:rsid w:val="004B3FC3"/>
    <w:rsid w:val="004B4620"/>
    <w:rsid w:val="004B4778"/>
    <w:rsid w:val="004B49F8"/>
    <w:rsid w:val="004B4CEF"/>
    <w:rsid w:val="004B4DB2"/>
    <w:rsid w:val="004B53A2"/>
    <w:rsid w:val="004B54E6"/>
    <w:rsid w:val="004B567E"/>
    <w:rsid w:val="004B5827"/>
    <w:rsid w:val="004B611E"/>
    <w:rsid w:val="004B6424"/>
    <w:rsid w:val="004B67A5"/>
    <w:rsid w:val="004B73A5"/>
    <w:rsid w:val="004B7594"/>
    <w:rsid w:val="004B7A28"/>
    <w:rsid w:val="004C0997"/>
    <w:rsid w:val="004C0BBA"/>
    <w:rsid w:val="004C0E68"/>
    <w:rsid w:val="004C0EA0"/>
    <w:rsid w:val="004C122C"/>
    <w:rsid w:val="004C1254"/>
    <w:rsid w:val="004C28F9"/>
    <w:rsid w:val="004C2B8F"/>
    <w:rsid w:val="004C3082"/>
    <w:rsid w:val="004C30A3"/>
    <w:rsid w:val="004C3AC4"/>
    <w:rsid w:val="004C3AC6"/>
    <w:rsid w:val="004C3BF5"/>
    <w:rsid w:val="004C50E6"/>
    <w:rsid w:val="004C5614"/>
    <w:rsid w:val="004C58C4"/>
    <w:rsid w:val="004C5E4D"/>
    <w:rsid w:val="004C6A2C"/>
    <w:rsid w:val="004C6DCF"/>
    <w:rsid w:val="004C7676"/>
    <w:rsid w:val="004C76CB"/>
    <w:rsid w:val="004C7C4F"/>
    <w:rsid w:val="004C7EC3"/>
    <w:rsid w:val="004D022C"/>
    <w:rsid w:val="004D0305"/>
    <w:rsid w:val="004D04A7"/>
    <w:rsid w:val="004D13EA"/>
    <w:rsid w:val="004D1E38"/>
    <w:rsid w:val="004D2225"/>
    <w:rsid w:val="004D333D"/>
    <w:rsid w:val="004D349A"/>
    <w:rsid w:val="004D3BC4"/>
    <w:rsid w:val="004D3C46"/>
    <w:rsid w:val="004D3DA0"/>
    <w:rsid w:val="004D426D"/>
    <w:rsid w:val="004D4A53"/>
    <w:rsid w:val="004D4EDB"/>
    <w:rsid w:val="004D4FC2"/>
    <w:rsid w:val="004D54D6"/>
    <w:rsid w:val="004D582F"/>
    <w:rsid w:val="004D5C02"/>
    <w:rsid w:val="004D5D6C"/>
    <w:rsid w:val="004D6636"/>
    <w:rsid w:val="004D7F22"/>
    <w:rsid w:val="004E1579"/>
    <w:rsid w:val="004E1956"/>
    <w:rsid w:val="004E1B30"/>
    <w:rsid w:val="004E3018"/>
    <w:rsid w:val="004E3415"/>
    <w:rsid w:val="004E359C"/>
    <w:rsid w:val="004E4646"/>
    <w:rsid w:val="004E475A"/>
    <w:rsid w:val="004E4BC5"/>
    <w:rsid w:val="004E5410"/>
    <w:rsid w:val="004E6419"/>
    <w:rsid w:val="004E71C6"/>
    <w:rsid w:val="004F02E8"/>
    <w:rsid w:val="004F0485"/>
    <w:rsid w:val="004F04DE"/>
    <w:rsid w:val="004F0859"/>
    <w:rsid w:val="004F08F5"/>
    <w:rsid w:val="004F12AC"/>
    <w:rsid w:val="004F1C4F"/>
    <w:rsid w:val="004F1FE9"/>
    <w:rsid w:val="004F2A90"/>
    <w:rsid w:val="004F3041"/>
    <w:rsid w:val="004F349A"/>
    <w:rsid w:val="004F391E"/>
    <w:rsid w:val="004F3F0F"/>
    <w:rsid w:val="004F406C"/>
    <w:rsid w:val="004F4090"/>
    <w:rsid w:val="004F455F"/>
    <w:rsid w:val="004F4DB1"/>
    <w:rsid w:val="004F6039"/>
    <w:rsid w:val="004F7DFA"/>
    <w:rsid w:val="0050002B"/>
    <w:rsid w:val="0050023D"/>
    <w:rsid w:val="005002D6"/>
    <w:rsid w:val="0050031D"/>
    <w:rsid w:val="00500451"/>
    <w:rsid w:val="00500B35"/>
    <w:rsid w:val="00500F41"/>
    <w:rsid w:val="00501770"/>
    <w:rsid w:val="00501858"/>
    <w:rsid w:val="0050341B"/>
    <w:rsid w:val="005034C8"/>
    <w:rsid w:val="0050353B"/>
    <w:rsid w:val="005038B3"/>
    <w:rsid w:val="00503A75"/>
    <w:rsid w:val="00503BA1"/>
    <w:rsid w:val="005046C5"/>
    <w:rsid w:val="0050521B"/>
    <w:rsid w:val="00505C30"/>
    <w:rsid w:val="00505E79"/>
    <w:rsid w:val="00506743"/>
    <w:rsid w:val="00506933"/>
    <w:rsid w:val="00506AE7"/>
    <w:rsid w:val="00506C65"/>
    <w:rsid w:val="00507328"/>
    <w:rsid w:val="00507392"/>
    <w:rsid w:val="00507965"/>
    <w:rsid w:val="00510096"/>
    <w:rsid w:val="005101DD"/>
    <w:rsid w:val="00510377"/>
    <w:rsid w:val="005108F5"/>
    <w:rsid w:val="00510AC7"/>
    <w:rsid w:val="0051124A"/>
    <w:rsid w:val="005114A3"/>
    <w:rsid w:val="00513616"/>
    <w:rsid w:val="00513859"/>
    <w:rsid w:val="00513A59"/>
    <w:rsid w:val="00513B14"/>
    <w:rsid w:val="0051432E"/>
    <w:rsid w:val="00514F65"/>
    <w:rsid w:val="00514FA4"/>
    <w:rsid w:val="00515728"/>
    <w:rsid w:val="005157E0"/>
    <w:rsid w:val="00515A79"/>
    <w:rsid w:val="005169BB"/>
    <w:rsid w:val="00517660"/>
    <w:rsid w:val="005177B6"/>
    <w:rsid w:val="00517A74"/>
    <w:rsid w:val="0052110A"/>
    <w:rsid w:val="005229D8"/>
    <w:rsid w:val="00522EDA"/>
    <w:rsid w:val="00523717"/>
    <w:rsid w:val="005237D1"/>
    <w:rsid w:val="005241BE"/>
    <w:rsid w:val="005247E2"/>
    <w:rsid w:val="005250E3"/>
    <w:rsid w:val="00525DA1"/>
    <w:rsid w:val="00526034"/>
    <w:rsid w:val="005265E7"/>
    <w:rsid w:val="0052674B"/>
    <w:rsid w:val="00526761"/>
    <w:rsid w:val="005268C2"/>
    <w:rsid w:val="00526C5D"/>
    <w:rsid w:val="00527A07"/>
    <w:rsid w:val="005305BF"/>
    <w:rsid w:val="00530ABB"/>
    <w:rsid w:val="00530DC1"/>
    <w:rsid w:val="00530EAB"/>
    <w:rsid w:val="00531DD0"/>
    <w:rsid w:val="00532A10"/>
    <w:rsid w:val="005334D3"/>
    <w:rsid w:val="00533668"/>
    <w:rsid w:val="0053480B"/>
    <w:rsid w:val="00534DE2"/>
    <w:rsid w:val="00536C5D"/>
    <w:rsid w:val="005378C7"/>
    <w:rsid w:val="005379B8"/>
    <w:rsid w:val="00540B2A"/>
    <w:rsid w:val="00540CA2"/>
    <w:rsid w:val="00541283"/>
    <w:rsid w:val="00542151"/>
    <w:rsid w:val="005423B7"/>
    <w:rsid w:val="00542543"/>
    <w:rsid w:val="00542A4A"/>
    <w:rsid w:val="00542F8F"/>
    <w:rsid w:val="00543ED4"/>
    <w:rsid w:val="00543FDA"/>
    <w:rsid w:val="00544654"/>
    <w:rsid w:val="005446EA"/>
    <w:rsid w:val="0054565E"/>
    <w:rsid w:val="005475EC"/>
    <w:rsid w:val="005476B4"/>
    <w:rsid w:val="0055017C"/>
    <w:rsid w:val="005501EF"/>
    <w:rsid w:val="0055092C"/>
    <w:rsid w:val="0055152B"/>
    <w:rsid w:val="00551A7F"/>
    <w:rsid w:val="00552527"/>
    <w:rsid w:val="00552B61"/>
    <w:rsid w:val="005530A6"/>
    <w:rsid w:val="005531D8"/>
    <w:rsid w:val="005549D7"/>
    <w:rsid w:val="00554C4E"/>
    <w:rsid w:val="00554C8C"/>
    <w:rsid w:val="0055534A"/>
    <w:rsid w:val="00556EF5"/>
    <w:rsid w:val="005573D4"/>
    <w:rsid w:val="00557A64"/>
    <w:rsid w:val="00557E08"/>
    <w:rsid w:val="00557EA2"/>
    <w:rsid w:val="00560076"/>
    <w:rsid w:val="00560EB0"/>
    <w:rsid w:val="00561194"/>
    <w:rsid w:val="00561903"/>
    <w:rsid w:val="00562401"/>
    <w:rsid w:val="00562E0B"/>
    <w:rsid w:val="005632DE"/>
    <w:rsid w:val="0056478B"/>
    <w:rsid w:val="0056490A"/>
    <w:rsid w:val="00564FB2"/>
    <w:rsid w:val="005650EC"/>
    <w:rsid w:val="00566260"/>
    <w:rsid w:val="005665E9"/>
    <w:rsid w:val="005666FF"/>
    <w:rsid w:val="00566CD8"/>
    <w:rsid w:val="00566CF2"/>
    <w:rsid w:val="0056799D"/>
    <w:rsid w:val="0057018C"/>
    <w:rsid w:val="005711AE"/>
    <w:rsid w:val="00571221"/>
    <w:rsid w:val="0057188D"/>
    <w:rsid w:val="005718AD"/>
    <w:rsid w:val="00571BAD"/>
    <w:rsid w:val="00571C93"/>
    <w:rsid w:val="00571E5B"/>
    <w:rsid w:val="0057218A"/>
    <w:rsid w:val="00572E64"/>
    <w:rsid w:val="005737E5"/>
    <w:rsid w:val="005745A2"/>
    <w:rsid w:val="00574A8E"/>
    <w:rsid w:val="00575045"/>
    <w:rsid w:val="00575103"/>
    <w:rsid w:val="0057596F"/>
    <w:rsid w:val="00575CA2"/>
    <w:rsid w:val="00575FDD"/>
    <w:rsid w:val="005773FF"/>
    <w:rsid w:val="0057762A"/>
    <w:rsid w:val="005778BC"/>
    <w:rsid w:val="005809E7"/>
    <w:rsid w:val="00581261"/>
    <w:rsid w:val="0058176E"/>
    <w:rsid w:val="0058198C"/>
    <w:rsid w:val="00582DE7"/>
    <w:rsid w:val="00584007"/>
    <w:rsid w:val="00584EFD"/>
    <w:rsid w:val="00584F04"/>
    <w:rsid w:val="0058619C"/>
    <w:rsid w:val="0058757A"/>
    <w:rsid w:val="005878DE"/>
    <w:rsid w:val="00587F49"/>
    <w:rsid w:val="005903F8"/>
    <w:rsid w:val="0059079F"/>
    <w:rsid w:val="00591685"/>
    <w:rsid w:val="00591DFE"/>
    <w:rsid w:val="00592EEE"/>
    <w:rsid w:val="005932B3"/>
    <w:rsid w:val="005942B4"/>
    <w:rsid w:val="00594C3C"/>
    <w:rsid w:val="00595799"/>
    <w:rsid w:val="005962E8"/>
    <w:rsid w:val="005967E5"/>
    <w:rsid w:val="00596A25"/>
    <w:rsid w:val="00596C5F"/>
    <w:rsid w:val="00596D53"/>
    <w:rsid w:val="005A0343"/>
    <w:rsid w:val="005A097A"/>
    <w:rsid w:val="005A0B90"/>
    <w:rsid w:val="005A0FAF"/>
    <w:rsid w:val="005A2339"/>
    <w:rsid w:val="005A2AD8"/>
    <w:rsid w:val="005A2E59"/>
    <w:rsid w:val="005A39F5"/>
    <w:rsid w:val="005A4335"/>
    <w:rsid w:val="005A4DDE"/>
    <w:rsid w:val="005A5212"/>
    <w:rsid w:val="005A5BED"/>
    <w:rsid w:val="005A5E67"/>
    <w:rsid w:val="005A6983"/>
    <w:rsid w:val="005A6A9C"/>
    <w:rsid w:val="005B02F1"/>
    <w:rsid w:val="005B16D0"/>
    <w:rsid w:val="005B1D27"/>
    <w:rsid w:val="005B3A59"/>
    <w:rsid w:val="005B3D42"/>
    <w:rsid w:val="005B3DAB"/>
    <w:rsid w:val="005B3E93"/>
    <w:rsid w:val="005B654D"/>
    <w:rsid w:val="005B6AE9"/>
    <w:rsid w:val="005B7A40"/>
    <w:rsid w:val="005C0259"/>
    <w:rsid w:val="005C0297"/>
    <w:rsid w:val="005C14B9"/>
    <w:rsid w:val="005C261F"/>
    <w:rsid w:val="005C2685"/>
    <w:rsid w:val="005C2ABB"/>
    <w:rsid w:val="005C35C5"/>
    <w:rsid w:val="005C3E2B"/>
    <w:rsid w:val="005C47EB"/>
    <w:rsid w:val="005C49DF"/>
    <w:rsid w:val="005C4FF1"/>
    <w:rsid w:val="005C5417"/>
    <w:rsid w:val="005C59BC"/>
    <w:rsid w:val="005C5A4C"/>
    <w:rsid w:val="005C61D4"/>
    <w:rsid w:val="005C7166"/>
    <w:rsid w:val="005C72E4"/>
    <w:rsid w:val="005C7A6F"/>
    <w:rsid w:val="005C7CEC"/>
    <w:rsid w:val="005D0283"/>
    <w:rsid w:val="005D05DF"/>
    <w:rsid w:val="005D0791"/>
    <w:rsid w:val="005D0F8C"/>
    <w:rsid w:val="005D1579"/>
    <w:rsid w:val="005D177F"/>
    <w:rsid w:val="005D224F"/>
    <w:rsid w:val="005D26D2"/>
    <w:rsid w:val="005D28DF"/>
    <w:rsid w:val="005D330B"/>
    <w:rsid w:val="005D384C"/>
    <w:rsid w:val="005D394C"/>
    <w:rsid w:val="005D3F15"/>
    <w:rsid w:val="005D41D9"/>
    <w:rsid w:val="005D55EB"/>
    <w:rsid w:val="005D5663"/>
    <w:rsid w:val="005D57EF"/>
    <w:rsid w:val="005D5AD6"/>
    <w:rsid w:val="005D5F3F"/>
    <w:rsid w:val="005D667E"/>
    <w:rsid w:val="005D6B8C"/>
    <w:rsid w:val="005D746C"/>
    <w:rsid w:val="005E13E7"/>
    <w:rsid w:val="005E20A2"/>
    <w:rsid w:val="005E280B"/>
    <w:rsid w:val="005E2DD2"/>
    <w:rsid w:val="005E3582"/>
    <w:rsid w:val="005E39E5"/>
    <w:rsid w:val="005E5F59"/>
    <w:rsid w:val="005E63FE"/>
    <w:rsid w:val="005E6746"/>
    <w:rsid w:val="005E7132"/>
    <w:rsid w:val="005E7A57"/>
    <w:rsid w:val="005E7F3B"/>
    <w:rsid w:val="005F08F8"/>
    <w:rsid w:val="005F0988"/>
    <w:rsid w:val="005F1518"/>
    <w:rsid w:val="005F1E67"/>
    <w:rsid w:val="005F1EC0"/>
    <w:rsid w:val="005F2279"/>
    <w:rsid w:val="005F246F"/>
    <w:rsid w:val="005F2A01"/>
    <w:rsid w:val="005F2C1A"/>
    <w:rsid w:val="005F2DC2"/>
    <w:rsid w:val="005F3423"/>
    <w:rsid w:val="005F41EA"/>
    <w:rsid w:val="005F4213"/>
    <w:rsid w:val="005F434F"/>
    <w:rsid w:val="005F4B83"/>
    <w:rsid w:val="005F4F62"/>
    <w:rsid w:val="005F4F6C"/>
    <w:rsid w:val="005F5411"/>
    <w:rsid w:val="005F5806"/>
    <w:rsid w:val="005F60A0"/>
    <w:rsid w:val="005F78FA"/>
    <w:rsid w:val="005F7E74"/>
    <w:rsid w:val="005F7F1F"/>
    <w:rsid w:val="00600384"/>
    <w:rsid w:val="006008BF"/>
    <w:rsid w:val="00600E0A"/>
    <w:rsid w:val="006013C7"/>
    <w:rsid w:val="0060157C"/>
    <w:rsid w:val="0060183A"/>
    <w:rsid w:val="00602656"/>
    <w:rsid w:val="00602ED5"/>
    <w:rsid w:val="00603B57"/>
    <w:rsid w:val="00604237"/>
    <w:rsid w:val="00604545"/>
    <w:rsid w:val="00604730"/>
    <w:rsid w:val="00604C03"/>
    <w:rsid w:val="00605EBB"/>
    <w:rsid w:val="006066E5"/>
    <w:rsid w:val="00607176"/>
    <w:rsid w:val="006072F8"/>
    <w:rsid w:val="0060735A"/>
    <w:rsid w:val="0060770D"/>
    <w:rsid w:val="00607958"/>
    <w:rsid w:val="006079E2"/>
    <w:rsid w:val="00607CC3"/>
    <w:rsid w:val="00610AB0"/>
    <w:rsid w:val="006113E2"/>
    <w:rsid w:val="00611482"/>
    <w:rsid w:val="006129B7"/>
    <w:rsid w:val="00613321"/>
    <w:rsid w:val="00613EFE"/>
    <w:rsid w:val="00614AEE"/>
    <w:rsid w:val="00614C55"/>
    <w:rsid w:val="00616C5A"/>
    <w:rsid w:val="0061748F"/>
    <w:rsid w:val="0061761E"/>
    <w:rsid w:val="006177DB"/>
    <w:rsid w:val="00617C44"/>
    <w:rsid w:val="00617F19"/>
    <w:rsid w:val="00617FA8"/>
    <w:rsid w:val="006208F8"/>
    <w:rsid w:val="0062093B"/>
    <w:rsid w:val="00620C75"/>
    <w:rsid w:val="006214A5"/>
    <w:rsid w:val="00621AC0"/>
    <w:rsid w:val="00622F66"/>
    <w:rsid w:val="00623115"/>
    <w:rsid w:val="0062427A"/>
    <w:rsid w:val="00624537"/>
    <w:rsid w:val="00624BB5"/>
    <w:rsid w:val="00624F2C"/>
    <w:rsid w:val="006250EF"/>
    <w:rsid w:val="00625862"/>
    <w:rsid w:val="00625A8D"/>
    <w:rsid w:val="00625AA3"/>
    <w:rsid w:val="00625E34"/>
    <w:rsid w:val="0062629A"/>
    <w:rsid w:val="00626551"/>
    <w:rsid w:val="0062715D"/>
    <w:rsid w:val="00630142"/>
    <w:rsid w:val="00630942"/>
    <w:rsid w:val="00631014"/>
    <w:rsid w:val="00631348"/>
    <w:rsid w:val="00631E40"/>
    <w:rsid w:val="0063226A"/>
    <w:rsid w:val="006323DC"/>
    <w:rsid w:val="006332F5"/>
    <w:rsid w:val="00633E36"/>
    <w:rsid w:val="006343AE"/>
    <w:rsid w:val="006348D0"/>
    <w:rsid w:val="006352E6"/>
    <w:rsid w:val="00636066"/>
    <w:rsid w:val="006368DA"/>
    <w:rsid w:val="0063690C"/>
    <w:rsid w:val="006369C0"/>
    <w:rsid w:val="00637123"/>
    <w:rsid w:val="00637DBC"/>
    <w:rsid w:val="006401C7"/>
    <w:rsid w:val="00640941"/>
    <w:rsid w:val="00640A1D"/>
    <w:rsid w:val="00640BCF"/>
    <w:rsid w:val="00640BF7"/>
    <w:rsid w:val="00640DB3"/>
    <w:rsid w:val="00641BBA"/>
    <w:rsid w:val="0064218D"/>
    <w:rsid w:val="00642DE6"/>
    <w:rsid w:val="00642F8D"/>
    <w:rsid w:val="0064340E"/>
    <w:rsid w:val="006437A6"/>
    <w:rsid w:val="006439E7"/>
    <w:rsid w:val="006443AE"/>
    <w:rsid w:val="006444E3"/>
    <w:rsid w:val="00644656"/>
    <w:rsid w:val="00644D51"/>
    <w:rsid w:val="00644F3D"/>
    <w:rsid w:val="006458C5"/>
    <w:rsid w:val="0064742D"/>
    <w:rsid w:val="00647B0D"/>
    <w:rsid w:val="00650107"/>
    <w:rsid w:val="00650528"/>
    <w:rsid w:val="00650F6E"/>
    <w:rsid w:val="00650FD0"/>
    <w:rsid w:val="00651B8F"/>
    <w:rsid w:val="00651BCA"/>
    <w:rsid w:val="00651C6F"/>
    <w:rsid w:val="00651D2E"/>
    <w:rsid w:val="00651DF4"/>
    <w:rsid w:val="00652643"/>
    <w:rsid w:val="00652D90"/>
    <w:rsid w:val="00652E2C"/>
    <w:rsid w:val="00653327"/>
    <w:rsid w:val="006533E4"/>
    <w:rsid w:val="00654452"/>
    <w:rsid w:val="00655E0D"/>
    <w:rsid w:val="006562E7"/>
    <w:rsid w:val="00656FBF"/>
    <w:rsid w:val="006575D7"/>
    <w:rsid w:val="00657D05"/>
    <w:rsid w:val="006600A7"/>
    <w:rsid w:val="00660284"/>
    <w:rsid w:val="006603ED"/>
    <w:rsid w:val="00660C16"/>
    <w:rsid w:val="0066210C"/>
    <w:rsid w:val="0066234D"/>
    <w:rsid w:val="00662D95"/>
    <w:rsid w:val="006632BA"/>
    <w:rsid w:val="00663318"/>
    <w:rsid w:val="006643F9"/>
    <w:rsid w:val="00664769"/>
    <w:rsid w:val="00664F50"/>
    <w:rsid w:val="00664FBD"/>
    <w:rsid w:val="00665589"/>
    <w:rsid w:val="00665E77"/>
    <w:rsid w:val="00666304"/>
    <w:rsid w:val="00667580"/>
    <w:rsid w:val="006675CE"/>
    <w:rsid w:val="006679CF"/>
    <w:rsid w:val="00670BB5"/>
    <w:rsid w:val="0067141D"/>
    <w:rsid w:val="006716C6"/>
    <w:rsid w:val="00671E02"/>
    <w:rsid w:val="00672302"/>
    <w:rsid w:val="00672A48"/>
    <w:rsid w:val="00672B74"/>
    <w:rsid w:val="006748A4"/>
    <w:rsid w:val="00674E94"/>
    <w:rsid w:val="00675C66"/>
    <w:rsid w:val="00675FD5"/>
    <w:rsid w:val="006762A7"/>
    <w:rsid w:val="00676A43"/>
    <w:rsid w:val="006772A0"/>
    <w:rsid w:val="006777F1"/>
    <w:rsid w:val="00677A54"/>
    <w:rsid w:val="00677ADD"/>
    <w:rsid w:val="006807DE"/>
    <w:rsid w:val="00681C00"/>
    <w:rsid w:val="00681EFA"/>
    <w:rsid w:val="00683B72"/>
    <w:rsid w:val="00683DFD"/>
    <w:rsid w:val="006845D2"/>
    <w:rsid w:val="00684661"/>
    <w:rsid w:val="00684C70"/>
    <w:rsid w:val="0068526D"/>
    <w:rsid w:val="0068598E"/>
    <w:rsid w:val="00685D90"/>
    <w:rsid w:val="00686B9D"/>
    <w:rsid w:val="00687073"/>
    <w:rsid w:val="00687730"/>
    <w:rsid w:val="00690046"/>
    <w:rsid w:val="00690753"/>
    <w:rsid w:val="00690936"/>
    <w:rsid w:val="00690B0E"/>
    <w:rsid w:val="00690C79"/>
    <w:rsid w:val="0069101C"/>
    <w:rsid w:val="00691020"/>
    <w:rsid w:val="0069178F"/>
    <w:rsid w:val="00691BDD"/>
    <w:rsid w:val="00691E2A"/>
    <w:rsid w:val="0069233B"/>
    <w:rsid w:val="00692BD3"/>
    <w:rsid w:val="00692F07"/>
    <w:rsid w:val="0069337D"/>
    <w:rsid w:val="00693A19"/>
    <w:rsid w:val="00694B4C"/>
    <w:rsid w:val="00694D72"/>
    <w:rsid w:val="00696B51"/>
    <w:rsid w:val="00697537"/>
    <w:rsid w:val="006976CE"/>
    <w:rsid w:val="006A02C9"/>
    <w:rsid w:val="006A0A4A"/>
    <w:rsid w:val="006A176C"/>
    <w:rsid w:val="006A221C"/>
    <w:rsid w:val="006A2530"/>
    <w:rsid w:val="006A3097"/>
    <w:rsid w:val="006A3EDE"/>
    <w:rsid w:val="006A4506"/>
    <w:rsid w:val="006A5D65"/>
    <w:rsid w:val="006A632B"/>
    <w:rsid w:val="006A68DD"/>
    <w:rsid w:val="006A6957"/>
    <w:rsid w:val="006A7983"/>
    <w:rsid w:val="006A7ADD"/>
    <w:rsid w:val="006A7D85"/>
    <w:rsid w:val="006A7E4D"/>
    <w:rsid w:val="006B09FF"/>
    <w:rsid w:val="006B22E0"/>
    <w:rsid w:val="006B2529"/>
    <w:rsid w:val="006B279B"/>
    <w:rsid w:val="006B2933"/>
    <w:rsid w:val="006B2C26"/>
    <w:rsid w:val="006B2EF2"/>
    <w:rsid w:val="006B331F"/>
    <w:rsid w:val="006B3BF5"/>
    <w:rsid w:val="006B3CC8"/>
    <w:rsid w:val="006B5052"/>
    <w:rsid w:val="006B539D"/>
    <w:rsid w:val="006B57A5"/>
    <w:rsid w:val="006B5A10"/>
    <w:rsid w:val="006B726B"/>
    <w:rsid w:val="006B750E"/>
    <w:rsid w:val="006C04FD"/>
    <w:rsid w:val="006C0678"/>
    <w:rsid w:val="006C0D0C"/>
    <w:rsid w:val="006C0F73"/>
    <w:rsid w:val="006C150C"/>
    <w:rsid w:val="006C16EB"/>
    <w:rsid w:val="006C17FE"/>
    <w:rsid w:val="006C1C42"/>
    <w:rsid w:val="006C1E7D"/>
    <w:rsid w:val="006C2A7B"/>
    <w:rsid w:val="006C2EE2"/>
    <w:rsid w:val="006C3887"/>
    <w:rsid w:val="006C3B65"/>
    <w:rsid w:val="006C3E4B"/>
    <w:rsid w:val="006C4687"/>
    <w:rsid w:val="006C5433"/>
    <w:rsid w:val="006C5ADE"/>
    <w:rsid w:val="006C636C"/>
    <w:rsid w:val="006C6435"/>
    <w:rsid w:val="006C7CB2"/>
    <w:rsid w:val="006C7F07"/>
    <w:rsid w:val="006C7F31"/>
    <w:rsid w:val="006C7F96"/>
    <w:rsid w:val="006D0F6E"/>
    <w:rsid w:val="006D15BD"/>
    <w:rsid w:val="006D24E9"/>
    <w:rsid w:val="006D2DB3"/>
    <w:rsid w:val="006D3275"/>
    <w:rsid w:val="006D32DB"/>
    <w:rsid w:val="006D3C18"/>
    <w:rsid w:val="006D3C29"/>
    <w:rsid w:val="006D3C77"/>
    <w:rsid w:val="006D40A7"/>
    <w:rsid w:val="006D4835"/>
    <w:rsid w:val="006D5AC8"/>
    <w:rsid w:val="006D5F11"/>
    <w:rsid w:val="006D6A00"/>
    <w:rsid w:val="006D6D64"/>
    <w:rsid w:val="006D75F8"/>
    <w:rsid w:val="006D7D14"/>
    <w:rsid w:val="006D7EF1"/>
    <w:rsid w:val="006E021E"/>
    <w:rsid w:val="006E0416"/>
    <w:rsid w:val="006E09F2"/>
    <w:rsid w:val="006E0B25"/>
    <w:rsid w:val="006E0BDF"/>
    <w:rsid w:val="006E12CE"/>
    <w:rsid w:val="006E1DDD"/>
    <w:rsid w:val="006E25B5"/>
    <w:rsid w:val="006E2618"/>
    <w:rsid w:val="006E2A12"/>
    <w:rsid w:val="006E2F0D"/>
    <w:rsid w:val="006E3894"/>
    <w:rsid w:val="006E3A3F"/>
    <w:rsid w:val="006E4C8F"/>
    <w:rsid w:val="006E696B"/>
    <w:rsid w:val="006E6A8E"/>
    <w:rsid w:val="006E77CF"/>
    <w:rsid w:val="006E7A4F"/>
    <w:rsid w:val="006E7C4A"/>
    <w:rsid w:val="006E7ED4"/>
    <w:rsid w:val="006F0156"/>
    <w:rsid w:val="006F07E3"/>
    <w:rsid w:val="006F1052"/>
    <w:rsid w:val="006F119D"/>
    <w:rsid w:val="006F1801"/>
    <w:rsid w:val="006F2023"/>
    <w:rsid w:val="006F225E"/>
    <w:rsid w:val="006F2A38"/>
    <w:rsid w:val="006F3E4A"/>
    <w:rsid w:val="006F49F3"/>
    <w:rsid w:val="006F5737"/>
    <w:rsid w:val="006F6036"/>
    <w:rsid w:val="006F628C"/>
    <w:rsid w:val="006F6DA2"/>
    <w:rsid w:val="006F703D"/>
    <w:rsid w:val="006F7243"/>
    <w:rsid w:val="006F7954"/>
    <w:rsid w:val="007007F2"/>
    <w:rsid w:val="00700829"/>
    <w:rsid w:val="007021AF"/>
    <w:rsid w:val="00702CC3"/>
    <w:rsid w:val="007033C0"/>
    <w:rsid w:val="007036A9"/>
    <w:rsid w:val="00703A88"/>
    <w:rsid w:val="00704A5E"/>
    <w:rsid w:val="00704EAC"/>
    <w:rsid w:val="007058DD"/>
    <w:rsid w:val="00705FDD"/>
    <w:rsid w:val="0070693A"/>
    <w:rsid w:val="00707181"/>
    <w:rsid w:val="007071B0"/>
    <w:rsid w:val="00707641"/>
    <w:rsid w:val="00707E52"/>
    <w:rsid w:val="007109C9"/>
    <w:rsid w:val="00710B74"/>
    <w:rsid w:val="00711855"/>
    <w:rsid w:val="007129C2"/>
    <w:rsid w:val="00712A0C"/>
    <w:rsid w:val="007130EB"/>
    <w:rsid w:val="00713993"/>
    <w:rsid w:val="00714046"/>
    <w:rsid w:val="007144ED"/>
    <w:rsid w:val="007148F4"/>
    <w:rsid w:val="00714ACB"/>
    <w:rsid w:val="00714BCE"/>
    <w:rsid w:val="00714E6C"/>
    <w:rsid w:val="00714FA1"/>
    <w:rsid w:val="00715841"/>
    <w:rsid w:val="007162D2"/>
    <w:rsid w:val="0071639E"/>
    <w:rsid w:val="0071643B"/>
    <w:rsid w:val="007174E1"/>
    <w:rsid w:val="007174E6"/>
    <w:rsid w:val="007176AC"/>
    <w:rsid w:val="00717C24"/>
    <w:rsid w:val="00720566"/>
    <w:rsid w:val="0072133B"/>
    <w:rsid w:val="00721B3B"/>
    <w:rsid w:val="0072301E"/>
    <w:rsid w:val="007230EE"/>
    <w:rsid w:val="0072344B"/>
    <w:rsid w:val="00724A7E"/>
    <w:rsid w:val="00726312"/>
    <w:rsid w:val="00726753"/>
    <w:rsid w:val="007268E2"/>
    <w:rsid w:val="007278DF"/>
    <w:rsid w:val="007300E6"/>
    <w:rsid w:val="00730108"/>
    <w:rsid w:val="00730E9B"/>
    <w:rsid w:val="007314DE"/>
    <w:rsid w:val="00731928"/>
    <w:rsid w:val="00732369"/>
    <w:rsid w:val="007331EA"/>
    <w:rsid w:val="00734C8C"/>
    <w:rsid w:val="0073590C"/>
    <w:rsid w:val="00735A62"/>
    <w:rsid w:val="00736428"/>
    <w:rsid w:val="007365DF"/>
    <w:rsid w:val="00736A85"/>
    <w:rsid w:val="00737328"/>
    <w:rsid w:val="00737331"/>
    <w:rsid w:val="00737A35"/>
    <w:rsid w:val="00737C75"/>
    <w:rsid w:val="0074037F"/>
    <w:rsid w:val="00740514"/>
    <w:rsid w:val="00740C9E"/>
    <w:rsid w:val="00741856"/>
    <w:rsid w:val="00741B72"/>
    <w:rsid w:val="007423D7"/>
    <w:rsid w:val="007426E1"/>
    <w:rsid w:val="00742733"/>
    <w:rsid w:val="00743924"/>
    <w:rsid w:val="00743F46"/>
    <w:rsid w:val="00743F4A"/>
    <w:rsid w:val="00744439"/>
    <w:rsid w:val="0074475A"/>
    <w:rsid w:val="00744BC4"/>
    <w:rsid w:val="00744CAE"/>
    <w:rsid w:val="00744F96"/>
    <w:rsid w:val="007456AE"/>
    <w:rsid w:val="00745999"/>
    <w:rsid w:val="00745DD7"/>
    <w:rsid w:val="00745EDB"/>
    <w:rsid w:val="007460F5"/>
    <w:rsid w:val="007467B3"/>
    <w:rsid w:val="00746CCD"/>
    <w:rsid w:val="00747684"/>
    <w:rsid w:val="007479E5"/>
    <w:rsid w:val="00747B8B"/>
    <w:rsid w:val="00750431"/>
    <w:rsid w:val="00750A13"/>
    <w:rsid w:val="007510DA"/>
    <w:rsid w:val="00751A85"/>
    <w:rsid w:val="0075331E"/>
    <w:rsid w:val="0075386A"/>
    <w:rsid w:val="00755A0A"/>
    <w:rsid w:val="00755B20"/>
    <w:rsid w:val="00755C24"/>
    <w:rsid w:val="00756280"/>
    <w:rsid w:val="00756A8A"/>
    <w:rsid w:val="00757907"/>
    <w:rsid w:val="0076015C"/>
    <w:rsid w:val="0076099E"/>
    <w:rsid w:val="00760D57"/>
    <w:rsid w:val="00760DAD"/>
    <w:rsid w:val="007617FE"/>
    <w:rsid w:val="00762F59"/>
    <w:rsid w:val="00763558"/>
    <w:rsid w:val="00763B34"/>
    <w:rsid w:val="00763C98"/>
    <w:rsid w:val="00763F36"/>
    <w:rsid w:val="00763F5C"/>
    <w:rsid w:val="007647AA"/>
    <w:rsid w:val="007647F4"/>
    <w:rsid w:val="00764962"/>
    <w:rsid w:val="007659BE"/>
    <w:rsid w:val="0076657E"/>
    <w:rsid w:val="007668D7"/>
    <w:rsid w:val="00766ACF"/>
    <w:rsid w:val="00766B44"/>
    <w:rsid w:val="00766E23"/>
    <w:rsid w:val="00767319"/>
    <w:rsid w:val="00767463"/>
    <w:rsid w:val="00770376"/>
    <w:rsid w:val="0077040A"/>
    <w:rsid w:val="007707DF"/>
    <w:rsid w:val="00770EC4"/>
    <w:rsid w:val="00770EE0"/>
    <w:rsid w:val="007714D2"/>
    <w:rsid w:val="00771D67"/>
    <w:rsid w:val="00772501"/>
    <w:rsid w:val="00773716"/>
    <w:rsid w:val="00773F01"/>
    <w:rsid w:val="007741D7"/>
    <w:rsid w:val="00774571"/>
    <w:rsid w:val="007745C8"/>
    <w:rsid w:val="00774C8A"/>
    <w:rsid w:val="007754DD"/>
    <w:rsid w:val="00775C05"/>
    <w:rsid w:val="00775FA3"/>
    <w:rsid w:val="00776890"/>
    <w:rsid w:val="00776916"/>
    <w:rsid w:val="00776FB9"/>
    <w:rsid w:val="00780A74"/>
    <w:rsid w:val="00780E67"/>
    <w:rsid w:val="00780EF5"/>
    <w:rsid w:val="00781247"/>
    <w:rsid w:val="007818A9"/>
    <w:rsid w:val="00781900"/>
    <w:rsid w:val="00781F77"/>
    <w:rsid w:val="0078212D"/>
    <w:rsid w:val="007824CC"/>
    <w:rsid w:val="007829C0"/>
    <w:rsid w:val="00783B26"/>
    <w:rsid w:val="007844F2"/>
    <w:rsid w:val="00784DAB"/>
    <w:rsid w:val="00784F48"/>
    <w:rsid w:val="007867AF"/>
    <w:rsid w:val="0078773A"/>
    <w:rsid w:val="00787F71"/>
    <w:rsid w:val="00790B96"/>
    <w:rsid w:val="00790F87"/>
    <w:rsid w:val="00791350"/>
    <w:rsid w:val="00791E0F"/>
    <w:rsid w:val="00792817"/>
    <w:rsid w:val="00792F63"/>
    <w:rsid w:val="00793388"/>
    <w:rsid w:val="00793AD5"/>
    <w:rsid w:val="00794075"/>
    <w:rsid w:val="007941C1"/>
    <w:rsid w:val="00794289"/>
    <w:rsid w:val="007944ED"/>
    <w:rsid w:val="00795379"/>
    <w:rsid w:val="0079597C"/>
    <w:rsid w:val="00795E56"/>
    <w:rsid w:val="00796059"/>
    <w:rsid w:val="00796170"/>
    <w:rsid w:val="007970C9"/>
    <w:rsid w:val="007976F5"/>
    <w:rsid w:val="00797F74"/>
    <w:rsid w:val="007A05EE"/>
    <w:rsid w:val="007A097C"/>
    <w:rsid w:val="007A0A7E"/>
    <w:rsid w:val="007A1534"/>
    <w:rsid w:val="007A2569"/>
    <w:rsid w:val="007A2691"/>
    <w:rsid w:val="007A281F"/>
    <w:rsid w:val="007A2BF1"/>
    <w:rsid w:val="007A2FFA"/>
    <w:rsid w:val="007A322B"/>
    <w:rsid w:val="007A4C2E"/>
    <w:rsid w:val="007A4F01"/>
    <w:rsid w:val="007A5579"/>
    <w:rsid w:val="007A5A1F"/>
    <w:rsid w:val="007A7B17"/>
    <w:rsid w:val="007A7F1E"/>
    <w:rsid w:val="007B00C8"/>
    <w:rsid w:val="007B013B"/>
    <w:rsid w:val="007B02E0"/>
    <w:rsid w:val="007B039C"/>
    <w:rsid w:val="007B1BDE"/>
    <w:rsid w:val="007B2470"/>
    <w:rsid w:val="007B3179"/>
    <w:rsid w:val="007B341E"/>
    <w:rsid w:val="007B3F1A"/>
    <w:rsid w:val="007B41E6"/>
    <w:rsid w:val="007B4946"/>
    <w:rsid w:val="007B4B1C"/>
    <w:rsid w:val="007B5AD2"/>
    <w:rsid w:val="007B5EBA"/>
    <w:rsid w:val="007B634D"/>
    <w:rsid w:val="007B64AC"/>
    <w:rsid w:val="007B65B2"/>
    <w:rsid w:val="007B6AE7"/>
    <w:rsid w:val="007B6D44"/>
    <w:rsid w:val="007B6D4A"/>
    <w:rsid w:val="007B701D"/>
    <w:rsid w:val="007B71CC"/>
    <w:rsid w:val="007B7BB1"/>
    <w:rsid w:val="007C23DB"/>
    <w:rsid w:val="007C26B2"/>
    <w:rsid w:val="007C2A58"/>
    <w:rsid w:val="007C2AEE"/>
    <w:rsid w:val="007C2E10"/>
    <w:rsid w:val="007C2FD0"/>
    <w:rsid w:val="007C3182"/>
    <w:rsid w:val="007C346F"/>
    <w:rsid w:val="007C3535"/>
    <w:rsid w:val="007C3C15"/>
    <w:rsid w:val="007C3DA8"/>
    <w:rsid w:val="007C3EBA"/>
    <w:rsid w:val="007C4002"/>
    <w:rsid w:val="007C42E9"/>
    <w:rsid w:val="007C4A63"/>
    <w:rsid w:val="007C53C9"/>
    <w:rsid w:val="007C6351"/>
    <w:rsid w:val="007C64ED"/>
    <w:rsid w:val="007C675A"/>
    <w:rsid w:val="007C702C"/>
    <w:rsid w:val="007C72A2"/>
    <w:rsid w:val="007C7949"/>
    <w:rsid w:val="007D09CD"/>
    <w:rsid w:val="007D09D8"/>
    <w:rsid w:val="007D0B11"/>
    <w:rsid w:val="007D0D31"/>
    <w:rsid w:val="007D4944"/>
    <w:rsid w:val="007D555F"/>
    <w:rsid w:val="007D5A4C"/>
    <w:rsid w:val="007D6875"/>
    <w:rsid w:val="007D6A08"/>
    <w:rsid w:val="007D6C4E"/>
    <w:rsid w:val="007D6E60"/>
    <w:rsid w:val="007D724B"/>
    <w:rsid w:val="007E06A7"/>
    <w:rsid w:val="007E0A56"/>
    <w:rsid w:val="007E0B0F"/>
    <w:rsid w:val="007E0CC4"/>
    <w:rsid w:val="007E1465"/>
    <w:rsid w:val="007E1596"/>
    <w:rsid w:val="007E276C"/>
    <w:rsid w:val="007E302D"/>
    <w:rsid w:val="007E3111"/>
    <w:rsid w:val="007E33F1"/>
    <w:rsid w:val="007E3C7C"/>
    <w:rsid w:val="007E3F9E"/>
    <w:rsid w:val="007E442A"/>
    <w:rsid w:val="007E4B11"/>
    <w:rsid w:val="007E53D6"/>
    <w:rsid w:val="007E5C82"/>
    <w:rsid w:val="007E641F"/>
    <w:rsid w:val="007E675F"/>
    <w:rsid w:val="007E7E8B"/>
    <w:rsid w:val="007F014A"/>
    <w:rsid w:val="007F0AA6"/>
    <w:rsid w:val="007F0C78"/>
    <w:rsid w:val="007F0CA8"/>
    <w:rsid w:val="007F0F1C"/>
    <w:rsid w:val="007F0FD2"/>
    <w:rsid w:val="007F176A"/>
    <w:rsid w:val="007F1850"/>
    <w:rsid w:val="007F195F"/>
    <w:rsid w:val="007F1B26"/>
    <w:rsid w:val="007F1C18"/>
    <w:rsid w:val="007F252D"/>
    <w:rsid w:val="007F26CE"/>
    <w:rsid w:val="007F2FE3"/>
    <w:rsid w:val="007F369C"/>
    <w:rsid w:val="007F3ABA"/>
    <w:rsid w:val="007F3FE6"/>
    <w:rsid w:val="007F44C5"/>
    <w:rsid w:val="007F4873"/>
    <w:rsid w:val="007F48FB"/>
    <w:rsid w:val="007F4C8F"/>
    <w:rsid w:val="007F5EF2"/>
    <w:rsid w:val="007F615C"/>
    <w:rsid w:val="007F6366"/>
    <w:rsid w:val="007F6A0F"/>
    <w:rsid w:val="007F6A43"/>
    <w:rsid w:val="007F7ACD"/>
    <w:rsid w:val="008000F9"/>
    <w:rsid w:val="00800294"/>
    <w:rsid w:val="0080085D"/>
    <w:rsid w:val="0080098C"/>
    <w:rsid w:val="008018FF"/>
    <w:rsid w:val="00802B5C"/>
    <w:rsid w:val="00802D50"/>
    <w:rsid w:val="00803042"/>
    <w:rsid w:val="0080397E"/>
    <w:rsid w:val="00803D15"/>
    <w:rsid w:val="00804002"/>
    <w:rsid w:val="008047CF"/>
    <w:rsid w:val="00804EEC"/>
    <w:rsid w:val="00805330"/>
    <w:rsid w:val="0080558A"/>
    <w:rsid w:val="00805B9A"/>
    <w:rsid w:val="008068EB"/>
    <w:rsid w:val="00806BC5"/>
    <w:rsid w:val="0080744F"/>
    <w:rsid w:val="008075D8"/>
    <w:rsid w:val="00807965"/>
    <w:rsid w:val="00810D82"/>
    <w:rsid w:val="0081163D"/>
    <w:rsid w:val="00811CC5"/>
    <w:rsid w:val="00812033"/>
    <w:rsid w:val="00812211"/>
    <w:rsid w:val="0081224B"/>
    <w:rsid w:val="00812AD6"/>
    <w:rsid w:val="0081371A"/>
    <w:rsid w:val="00813CE6"/>
    <w:rsid w:val="00814268"/>
    <w:rsid w:val="008145B6"/>
    <w:rsid w:val="008147FC"/>
    <w:rsid w:val="008148D1"/>
    <w:rsid w:val="00814B6C"/>
    <w:rsid w:val="008156AD"/>
    <w:rsid w:val="0081596D"/>
    <w:rsid w:val="00817487"/>
    <w:rsid w:val="008175AD"/>
    <w:rsid w:val="008177DB"/>
    <w:rsid w:val="00817AE1"/>
    <w:rsid w:val="00817F80"/>
    <w:rsid w:val="00820496"/>
    <w:rsid w:val="00820872"/>
    <w:rsid w:val="0082099F"/>
    <w:rsid w:val="008209A5"/>
    <w:rsid w:val="00820A19"/>
    <w:rsid w:val="0082137F"/>
    <w:rsid w:val="0082151E"/>
    <w:rsid w:val="008217EE"/>
    <w:rsid w:val="00821BC7"/>
    <w:rsid w:val="008222C6"/>
    <w:rsid w:val="00823036"/>
    <w:rsid w:val="00823DCF"/>
    <w:rsid w:val="00825336"/>
    <w:rsid w:val="008259B5"/>
    <w:rsid w:val="00825A9E"/>
    <w:rsid w:val="00825D86"/>
    <w:rsid w:val="008262DC"/>
    <w:rsid w:val="008262FE"/>
    <w:rsid w:val="008267EE"/>
    <w:rsid w:val="0082699B"/>
    <w:rsid w:val="008269BF"/>
    <w:rsid w:val="00827242"/>
    <w:rsid w:val="008275E5"/>
    <w:rsid w:val="00827C1C"/>
    <w:rsid w:val="008300C9"/>
    <w:rsid w:val="00830102"/>
    <w:rsid w:val="00830635"/>
    <w:rsid w:val="008313A8"/>
    <w:rsid w:val="00831497"/>
    <w:rsid w:val="00831EA0"/>
    <w:rsid w:val="0083233B"/>
    <w:rsid w:val="00832521"/>
    <w:rsid w:val="00832574"/>
    <w:rsid w:val="008325A3"/>
    <w:rsid w:val="00832A7A"/>
    <w:rsid w:val="00832E25"/>
    <w:rsid w:val="0083324F"/>
    <w:rsid w:val="00833260"/>
    <w:rsid w:val="008333B4"/>
    <w:rsid w:val="00833594"/>
    <w:rsid w:val="00833A89"/>
    <w:rsid w:val="00833DD7"/>
    <w:rsid w:val="0083421D"/>
    <w:rsid w:val="00834335"/>
    <w:rsid w:val="00834C10"/>
    <w:rsid w:val="00834C6F"/>
    <w:rsid w:val="008357F2"/>
    <w:rsid w:val="008367D3"/>
    <w:rsid w:val="0083684F"/>
    <w:rsid w:val="00836896"/>
    <w:rsid w:val="008370AA"/>
    <w:rsid w:val="0083779B"/>
    <w:rsid w:val="00837805"/>
    <w:rsid w:val="00837890"/>
    <w:rsid w:val="008401EF"/>
    <w:rsid w:val="0084124B"/>
    <w:rsid w:val="0084141C"/>
    <w:rsid w:val="00841C79"/>
    <w:rsid w:val="008424AA"/>
    <w:rsid w:val="008426FB"/>
    <w:rsid w:val="00842C92"/>
    <w:rsid w:val="00843C22"/>
    <w:rsid w:val="00844017"/>
    <w:rsid w:val="00844CF5"/>
    <w:rsid w:val="00845510"/>
    <w:rsid w:val="00845E8E"/>
    <w:rsid w:val="008464CF"/>
    <w:rsid w:val="00846A85"/>
    <w:rsid w:val="00846DA9"/>
    <w:rsid w:val="00846DE9"/>
    <w:rsid w:val="008472C2"/>
    <w:rsid w:val="00847D06"/>
    <w:rsid w:val="0085009F"/>
    <w:rsid w:val="0085042A"/>
    <w:rsid w:val="0085070C"/>
    <w:rsid w:val="0085089C"/>
    <w:rsid w:val="00850B95"/>
    <w:rsid w:val="00850FF4"/>
    <w:rsid w:val="008513C1"/>
    <w:rsid w:val="00852181"/>
    <w:rsid w:val="00852DE9"/>
    <w:rsid w:val="0085303B"/>
    <w:rsid w:val="00853180"/>
    <w:rsid w:val="008536F8"/>
    <w:rsid w:val="008537D6"/>
    <w:rsid w:val="008541B1"/>
    <w:rsid w:val="008547B3"/>
    <w:rsid w:val="00854935"/>
    <w:rsid w:val="00856D35"/>
    <w:rsid w:val="00856DCC"/>
    <w:rsid w:val="008570A4"/>
    <w:rsid w:val="008570C8"/>
    <w:rsid w:val="0085721C"/>
    <w:rsid w:val="0086080A"/>
    <w:rsid w:val="00860DD6"/>
    <w:rsid w:val="00860E0E"/>
    <w:rsid w:val="008617BD"/>
    <w:rsid w:val="008618B9"/>
    <w:rsid w:val="00862A35"/>
    <w:rsid w:val="00862F6A"/>
    <w:rsid w:val="008636D6"/>
    <w:rsid w:val="00863725"/>
    <w:rsid w:val="0086394D"/>
    <w:rsid w:val="00863B8F"/>
    <w:rsid w:val="00863C6B"/>
    <w:rsid w:val="00863C86"/>
    <w:rsid w:val="00863DA0"/>
    <w:rsid w:val="0086424D"/>
    <w:rsid w:val="00864530"/>
    <w:rsid w:val="00864A79"/>
    <w:rsid w:val="00864BA5"/>
    <w:rsid w:val="008656CE"/>
    <w:rsid w:val="0086575A"/>
    <w:rsid w:val="00865815"/>
    <w:rsid w:val="008660E1"/>
    <w:rsid w:val="00866745"/>
    <w:rsid w:val="00866979"/>
    <w:rsid w:val="00866D34"/>
    <w:rsid w:val="00866ED0"/>
    <w:rsid w:val="00867159"/>
    <w:rsid w:val="00867181"/>
    <w:rsid w:val="00867C1C"/>
    <w:rsid w:val="00867C92"/>
    <w:rsid w:val="00867DDC"/>
    <w:rsid w:val="00870A8D"/>
    <w:rsid w:val="008712CB"/>
    <w:rsid w:val="00871FEC"/>
    <w:rsid w:val="00872715"/>
    <w:rsid w:val="00873D76"/>
    <w:rsid w:val="008744F8"/>
    <w:rsid w:val="00874A3F"/>
    <w:rsid w:val="008750F1"/>
    <w:rsid w:val="0087563A"/>
    <w:rsid w:val="00875667"/>
    <w:rsid w:val="0087577E"/>
    <w:rsid w:val="0087671C"/>
    <w:rsid w:val="00876725"/>
    <w:rsid w:val="00876B29"/>
    <w:rsid w:val="00877169"/>
    <w:rsid w:val="0088029F"/>
    <w:rsid w:val="00880508"/>
    <w:rsid w:val="00880DFE"/>
    <w:rsid w:val="0088189D"/>
    <w:rsid w:val="00881925"/>
    <w:rsid w:val="00882354"/>
    <w:rsid w:val="008823A0"/>
    <w:rsid w:val="00882A11"/>
    <w:rsid w:val="00882B81"/>
    <w:rsid w:val="00882C6C"/>
    <w:rsid w:val="00882E5C"/>
    <w:rsid w:val="00883297"/>
    <w:rsid w:val="008833A5"/>
    <w:rsid w:val="0088363D"/>
    <w:rsid w:val="00883787"/>
    <w:rsid w:val="008839E2"/>
    <w:rsid w:val="00883EAF"/>
    <w:rsid w:val="00884004"/>
    <w:rsid w:val="0088455F"/>
    <w:rsid w:val="00884AB9"/>
    <w:rsid w:val="00884D18"/>
    <w:rsid w:val="00885202"/>
    <w:rsid w:val="00885346"/>
    <w:rsid w:val="00885B4D"/>
    <w:rsid w:val="00885BD0"/>
    <w:rsid w:val="008869F8"/>
    <w:rsid w:val="00887115"/>
    <w:rsid w:val="008873DF"/>
    <w:rsid w:val="00887622"/>
    <w:rsid w:val="008905DF"/>
    <w:rsid w:val="00891057"/>
    <w:rsid w:val="008919A0"/>
    <w:rsid w:val="008919B9"/>
    <w:rsid w:val="00891D2E"/>
    <w:rsid w:val="008921FB"/>
    <w:rsid w:val="00892DDC"/>
    <w:rsid w:val="00892F69"/>
    <w:rsid w:val="008937FC"/>
    <w:rsid w:val="008943F1"/>
    <w:rsid w:val="0089503F"/>
    <w:rsid w:val="008959BC"/>
    <w:rsid w:val="00895D00"/>
    <w:rsid w:val="00896078"/>
    <w:rsid w:val="00896293"/>
    <w:rsid w:val="00896C94"/>
    <w:rsid w:val="00896CE5"/>
    <w:rsid w:val="008973C8"/>
    <w:rsid w:val="00897584"/>
    <w:rsid w:val="00897AB6"/>
    <w:rsid w:val="00897BF2"/>
    <w:rsid w:val="008A02E5"/>
    <w:rsid w:val="008A0B32"/>
    <w:rsid w:val="008A0D6F"/>
    <w:rsid w:val="008A0E42"/>
    <w:rsid w:val="008A0F18"/>
    <w:rsid w:val="008A130D"/>
    <w:rsid w:val="008A1585"/>
    <w:rsid w:val="008A1932"/>
    <w:rsid w:val="008A1961"/>
    <w:rsid w:val="008A1C42"/>
    <w:rsid w:val="008A35E5"/>
    <w:rsid w:val="008A4178"/>
    <w:rsid w:val="008A4348"/>
    <w:rsid w:val="008A48C7"/>
    <w:rsid w:val="008A4B7F"/>
    <w:rsid w:val="008A50C6"/>
    <w:rsid w:val="008A5766"/>
    <w:rsid w:val="008A5979"/>
    <w:rsid w:val="008A59B5"/>
    <w:rsid w:val="008A5DED"/>
    <w:rsid w:val="008A6040"/>
    <w:rsid w:val="008A631B"/>
    <w:rsid w:val="008A64E1"/>
    <w:rsid w:val="008A666D"/>
    <w:rsid w:val="008A66F1"/>
    <w:rsid w:val="008A6BEB"/>
    <w:rsid w:val="008A70C0"/>
    <w:rsid w:val="008A7EEB"/>
    <w:rsid w:val="008B0056"/>
    <w:rsid w:val="008B0CE1"/>
    <w:rsid w:val="008B0D40"/>
    <w:rsid w:val="008B0D61"/>
    <w:rsid w:val="008B11D6"/>
    <w:rsid w:val="008B159F"/>
    <w:rsid w:val="008B1F5C"/>
    <w:rsid w:val="008B2595"/>
    <w:rsid w:val="008B28B5"/>
    <w:rsid w:val="008B2BFC"/>
    <w:rsid w:val="008B3C65"/>
    <w:rsid w:val="008B3C80"/>
    <w:rsid w:val="008B4AA6"/>
    <w:rsid w:val="008B59FE"/>
    <w:rsid w:val="008B5A34"/>
    <w:rsid w:val="008B5A8A"/>
    <w:rsid w:val="008B62CB"/>
    <w:rsid w:val="008B73D7"/>
    <w:rsid w:val="008B7A99"/>
    <w:rsid w:val="008C02DC"/>
    <w:rsid w:val="008C1DDA"/>
    <w:rsid w:val="008C209F"/>
    <w:rsid w:val="008C3988"/>
    <w:rsid w:val="008C3EEC"/>
    <w:rsid w:val="008C4245"/>
    <w:rsid w:val="008C4512"/>
    <w:rsid w:val="008C4B16"/>
    <w:rsid w:val="008C6A89"/>
    <w:rsid w:val="008C710A"/>
    <w:rsid w:val="008C7299"/>
    <w:rsid w:val="008C75B6"/>
    <w:rsid w:val="008C7725"/>
    <w:rsid w:val="008C7B33"/>
    <w:rsid w:val="008D103A"/>
    <w:rsid w:val="008D117B"/>
    <w:rsid w:val="008D1246"/>
    <w:rsid w:val="008D128D"/>
    <w:rsid w:val="008D19DC"/>
    <w:rsid w:val="008D295D"/>
    <w:rsid w:val="008D2C19"/>
    <w:rsid w:val="008D4185"/>
    <w:rsid w:val="008D4595"/>
    <w:rsid w:val="008D5416"/>
    <w:rsid w:val="008D5B95"/>
    <w:rsid w:val="008D651F"/>
    <w:rsid w:val="008D6D37"/>
    <w:rsid w:val="008E0800"/>
    <w:rsid w:val="008E0F0A"/>
    <w:rsid w:val="008E16CB"/>
    <w:rsid w:val="008E1852"/>
    <w:rsid w:val="008E24A0"/>
    <w:rsid w:val="008E2D82"/>
    <w:rsid w:val="008E2FCA"/>
    <w:rsid w:val="008E33E1"/>
    <w:rsid w:val="008E423F"/>
    <w:rsid w:val="008E44C2"/>
    <w:rsid w:val="008E4953"/>
    <w:rsid w:val="008E4A10"/>
    <w:rsid w:val="008E4B53"/>
    <w:rsid w:val="008E54A3"/>
    <w:rsid w:val="008E5ADD"/>
    <w:rsid w:val="008E5C9D"/>
    <w:rsid w:val="008E5D88"/>
    <w:rsid w:val="008E605A"/>
    <w:rsid w:val="008E6308"/>
    <w:rsid w:val="008E65D3"/>
    <w:rsid w:val="008E68EE"/>
    <w:rsid w:val="008E74E4"/>
    <w:rsid w:val="008E7683"/>
    <w:rsid w:val="008E7959"/>
    <w:rsid w:val="008F02E8"/>
    <w:rsid w:val="008F0C31"/>
    <w:rsid w:val="008F0E25"/>
    <w:rsid w:val="008F14B9"/>
    <w:rsid w:val="008F1A99"/>
    <w:rsid w:val="008F1E50"/>
    <w:rsid w:val="008F251C"/>
    <w:rsid w:val="008F2859"/>
    <w:rsid w:val="008F2A6E"/>
    <w:rsid w:val="008F2EBC"/>
    <w:rsid w:val="008F598F"/>
    <w:rsid w:val="008F5EAF"/>
    <w:rsid w:val="008F5F73"/>
    <w:rsid w:val="008F65A4"/>
    <w:rsid w:val="008F707F"/>
    <w:rsid w:val="008F7419"/>
    <w:rsid w:val="00900259"/>
    <w:rsid w:val="00900A7A"/>
    <w:rsid w:val="00900EB0"/>
    <w:rsid w:val="00901029"/>
    <w:rsid w:val="009013B7"/>
    <w:rsid w:val="00901FD0"/>
    <w:rsid w:val="00902CB7"/>
    <w:rsid w:val="00902DC0"/>
    <w:rsid w:val="0090344F"/>
    <w:rsid w:val="00903B67"/>
    <w:rsid w:val="0090454A"/>
    <w:rsid w:val="0090540F"/>
    <w:rsid w:val="0090547C"/>
    <w:rsid w:val="00905832"/>
    <w:rsid w:val="00906107"/>
    <w:rsid w:val="009063BF"/>
    <w:rsid w:val="00907B70"/>
    <w:rsid w:val="009107A1"/>
    <w:rsid w:val="00910A50"/>
    <w:rsid w:val="00911114"/>
    <w:rsid w:val="00911E5F"/>
    <w:rsid w:val="00912424"/>
    <w:rsid w:val="00913755"/>
    <w:rsid w:val="00913911"/>
    <w:rsid w:val="00913B61"/>
    <w:rsid w:val="00913C19"/>
    <w:rsid w:val="00914142"/>
    <w:rsid w:val="009154FE"/>
    <w:rsid w:val="00915576"/>
    <w:rsid w:val="009155A4"/>
    <w:rsid w:val="0091597A"/>
    <w:rsid w:val="00916709"/>
    <w:rsid w:val="0091685F"/>
    <w:rsid w:val="0091695D"/>
    <w:rsid w:val="0091711E"/>
    <w:rsid w:val="009172C5"/>
    <w:rsid w:val="0091762B"/>
    <w:rsid w:val="00917B69"/>
    <w:rsid w:val="00917E4D"/>
    <w:rsid w:val="00920829"/>
    <w:rsid w:val="00921A27"/>
    <w:rsid w:val="00921C9F"/>
    <w:rsid w:val="00922BF8"/>
    <w:rsid w:val="0092328A"/>
    <w:rsid w:val="00923B28"/>
    <w:rsid w:val="00923B84"/>
    <w:rsid w:val="00924F24"/>
    <w:rsid w:val="00925390"/>
    <w:rsid w:val="0092581F"/>
    <w:rsid w:val="00926BC4"/>
    <w:rsid w:val="00926C90"/>
    <w:rsid w:val="00926E9E"/>
    <w:rsid w:val="00926FC9"/>
    <w:rsid w:val="0092709F"/>
    <w:rsid w:val="009275F5"/>
    <w:rsid w:val="00930832"/>
    <w:rsid w:val="00930B94"/>
    <w:rsid w:val="00930BC7"/>
    <w:rsid w:val="00930DC0"/>
    <w:rsid w:val="00930E6B"/>
    <w:rsid w:val="0093118E"/>
    <w:rsid w:val="0093121E"/>
    <w:rsid w:val="00931347"/>
    <w:rsid w:val="009313D6"/>
    <w:rsid w:val="009313F2"/>
    <w:rsid w:val="00932070"/>
    <w:rsid w:val="009322AD"/>
    <w:rsid w:val="00932EB6"/>
    <w:rsid w:val="009332A9"/>
    <w:rsid w:val="0093365C"/>
    <w:rsid w:val="00934232"/>
    <w:rsid w:val="009350D0"/>
    <w:rsid w:val="00935500"/>
    <w:rsid w:val="009357CE"/>
    <w:rsid w:val="00935A27"/>
    <w:rsid w:val="00935B3A"/>
    <w:rsid w:val="00935C89"/>
    <w:rsid w:val="00935D86"/>
    <w:rsid w:val="00935FF7"/>
    <w:rsid w:val="009367DB"/>
    <w:rsid w:val="00936BDF"/>
    <w:rsid w:val="00936F9B"/>
    <w:rsid w:val="0093731C"/>
    <w:rsid w:val="00937973"/>
    <w:rsid w:val="00937B35"/>
    <w:rsid w:val="00937D4C"/>
    <w:rsid w:val="00937DF3"/>
    <w:rsid w:val="009403A2"/>
    <w:rsid w:val="00940819"/>
    <w:rsid w:val="00940FAC"/>
    <w:rsid w:val="0094139F"/>
    <w:rsid w:val="0094166C"/>
    <w:rsid w:val="00941F27"/>
    <w:rsid w:val="009424EF"/>
    <w:rsid w:val="009434B1"/>
    <w:rsid w:val="009435A7"/>
    <w:rsid w:val="009443D4"/>
    <w:rsid w:val="00944783"/>
    <w:rsid w:val="00944DEC"/>
    <w:rsid w:val="00945222"/>
    <w:rsid w:val="0094559F"/>
    <w:rsid w:val="009457EA"/>
    <w:rsid w:val="00945CD0"/>
    <w:rsid w:val="00946131"/>
    <w:rsid w:val="00946745"/>
    <w:rsid w:val="00946850"/>
    <w:rsid w:val="00947477"/>
    <w:rsid w:val="009500B5"/>
    <w:rsid w:val="00951879"/>
    <w:rsid w:val="009519FE"/>
    <w:rsid w:val="00951B3F"/>
    <w:rsid w:val="00951BB9"/>
    <w:rsid w:val="00951D3E"/>
    <w:rsid w:val="00951E57"/>
    <w:rsid w:val="00951F33"/>
    <w:rsid w:val="0095219B"/>
    <w:rsid w:val="009523A2"/>
    <w:rsid w:val="0095399C"/>
    <w:rsid w:val="00954501"/>
    <w:rsid w:val="00955384"/>
    <w:rsid w:val="00955B7E"/>
    <w:rsid w:val="00955F5A"/>
    <w:rsid w:val="009565FA"/>
    <w:rsid w:val="0095667E"/>
    <w:rsid w:val="00956950"/>
    <w:rsid w:val="00956B03"/>
    <w:rsid w:val="00956EBE"/>
    <w:rsid w:val="009578BC"/>
    <w:rsid w:val="00957A3E"/>
    <w:rsid w:val="00960203"/>
    <w:rsid w:val="00960539"/>
    <w:rsid w:val="009608C3"/>
    <w:rsid w:val="0096172B"/>
    <w:rsid w:val="0096172D"/>
    <w:rsid w:val="00961F84"/>
    <w:rsid w:val="00962267"/>
    <w:rsid w:val="00962B19"/>
    <w:rsid w:val="00962D62"/>
    <w:rsid w:val="0096306D"/>
    <w:rsid w:val="00963D1B"/>
    <w:rsid w:val="00965884"/>
    <w:rsid w:val="00965ECD"/>
    <w:rsid w:val="009665D0"/>
    <w:rsid w:val="00966D51"/>
    <w:rsid w:val="009679E7"/>
    <w:rsid w:val="00970337"/>
    <w:rsid w:val="009703A8"/>
    <w:rsid w:val="00970D1C"/>
    <w:rsid w:val="00971090"/>
    <w:rsid w:val="0097210C"/>
    <w:rsid w:val="009722BC"/>
    <w:rsid w:val="009724DB"/>
    <w:rsid w:val="00973369"/>
    <w:rsid w:val="00973618"/>
    <w:rsid w:val="0097403D"/>
    <w:rsid w:val="00974B79"/>
    <w:rsid w:val="00974C46"/>
    <w:rsid w:val="00975344"/>
    <w:rsid w:val="009753D1"/>
    <w:rsid w:val="00975889"/>
    <w:rsid w:val="00975DE5"/>
    <w:rsid w:val="009763EE"/>
    <w:rsid w:val="00976978"/>
    <w:rsid w:val="00977D98"/>
    <w:rsid w:val="009800C1"/>
    <w:rsid w:val="0098070C"/>
    <w:rsid w:val="00980CEF"/>
    <w:rsid w:val="009812C1"/>
    <w:rsid w:val="00981DAD"/>
    <w:rsid w:val="0098231A"/>
    <w:rsid w:val="00982AFB"/>
    <w:rsid w:val="00982D83"/>
    <w:rsid w:val="009837C1"/>
    <w:rsid w:val="00984C44"/>
    <w:rsid w:val="00985179"/>
    <w:rsid w:val="009856DF"/>
    <w:rsid w:val="009857CD"/>
    <w:rsid w:val="009858D8"/>
    <w:rsid w:val="00985934"/>
    <w:rsid w:val="00985E3A"/>
    <w:rsid w:val="009864E6"/>
    <w:rsid w:val="0098696D"/>
    <w:rsid w:val="0098753C"/>
    <w:rsid w:val="0098791B"/>
    <w:rsid w:val="009879F9"/>
    <w:rsid w:val="009900AB"/>
    <w:rsid w:val="009906F8"/>
    <w:rsid w:val="00990C32"/>
    <w:rsid w:val="009910C1"/>
    <w:rsid w:val="009910C3"/>
    <w:rsid w:val="00991319"/>
    <w:rsid w:val="009914BC"/>
    <w:rsid w:val="00991B32"/>
    <w:rsid w:val="0099231F"/>
    <w:rsid w:val="009923AE"/>
    <w:rsid w:val="00993648"/>
    <w:rsid w:val="00993858"/>
    <w:rsid w:val="00994AC2"/>
    <w:rsid w:val="00994C23"/>
    <w:rsid w:val="0099524C"/>
    <w:rsid w:val="00997723"/>
    <w:rsid w:val="009A03D3"/>
    <w:rsid w:val="009A0B3E"/>
    <w:rsid w:val="009A1E9F"/>
    <w:rsid w:val="009A211B"/>
    <w:rsid w:val="009A2141"/>
    <w:rsid w:val="009A2A55"/>
    <w:rsid w:val="009A2B87"/>
    <w:rsid w:val="009A363B"/>
    <w:rsid w:val="009A3AF5"/>
    <w:rsid w:val="009A3E03"/>
    <w:rsid w:val="009A46CC"/>
    <w:rsid w:val="009A495A"/>
    <w:rsid w:val="009A49A1"/>
    <w:rsid w:val="009A4B39"/>
    <w:rsid w:val="009A4D5C"/>
    <w:rsid w:val="009A54D4"/>
    <w:rsid w:val="009A5896"/>
    <w:rsid w:val="009A59C7"/>
    <w:rsid w:val="009A5B09"/>
    <w:rsid w:val="009A5B71"/>
    <w:rsid w:val="009A63DE"/>
    <w:rsid w:val="009A6470"/>
    <w:rsid w:val="009A6A9D"/>
    <w:rsid w:val="009A6CBD"/>
    <w:rsid w:val="009A6CD5"/>
    <w:rsid w:val="009A71C9"/>
    <w:rsid w:val="009A742C"/>
    <w:rsid w:val="009B03B5"/>
    <w:rsid w:val="009B1151"/>
    <w:rsid w:val="009B1315"/>
    <w:rsid w:val="009B174B"/>
    <w:rsid w:val="009B289C"/>
    <w:rsid w:val="009B2928"/>
    <w:rsid w:val="009B2EF2"/>
    <w:rsid w:val="009B2FB7"/>
    <w:rsid w:val="009B3283"/>
    <w:rsid w:val="009B3F53"/>
    <w:rsid w:val="009B4426"/>
    <w:rsid w:val="009B460F"/>
    <w:rsid w:val="009B4844"/>
    <w:rsid w:val="009B536B"/>
    <w:rsid w:val="009B55F7"/>
    <w:rsid w:val="009B63E9"/>
    <w:rsid w:val="009B662C"/>
    <w:rsid w:val="009B6910"/>
    <w:rsid w:val="009B6ED1"/>
    <w:rsid w:val="009C1484"/>
    <w:rsid w:val="009C1651"/>
    <w:rsid w:val="009C19C2"/>
    <w:rsid w:val="009C1E03"/>
    <w:rsid w:val="009C21B2"/>
    <w:rsid w:val="009C22E6"/>
    <w:rsid w:val="009C2D39"/>
    <w:rsid w:val="009C3842"/>
    <w:rsid w:val="009C39B9"/>
    <w:rsid w:val="009C4161"/>
    <w:rsid w:val="009C440B"/>
    <w:rsid w:val="009C4683"/>
    <w:rsid w:val="009C5F8D"/>
    <w:rsid w:val="009C7C1D"/>
    <w:rsid w:val="009D06DC"/>
    <w:rsid w:val="009D0C39"/>
    <w:rsid w:val="009D18F6"/>
    <w:rsid w:val="009D1B23"/>
    <w:rsid w:val="009D245A"/>
    <w:rsid w:val="009D2642"/>
    <w:rsid w:val="009D32FB"/>
    <w:rsid w:val="009D3512"/>
    <w:rsid w:val="009D3791"/>
    <w:rsid w:val="009D3CD9"/>
    <w:rsid w:val="009D5149"/>
    <w:rsid w:val="009D519D"/>
    <w:rsid w:val="009D546D"/>
    <w:rsid w:val="009D550D"/>
    <w:rsid w:val="009D6100"/>
    <w:rsid w:val="009D653F"/>
    <w:rsid w:val="009D692F"/>
    <w:rsid w:val="009D695A"/>
    <w:rsid w:val="009D7BCB"/>
    <w:rsid w:val="009D7D3C"/>
    <w:rsid w:val="009E0316"/>
    <w:rsid w:val="009E03D4"/>
    <w:rsid w:val="009E0474"/>
    <w:rsid w:val="009E08D2"/>
    <w:rsid w:val="009E0956"/>
    <w:rsid w:val="009E0D77"/>
    <w:rsid w:val="009E0DB6"/>
    <w:rsid w:val="009E0E2F"/>
    <w:rsid w:val="009E12C9"/>
    <w:rsid w:val="009E159E"/>
    <w:rsid w:val="009E1AF7"/>
    <w:rsid w:val="009E1B33"/>
    <w:rsid w:val="009E278B"/>
    <w:rsid w:val="009E2B81"/>
    <w:rsid w:val="009E2BC1"/>
    <w:rsid w:val="009E39AB"/>
    <w:rsid w:val="009E3F22"/>
    <w:rsid w:val="009E45ED"/>
    <w:rsid w:val="009E46A9"/>
    <w:rsid w:val="009E4A7D"/>
    <w:rsid w:val="009E5BE6"/>
    <w:rsid w:val="009E5DC3"/>
    <w:rsid w:val="009E5E18"/>
    <w:rsid w:val="009E5F82"/>
    <w:rsid w:val="009E6E1B"/>
    <w:rsid w:val="009E7F88"/>
    <w:rsid w:val="009F03BF"/>
    <w:rsid w:val="009F09C4"/>
    <w:rsid w:val="009F1EC6"/>
    <w:rsid w:val="009F25A0"/>
    <w:rsid w:val="009F25CA"/>
    <w:rsid w:val="009F26B0"/>
    <w:rsid w:val="009F34F1"/>
    <w:rsid w:val="009F3703"/>
    <w:rsid w:val="009F3EBE"/>
    <w:rsid w:val="009F3F92"/>
    <w:rsid w:val="009F5446"/>
    <w:rsid w:val="009F5965"/>
    <w:rsid w:val="009F66B2"/>
    <w:rsid w:val="009F699C"/>
    <w:rsid w:val="009F6D04"/>
    <w:rsid w:val="009F6E07"/>
    <w:rsid w:val="00A00181"/>
    <w:rsid w:val="00A00D45"/>
    <w:rsid w:val="00A01502"/>
    <w:rsid w:val="00A01C8F"/>
    <w:rsid w:val="00A01EBF"/>
    <w:rsid w:val="00A01F45"/>
    <w:rsid w:val="00A020F6"/>
    <w:rsid w:val="00A02B3A"/>
    <w:rsid w:val="00A02DAB"/>
    <w:rsid w:val="00A030C5"/>
    <w:rsid w:val="00A038CA"/>
    <w:rsid w:val="00A0396F"/>
    <w:rsid w:val="00A041B0"/>
    <w:rsid w:val="00A04680"/>
    <w:rsid w:val="00A04D45"/>
    <w:rsid w:val="00A05D0C"/>
    <w:rsid w:val="00A05D39"/>
    <w:rsid w:val="00A07040"/>
    <w:rsid w:val="00A07D2E"/>
    <w:rsid w:val="00A10820"/>
    <w:rsid w:val="00A114B6"/>
    <w:rsid w:val="00A11BC1"/>
    <w:rsid w:val="00A122D2"/>
    <w:rsid w:val="00A124C8"/>
    <w:rsid w:val="00A13140"/>
    <w:rsid w:val="00A137D9"/>
    <w:rsid w:val="00A13AA1"/>
    <w:rsid w:val="00A13D90"/>
    <w:rsid w:val="00A141B5"/>
    <w:rsid w:val="00A14462"/>
    <w:rsid w:val="00A14E05"/>
    <w:rsid w:val="00A156D2"/>
    <w:rsid w:val="00A161B2"/>
    <w:rsid w:val="00A161B9"/>
    <w:rsid w:val="00A167EA"/>
    <w:rsid w:val="00A169AB"/>
    <w:rsid w:val="00A16C8D"/>
    <w:rsid w:val="00A16D2F"/>
    <w:rsid w:val="00A21103"/>
    <w:rsid w:val="00A214CC"/>
    <w:rsid w:val="00A21A38"/>
    <w:rsid w:val="00A21EDA"/>
    <w:rsid w:val="00A2231B"/>
    <w:rsid w:val="00A223FD"/>
    <w:rsid w:val="00A226DB"/>
    <w:rsid w:val="00A226F5"/>
    <w:rsid w:val="00A23085"/>
    <w:rsid w:val="00A23181"/>
    <w:rsid w:val="00A239F8"/>
    <w:rsid w:val="00A23F1B"/>
    <w:rsid w:val="00A241B8"/>
    <w:rsid w:val="00A24223"/>
    <w:rsid w:val="00A2482F"/>
    <w:rsid w:val="00A251C8"/>
    <w:rsid w:val="00A252D9"/>
    <w:rsid w:val="00A25CE9"/>
    <w:rsid w:val="00A300BE"/>
    <w:rsid w:val="00A30D39"/>
    <w:rsid w:val="00A30D79"/>
    <w:rsid w:val="00A30F42"/>
    <w:rsid w:val="00A3172F"/>
    <w:rsid w:val="00A31C03"/>
    <w:rsid w:val="00A322E8"/>
    <w:rsid w:val="00A32C81"/>
    <w:rsid w:val="00A34393"/>
    <w:rsid w:val="00A34FFD"/>
    <w:rsid w:val="00A35102"/>
    <w:rsid w:val="00A3641D"/>
    <w:rsid w:val="00A367B7"/>
    <w:rsid w:val="00A36A6B"/>
    <w:rsid w:val="00A36E62"/>
    <w:rsid w:val="00A3788B"/>
    <w:rsid w:val="00A37AD3"/>
    <w:rsid w:val="00A37BFA"/>
    <w:rsid w:val="00A40078"/>
    <w:rsid w:val="00A40B79"/>
    <w:rsid w:val="00A40F8D"/>
    <w:rsid w:val="00A41045"/>
    <w:rsid w:val="00A4157F"/>
    <w:rsid w:val="00A41814"/>
    <w:rsid w:val="00A430F0"/>
    <w:rsid w:val="00A43683"/>
    <w:rsid w:val="00A43B9F"/>
    <w:rsid w:val="00A43D80"/>
    <w:rsid w:val="00A43ED5"/>
    <w:rsid w:val="00A4418B"/>
    <w:rsid w:val="00A44581"/>
    <w:rsid w:val="00A4471C"/>
    <w:rsid w:val="00A44B38"/>
    <w:rsid w:val="00A453AD"/>
    <w:rsid w:val="00A456D9"/>
    <w:rsid w:val="00A46CF7"/>
    <w:rsid w:val="00A4728D"/>
    <w:rsid w:val="00A47695"/>
    <w:rsid w:val="00A501D3"/>
    <w:rsid w:val="00A502FF"/>
    <w:rsid w:val="00A50497"/>
    <w:rsid w:val="00A508B3"/>
    <w:rsid w:val="00A50A98"/>
    <w:rsid w:val="00A50AFC"/>
    <w:rsid w:val="00A50C6C"/>
    <w:rsid w:val="00A50F16"/>
    <w:rsid w:val="00A51570"/>
    <w:rsid w:val="00A51835"/>
    <w:rsid w:val="00A51AA1"/>
    <w:rsid w:val="00A51C6F"/>
    <w:rsid w:val="00A51FCE"/>
    <w:rsid w:val="00A523F6"/>
    <w:rsid w:val="00A52772"/>
    <w:rsid w:val="00A52844"/>
    <w:rsid w:val="00A52B39"/>
    <w:rsid w:val="00A52B57"/>
    <w:rsid w:val="00A539AB"/>
    <w:rsid w:val="00A53EDD"/>
    <w:rsid w:val="00A53F3C"/>
    <w:rsid w:val="00A54244"/>
    <w:rsid w:val="00A554EE"/>
    <w:rsid w:val="00A55507"/>
    <w:rsid w:val="00A5557B"/>
    <w:rsid w:val="00A5595C"/>
    <w:rsid w:val="00A55D29"/>
    <w:rsid w:val="00A55E83"/>
    <w:rsid w:val="00A56731"/>
    <w:rsid w:val="00A571BC"/>
    <w:rsid w:val="00A57399"/>
    <w:rsid w:val="00A57415"/>
    <w:rsid w:val="00A57563"/>
    <w:rsid w:val="00A5779F"/>
    <w:rsid w:val="00A5780F"/>
    <w:rsid w:val="00A57914"/>
    <w:rsid w:val="00A579EF"/>
    <w:rsid w:val="00A57E07"/>
    <w:rsid w:val="00A608B6"/>
    <w:rsid w:val="00A60956"/>
    <w:rsid w:val="00A60E86"/>
    <w:rsid w:val="00A61221"/>
    <w:rsid w:val="00A626E9"/>
    <w:rsid w:val="00A63121"/>
    <w:rsid w:val="00A632BD"/>
    <w:rsid w:val="00A6377A"/>
    <w:rsid w:val="00A641A4"/>
    <w:rsid w:val="00A64B58"/>
    <w:rsid w:val="00A65879"/>
    <w:rsid w:val="00A65890"/>
    <w:rsid w:val="00A6675C"/>
    <w:rsid w:val="00A66AED"/>
    <w:rsid w:val="00A66C00"/>
    <w:rsid w:val="00A67811"/>
    <w:rsid w:val="00A67ABB"/>
    <w:rsid w:val="00A67FD7"/>
    <w:rsid w:val="00A7188A"/>
    <w:rsid w:val="00A718A6"/>
    <w:rsid w:val="00A72430"/>
    <w:rsid w:val="00A7286F"/>
    <w:rsid w:val="00A72CFB"/>
    <w:rsid w:val="00A73573"/>
    <w:rsid w:val="00A736CA"/>
    <w:rsid w:val="00A746A4"/>
    <w:rsid w:val="00A7575E"/>
    <w:rsid w:val="00A75833"/>
    <w:rsid w:val="00A75B2C"/>
    <w:rsid w:val="00A76AC1"/>
    <w:rsid w:val="00A76D9A"/>
    <w:rsid w:val="00A76F0F"/>
    <w:rsid w:val="00A7747F"/>
    <w:rsid w:val="00A7755C"/>
    <w:rsid w:val="00A77620"/>
    <w:rsid w:val="00A80C11"/>
    <w:rsid w:val="00A81B9A"/>
    <w:rsid w:val="00A82421"/>
    <w:rsid w:val="00A8278B"/>
    <w:rsid w:val="00A8291D"/>
    <w:rsid w:val="00A82C8A"/>
    <w:rsid w:val="00A82D28"/>
    <w:rsid w:val="00A8325A"/>
    <w:rsid w:val="00A83449"/>
    <w:rsid w:val="00A83855"/>
    <w:rsid w:val="00A83938"/>
    <w:rsid w:val="00A8403E"/>
    <w:rsid w:val="00A84875"/>
    <w:rsid w:val="00A84E19"/>
    <w:rsid w:val="00A85E7F"/>
    <w:rsid w:val="00A86061"/>
    <w:rsid w:val="00A8611A"/>
    <w:rsid w:val="00A866C8"/>
    <w:rsid w:val="00A86AA3"/>
    <w:rsid w:val="00A86BB6"/>
    <w:rsid w:val="00A86EB3"/>
    <w:rsid w:val="00A870A1"/>
    <w:rsid w:val="00A8747B"/>
    <w:rsid w:val="00A87F46"/>
    <w:rsid w:val="00A901EF"/>
    <w:rsid w:val="00A90200"/>
    <w:rsid w:val="00A90544"/>
    <w:rsid w:val="00A91BA1"/>
    <w:rsid w:val="00A91DCB"/>
    <w:rsid w:val="00A91EA3"/>
    <w:rsid w:val="00A9228E"/>
    <w:rsid w:val="00A924A0"/>
    <w:rsid w:val="00A92F6B"/>
    <w:rsid w:val="00A9318E"/>
    <w:rsid w:val="00A932D4"/>
    <w:rsid w:val="00A938DF"/>
    <w:rsid w:val="00A93F5D"/>
    <w:rsid w:val="00A94B68"/>
    <w:rsid w:val="00A94FB3"/>
    <w:rsid w:val="00A95121"/>
    <w:rsid w:val="00A95F0D"/>
    <w:rsid w:val="00A9618D"/>
    <w:rsid w:val="00A963DA"/>
    <w:rsid w:val="00A970A8"/>
    <w:rsid w:val="00A97AD1"/>
    <w:rsid w:val="00AA00EC"/>
    <w:rsid w:val="00AA196D"/>
    <w:rsid w:val="00AA2124"/>
    <w:rsid w:val="00AA2AC2"/>
    <w:rsid w:val="00AA2AE9"/>
    <w:rsid w:val="00AA345D"/>
    <w:rsid w:val="00AA352D"/>
    <w:rsid w:val="00AA430C"/>
    <w:rsid w:val="00AA45C6"/>
    <w:rsid w:val="00AA4B6B"/>
    <w:rsid w:val="00AA4BA9"/>
    <w:rsid w:val="00AA4DBA"/>
    <w:rsid w:val="00AA5099"/>
    <w:rsid w:val="00AA5887"/>
    <w:rsid w:val="00AA65B1"/>
    <w:rsid w:val="00AA6705"/>
    <w:rsid w:val="00AA7797"/>
    <w:rsid w:val="00AA7878"/>
    <w:rsid w:val="00AA7993"/>
    <w:rsid w:val="00AB0220"/>
    <w:rsid w:val="00AB07DA"/>
    <w:rsid w:val="00AB12F1"/>
    <w:rsid w:val="00AB15AF"/>
    <w:rsid w:val="00AB169D"/>
    <w:rsid w:val="00AB17A1"/>
    <w:rsid w:val="00AB2060"/>
    <w:rsid w:val="00AB2B4A"/>
    <w:rsid w:val="00AB30EE"/>
    <w:rsid w:val="00AB3289"/>
    <w:rsid w:val="00AB3B75"/>
    <w:rsid w:val="00AB3D8B"/>
    <w:rsid w:val="00AB4FE4"/>
    <w:rsid w:val="00AB51A0"/>
    <w:rsid w:val="00AB542E"/>
    <w:rsid w:val="00AB5B18"/>
    <w:rsid w:val="00AB6080"/>
    <w:rsid w:val="00AB60B7"/>
    <w:rsid w:val="00AB68EB"/>
    <w:rsid w:val="00AB6F1B"/>
    <w:rsid w:val="00AB7083"/>
    <w:rsid w:val="00AC00A2"/>
    <w:rsid w:val="00AC0ECC"/>
    <w:rsid w:val="00AC12FB"/>
    <w:rsid w:val="00AC204A"/>
    <w:rsid w:val="00AC2742"/>
    <w:rsid w:val="00AC2CD0"/>
    <w:rsid w:val="00AC319B"/>
    <w:rsid w:val="00AC3758"/>
    <w:rsid w:val="00AC3D25"/>
    <w:rsid w:val="00AC4102"/>
    <w:rsid w:val="00AC4118"/>
    <w:rsid w:val="00AC427F"/>
    <w:rsid w:val="00AC43FD"/>
    <w:rsid w:val="00AC4608"/>
    <w:rsid w:val="00AC4838"/>
    <w:rsid w:val="00AC497E"/>
    <w:rsid w:val="00AC4D2F"/>
    <w:rsid w:val="00AC4ED9"/>
    <w:rsid w:val="00AC5823"/>
    <w:rsid w:val="00AC5FD7"/>
    <w:rsid w:val="00AC6B80"/>
    <w:rsid w:val="00AC6CEB"/>
    <w:rsid w:val="00AD0453"/>
    <w:rsid w:val="00AD0919"/>
    <w:rsid w:val="00AD1F35"/>
    <w:rsid w:val="00AD225C"/>
    <w:rsid w:val="00AD238F"/>
    <w:rsid w:val="00AD248A"/>
    <w:rsid w:val="00AD27B4"/>
    <w:rsid w:val="00AD28D3"/>
    <w:rsid w:val="00AD2E96"/>
    <w:rsid w:val="00AD3556"/>
    <w:rsid w:val="00AD35DF"/>
    <w:rsid w:val="00AD3BB8"/>
    <w:rsid w:val="00AD4D64"/>
    <w:rsid w:val="00AD4E5E"/>
    <w:rsid w:val="00AD61DD"/>
    <w:rsid w:val="00AD68A4"/>
    <w:rsid w:val="00AD6988"/>
    <w:rsid w:val="00AD733D"/>
    <w:rsid w:val="00AD7794"/>
    <w:rsid w:val="00AD78C4"/>
    <w:rsid w:val="00AD7A58"/>
    <w:rsid w:val="00AE0828"/>
    <w:rsid w:val="00AE0DD5"/>
    <w:rsid w:val="00AE10B8"/>
    <w:rsid w:val="00AE18D7"/>
    <w:rsid w:val="00AE1C4B"/>
    <w:rsid w:val="00AE237A"/>
    <w:rsid w:val="00AE26AD"/>
    <w:rsid w:val="00AE2D11"/>
    <w:rsid w:val="00AE3B0E"/>
    <w:rsid w:val="00AE3B66"/>
    <w:rsid w:val="00AE3FF1"/>
    <w:rsid w:val="00AE4BAB"/>
    <w:rsid w:val="00AE4E9F"/>
    <w:rsid w:val="00AE4EF2"/>
    <w:rsid w:val="00AE539E"/>
    <w:rsid w:val="00AE5462"/>
    <w:rsid w:val="00AE55E5"/>
    <w:rsid w:val="00AE5861"/>
    <w:rsid w:val="00AE5C0B"/>
    <w:rsid w:val="00AE5F22"/>
    <w:rsid w:val="00AE63BC"/>
    <w:rsid w:val="00AE66D8"/>
    <w:rsid w:val="00AE67E4"/>
    <w:rsid w:val="00AE6E16"/>
    <w:rsid w:val="00AE6F58"/>
    <w:rsid w:val="00AE7374"/>
    <w:rsid w:val="00AE79B3"/>
    <w:rsid w:val="00AE7A3A"/>
    <w:rsid w:val="00AF078C"/>
    <w:rsid w:val="00AF0974"/>
    <w:rsid w:val="00AF0F61"/>
    <w:rsid w:val="00AF1395"/>
    <w:rsid w:val="00AF1879"/>
    <w:rsid w:val="00AF18E1"/>
    <w:rsid w:val="00AF1A4F"/>
    <w:rsid w:val="00AF1F3B"/>
    <w:rsid w:val="00AF2470"/>
    <w:rsid w:val="00AF30E3"/>
    <w:rsid w:val="00AF310C"/>
    <w:rsid w:val="00AF3382"/>
    <w:rsid w:val="00AF3551"/>
    <w:rsid w:val="00AF3620"/>
    <w:rsid w:val="00AF41C0"/>
    <w:rsid w:val="00AF4D80"/>
    <w:rsid w:val="00AF4E52"/>
    <w:rsid w:val="00AF505B"/>
    <w:rsid w:val="00AF54D8"/>
    <w:rsid w:val="00AF7BCF"/>
    <w:rsid w:val="00AF7F99"/>
    <w:rsid w:val="00B009E2"/>
    <w:rsid w:val="00B00E9E"/>
    <w:rsid w:val="00B0192E"/>
    <w:rsid w:val="00B020A4"/>
    <w:rsid w:val="00B023F6"/>
    <w:rsid w:val="00B03DE3"/>
    <w:rsid w:val="00B044CF"/>
    <w:rsid w:val="00B0494A"/>
    <w:rsid w:val="00B0550A"/>
    <w:rsid w:val="00B05566"/>
    <w:rsid w:val="00B05B42"/>
    <w:rsid w:val="00B05CAF"/>
    <w:rsid w:val="00B05E7E"/>
    <w:rsid w:val="00B06470"/>
    <w:rsid w:val="00B06D22"/>
    <w:rsid w:val="00B100E5"/>
    <w:rsid w:val="00B102D1"/>
    <w:rsid w:val="00B103AE"/>
    <w:rsid w:val="00B11F3E"/>
    <w:rsid w:val="00B122AC"/>
    <w:rsid w:val="00B12329"/>
    <w:rsid w:val="00B12413"/>
    <w:rsid w:val="00B12532"/>
    <w:rsid w:val="00B12D7F"/>
    <w:rsid w:val="00B12F2C"/>
    <w:rsid w:val="00B1318F"/>
    <w:rsid w:val="00B13238"/>
    <w:rsid w:val="00B1336A"/>
    <w:rsid w:val="00B13A00"/>
    <w:rsid w:val="00B145F5"/>
    <w:rsid w:val="00B152B4"/>
    <w:rsid w:val="00B15675"/>
    <w:rsid w:val="00B15A5A"/>
    <w:rsid w:val="00B16191"/>
    <w:rsid w:val="00B17478"/>
    <w:rsid w:val="00B176D8"/>
    <w:rsid w:val="00B1774F"/>
    <w:rsid w:val="00B17E6A"/>
    <w:rsid w:val="00B17EE5"/>
    <w:rsid w:val="00B20318"/>
    <w:rsid w:val="00B207C3"/>
    <w:rsid w:val="00B208EF"/>
    <w:rsid w:val="00B2133A"/>
    <w:rsid w:val="00B2194B"/>
    <w:rsid w:val="00B2299F"/>
    <w:rsid w:val="00B22BB0"/>
    <w:rsid w:val="00B22D08"/>
    <w:rsid w:val="00B23228"/>
    <w:rsid w:val="00B23A72"/>
    <w:rsid w:val="00B2477B"/>
    <w:rsid w:val="00B24CCC"/>
    <w:rsid w:val="00B24D68"/>
    <w:rsid w:val="00B24D95"/>
    <w:rsid w:val="00B24F9F"/>
    <w:rsid w:val="00B259EE"/>
    <w:rsid w:val="00B26044"/>
    <w:rsid w:val="00B264CE"/>
    <w:rsid w:val="00B267FA"/>
    <w:rsid w:val="00B26E4D"/>
    <w:rsid w:val="00B30517"/>
    <w:rsid w:val="00B306C7"/>
    <w:rsid w:val="00B30B52"/>
    <w:rsid w:val="00B330B3"/>
    <w:rsid w:val="00B33623"/>
    <w:rsid w:val="00B33F73"/>
    <w:rsid w:val="00B34115"/>
    <w:rsid w:val="00B34116"/>
    <w:rsid w:val="00B344A8"/>
    <w:rsid w:val="00B344DE"/>
    <w:rsid w:val="00B34B7B"/>
    <w:rsid w:val="00B352EF"/>
    <w:rsid w:val="00B3599D"/>
    <w:rsid w:val="00B35A03"/>
    <w:rsid w:val="00B36A18"/>
    <w:rsid w:val="00B374C4"/>
    <w:rsid w:val="00B377D2"/>
    <w:rsid w:val="00B37B1B"/>
    <w:rsid w:val="00B40ABB"/>
    <w:rsid w:val="00B40E85"/>
    <w:rsid w:val="00B40FEA"/>
    <w:rsid w:val="00B415EB"/>
    <w:rsid w:val="00B42A27"/>
    <w:rsid w:val="00B42AAA"/>
    <w:rsid w:val="00B43427"/>
    <w:rsid w:val="00B436F6"/>
    <w:rsid w:val="00B4370E"/>
    <w:rsid w:val="00B43736"/>
    <w:rsid w:val="00B43921"/>
    <w:rsid w:val="00B443F7"/>
    <w:rsid w:val="00B44918"/>
    <w:rsid w:val="00B44EBF"/>
    <w:rsid w:val="00B465EB"/>
    <w:rsid w:val="00B47E0C"/>
    <w:rsid w:val="00B5022F"/>
    <w:rsid w:val="00B50473"/>
    <w:rsid w:val="00B50578"/>
    <w:rsid w:val="00B507DB"/>
    <w:rsid w:val="00B508D4"/>
    <w:rsid w:val="00B50ECE"/>
    <w:rsid w:val="00B5122A"/>
    <w:rsid w:val="00B5199E"/>
    <w:rsid w:val="00B51C27"/>
    <w:rsid w:val="00B51CFD"/>
    <w:rsid w:val="00B53664"/>
    <w:rsid w:val="00B53CB8"/>
    <w:rsid w:val="00B5427F"/>
    <w:rsid w:val="00B55380"/>
    <w:rsid w:val="00B56705"/>
    <w:rsid w:val="00B60061"/>
    <w:rsid w:val="00B61256"/>
    <w:rsid w:val="00B6149B"/>
    <w:rsid w:val="00B617A2"/>
    <w:rsid w:val="00B622A1"/>
    <w:rsid w:val="00B62A1C"/>
    <w:rsid w:val="00B62DDC"/>
    <w:rsid w:val="00B63528"/>
    <w:rsid w:val="00B63BC9"/>
    <w:rsid w:val="00B640BA"/>
    <w:rsid w:val="00B6425A"/>
    <w:rsid w:val="00B650A1"/>
    <w:rsid w:val="00B65592"/>
    <w:rsid w:val="00B665E1"/>
    <w:rsid w:val="00B6699C"/>
    <w:rsid w:val="00B66A16"/>
    <w:rsid w:val="00B66AEF"/>
    <w:rsid w:val="00B6747E"/>
    <w:rsid w:val="00B7015A"/>
    <w:rsid w:val="00B707C5"/>
    <w:rsid w:val="00B70E29"/>
    <w:rsid w:val="00B713D3"/>
    <w:rsid w:val="00B71C4C"/>
    <w:rsid w:val="00B71EE7"/>
    <w:rsid w:val="00B729B0"/>
    <w:rsid w:val="00B731FC"/>
    <w:rsid w:val="00B73781"/>
    <w:rsid w:val="00B74435"/>
    <w:rsid w:val="00B74BEF"/>
    <w:rsid w:val="00B74F48"/>
    <w:rsid w:val="00B75DC3"/>
    <w:rsid w:val="00B75E8A"/>
    <w:rsid w:val="00B75F52"/>
    <w:rsid w:val="00B760D0"/>
    <w:rsid w:val="00B76393"/>
    <w:rsid w:val="00B7693C"/>
    <w:rsid w:val="00B76B0C"/>
    <w:rsid w:val="00B7772C"/>
    <w:rsid w:val="00B777C5"/>
    <w:rsid w:val="00B77AA8"/>
    <w:rsid w:val="00B80453"/>
    <w:rsid w:val="00B807F5"/>
    <w:rsid w:val="00B80C7F"/>
    <w:rsid w:val="00B81895"/>
    <w:rsid w:val="00B818E1"/>
    <w:rsid w:val="00B81CF3"/>
    <w:rsid w:val="00B82A86"/>
    <w:rsid w:val="00B8355D"/>
    <w:rsid w:val="00B83E91"/>
    <w:rsid w:val="00B84061"/>
    <w:rsid w:val="00B84101"/>
    <w:rsid w:val="00B844A7"/>
    <w:rsid w:val="00B8453A"/>
    <w:rsid w:val="00B84A8D"/>
    <w:rsid w:val="00B84C54"/>
    <w:rsid w:val="00B85DB5"/>
    <w:rsid w:val="00B86022"/>
    <w:rsid w:val="00B8602D"/>
    <w:rsid w:val="00B86394"/>
    <w:rsid w:val="00B86BFF"/>
    <w:rsid w:val="00B87078"/>
    <w:rsid w:val="00B875CE"/>
    <w:rsid w:val="00B87F24"/>
    <w:rsid w:val="00B9040C"/>
    <w:rsid w:val="00B9057D"/>
    <w:rsid w:val="00B90A47"/>
    <w:rsid w:val="00B92373"/>
    <w:rsid w:val="00B92524"/>
    <w:rsid w:val="00B925E4"/>
    <w:rsid w:val="00B92624"/>
    <w:rsid w:val="00B927E8"/>
    <w:rsid w:val="00B92F19"/>
    <w:rsid w:val="00B934DC"/>
    <w:rsid w:val="00B935A3"/>
    <w:rsid w:val="00B94395"/>
    <w:rsid w:val="00B94AD3"/>
    <w:rsid w:val="00B953A0"/>
    <w:rsid w:val="00B955A6"/>
    <w:rsid w:val="00B9573E"/>
    <w:rsid w:val="00B959DA"/>
    <w:rsid w:val="00B96193"/>
    <w:rsid w:val="00B96297"/>
    <w:rsid w:val="00B963EB"/>
    <w:rsid w:val="00B964D6"/>
    <w:rsid w:val="00B96936"/>
    <w:rsid w:val="00B97E30"/>
    <w:rsid w:val="00BA0652"/>
    <w:rsid w:val="00BA0D9C"/>
    <w:rsid w:val="00BA1386"/>
    <w:rsid w:val="00BA1441"/>
    <w:rsid w:val="00BA2B81"/>
    <w:rsid w:val="00BA2CF6"/>
    <w:rsid w:val="00BA3173"/>
    <w:rsid w:val="00BA4749"/>
    <w:rsid w:val="00BA56D7"/>
    <w:rsid w:val="00BA678B"/>
    <w:rsid w:val="00BA73FC"/>
    <w:rsid w:val="00BA74AC"/>
    <w:rsid w:val="00BA793E"/>
    <w:rsid w:val="00BB1180"/>
    <w:rsid w:val="00BB1344"/>
    <w:rsid w:val="00BB14EF"/>
    <w:rsid w:val="00BB1894"/>
    <w:rsid w:val="00BB1B91"/>
    <w:rsid w:val="00BB2278"/>
    <w:rsid w:val="00BB2C61"/>
    <w:rsid w:val="00BB2C88"/>
    <w:rsid w:val="00BB2FBD"/>
    <w:rsid w:val="00BB325D"/>
    <w:rsid w:val="00BB35DA"/>
    <w:rsid w:val="00BB3DB7"/>
    <w:rsid w:val="00BB4DA0"/>
    <w:rsid w:val="00BB5519"/>
    <w:rsid w:val="00BB6256"/>
    <w:rsid w:val="00BB66EF"/>
    <w:rsid w:val="00BC03F8"/>
    <w:rsid w:val="00BC249D"/>
    <w:rsid w:val="00BC2FD1"/>
    <w:rsid w:val="00BC3C63"/>
    <w:rsid w:val="00BC4046"/>
    <w:rsid w:val="00BC4A16"/>
    <w:rsid w:val="00BC5B33"/>
    <w:rsid w:val="00BC66E4"/>
    <w:rsid w:val="00BC6A73"/>
    <w:rsid w:val="00BC715F"/>
    <w:rsid w:val="00BC75E6"/>
    <w:rsid w:val="00BC78DA"/>
    <w:rsid w:val="00BC7F02"/>
    <w:rsid w:val="00BD0289"/>
    <w:rsid w:val="00BD0508"/>
    <w:rsid w:val="00BD0AD6"/>
    <w:rsid w:val="00BD0F4A"/>
    <w:rsid w:val="00BD100C"/>
    <w:rsid w:val="00BD16A2"/>
    <w:rsid w:val="00BD2252"/>
    <w:rsid w:val="00BD2C05"/>
    <w:rsid w:val="00BD2C06"/>
    <w:rsid w:val="00BD2FD0"/>
    <w:rsid w:val="00BD3717"/>
    <w:rsid w:val="00BD3DDD"/>
    <w:rsid w:val="00BD45F6"/>
    <w:rsid w:val="00BD4AE2"/>
    <w:rsid w:val="00BD4ECB"/>
    <w:rsid w:val="00BD57F7"/>
    <w:rsid w:val="00BD5C8B"/>
    <w:rsid w:val="00BD60CB"/>
    <w:rsid w:val="00BD66BF"/>
    <w:rsid w:val="00BD6A87"/>
    <w:rsid w:val="00BD6C7B"/>
    <w:rsid w:val="00BD747E"/>
    <w:rsid w:val="00BD7995"/>
    <w:rsid w:val="00BE0314"/>
    <w:rsid w:val="00BE1894"/>
    <w:rsid w:val="00BE18BE"/>
    <w:rsid w:val="00BE2074"/>
    <w:rsid w:val="00BE33A1"/>
    <w:rsid w:val="00BE347D"/>
    <w:rsid w:val="00BE3B5E"/>
    <w:rsid w:val="00BE3C7A"/>
    <w:rsid w:val="00BE4688"/>
    <w:rsid w:val="00BE4C60"/>
    <w:rsid w:val="00BE52E3"/>
    <w:rsid w:val="00BE5A41"/>
    <w:rsid w:val="00BE656A"/>
    <w:rsid w:val="00BE6A64"/>
    <w:rsid w:val="00BE700C"/>
    <w:rsid w:val="00BE7510"/>
    <w:rsid w:val="00BE7681"/>
    <w:rsid w:val="00BE7791"/>
    <w:rsid w:val="00BF0292"/>
    <w:rsid w:val="00BF1691"/>
    <w:rsid w:val="00BF178A"/>
    <w:rsid w:val="00BF1AEA"/>
    <w:rsid w:val="00BF2528"/>
    <w:rsid w:val="00BF2F7D"/>
    <w:rsid w:val="00BF3281"/>
    <w:rsid w:val="00BF3A68"/>
    <w:rsid w:val="00BF3AAF"/>
    <w:rsid w:val="00BF408D"/>
    <w:rsid w:val="00BF4964"/>
    <w:rsid w:val="00BF570B"/>
    <w:rsid w:val="00BF5BAA"/>
    <w:rsid w:val="00BF674D"/>
    <w:rsid w:val="00BF69A7"/>
    <w:rsid w:val="00BF7D6F"/>
    <w:rsid w:val="00C010E7"/>
    <w:rsid w:val="00C01C9E"/>
    <w:rsid w:val="00C01DE9"/>
    <w:rsid w:val="00C0275B"/>
    <w:rsid w:val="00C03209"/>
    <w:rsid w:val="00C039F0"/>
    <w:rsid w:val="00C03CA7"/>
    <w:rsid w:val="00C03CDD"/>
    <w:rsid w:val="00C049C0"/>
    <w:rsid w:val="00C04F93"/>
    <w:rsid w:val="00C05FD0"/>
    <w:rsid w:val="00C06926"/>
    <w:rsid w:val="00C07136"/>
    <w:rsid w:val="00C07425"/>
    <w:rsid w:val="00C07AA3"/>
    <w:rsid w:val="00C07CA8"/>
    <w:rsid w:val="00C07E57"/>
    <w:rsid w:val="00C10C03"/>
    <w:rsid w:val="00C11615"/>
    <w:rsid w:val="00C11C5A"/>
    <w:rsid w:val="00C11EA3"/>
    <w:rsid w:val="00C1214F"/>
    <w:rsid w:val="00C12237"/>
    <w:rsid w:val="00C128E5"/>
    <w:rsid w:val="00C12B64"/>
    <w:rsid w:val="00C133A8"/>
    <w:rsid w:val="00C1341E"/>
    <w:rsid w:val="00C1390F"/>
    <w:rsid w:val="00C1427D"/>
    <w:rsid w:val="00C1465C"/>
    <w:rsid w:val="00C1489D"/>
    <w:rsid w:val="00C14B3A"/>
    <w:rsid w:val="00C1559D"/>
    <w:rsid w:val="00C15874"/>
    <w:rsid w:val="00C15DCD"/>
    <w:rsid w:val="00C16061"/>
    <w:rsid w:val="00C165A3"/>
    <w:rsid w:val="00C17853"/>
    <w:rsid w:val="00C17E46"/>
    <w:rsid w:val="00C201B9"/>
    <w:rsid w:val="00C213EC"/>
    <w:rsid w:val="00C21C70"/>
    <w:rsid w:val="00C21D8B"/>
    <w:rsid w:val="00C22655"/>
    <w:rsid w:val="00C2279B"/>
    <w:rsid w:val="00C227D5"/>
    <w:rsid w:val="00C22A17"/>
    <w:rsid w:val="00C22B25"/>
    <w:rsid w:val="00C22C79"/>
    <w:rsid w:val="00C22FC5"/>
    <w:rsid w:val="00C2352E"/>
    <w:rsid w:val="00C23BF0"/>
    <w:rsid w:val="00C250CD"/>
    <w:rsid w:val="00C25374"/>
    <w:rsid w:val="00C25AD0"/>
    <w:rsid w:val="00C26032"/>
    <w:rsid w:val="00C27077"/>
    <w:rsid w:val="00C27205"/>
    <w:rsid w:val="00C2736C"/>
    <w:rsid w:val="00C278FC"/>
    <w:rsid w:val="00C27F67"/>
    <w:rsid w:val="00C305D2"/>
    <w:rsid w:val="00C3062E"/>
    <w:rsid w:val="00C30667"/>
    <w:rsid w:val="00C31C2D"/>
    <w:rsid w:val="00C325E2"/>
    <w:rsid w:val="00C33022"/>
    <w:rsid w:val="00C33328"/>
    <w:rsid w:val="00C33336"/>
    <w:rsid w:val="00C3344E"/>
    <w:rsid w:val="00C334CB"/>
    <w:rsid w:val="00C33B6C"/>
    <w:rsid w:val="00C33D0D"/>
    <w:rsid w:val="00C34C95"/>
    <w:rsid w:val="00C352EB"/>
    <w:rsid w:val="00C35799"/>
    <w:rsid w:val="00C35F2A"/>
    <w:rsid w:val="00C360EB"/>
    <w:rsid w:val="00C364D2"/>
    <w:rsid w:val="00C36A87"/>
    <w:rsid w:val="00C36D3C"/>
    <w:rsid w:val="00C376CD"/>
    <w:rsid w:val="00C378A1"/>
    <w:rsid w:val="00C37909"/>
    <w:rsid w:val="00C37CBA"/>
    <w:rsid w:val="00C4011A"/>
    <w:rsid w:val="00C42369"/>
    <w:rsid w:val="00C44079"/>
    <w:rsid w:val="00C4472D"/>
    <w:rsid w:val="00C44BF8"/>
    <w:rsid w:val="00C4507B"/>
    <w:rsid w:val="00C45280"/>
    <w:rsid w:val="00C457E1"/>
    <w:rsid w:val="00C45A1C"/>
    <w:rsid w:val="00C4752E"/>
    <w:rsid w:val="00C47A15"/>
    <w:rsid w:val="00C506BE"/>
    <w:rsid w:val="00C51C75"/>
    <w:rsid w:val="00C51EBE"/>
    <w:rsid w:val="00C520D8"/>
    <w:rsid w:val="00C521DD"/>
    <w:rsid w:val="00C525A9"/>
    <w:rsid w:val="00C52BA8"/>
    <w:rsid w:val="00C52D72"/>
    <w:rsid w:val="00C54171"/>
    <w:rsid w:val="00C545FA"/>
    <w:rsid w:val="00C551D1"/>
    <w:rsid w:val="00C559F8"/>
    <w:rsid w:val="00C55BB6"/>
    <w:rsid w:val="00C56958"/>
    <w:rsid w:val="00C56AFE"/>
    <w:rsid w:val="00C56D2F"/>
    <w:rsid w:val="00C60023"/>
    <w:rsid w:val="00C608D8"/>
    <w:rsid w:val="00C60D34"/>
    <w:rsid w:val="00C60E51"/>
    <w:rsid w:val="00C610AE"/>
    <w:rsid w:val="00C61589"/>
    <w:rsid w:val="00C6194B"/>
    <w:rsid w:val="00C61957"/>
    <w:rsid w:val="00C626E4"/>
    <w:rsid w:val="00C62A19"/>
    <w:rsid w:val="00C62B28"/>
    <w:rsid w:val="00C630D0"/>
    <w:rsid w:val="00C63B8E"/>
    <w:rsid w:val="00C64BD8"/>
    <w:rsid w:val="00C64CA9"/>
    <w:rsid w:val="00C650CF"/>
    <w:rsid w:val="00C65182"/>
    <w:rsid w:val="00C652F8"/>
    <w:rsid w:val="00C65B72"/>
    <w:rsid w:val="00C65BBF"/>
    <w:rsid w:val="00C676ED"/>
    <w:rsid w:val="00C67FF2"/>
    <w:rsid w:val="00C70D99"/>
    <w:rsid w:val="00C71014"/>
    <w:rsid w:val="00C7112A"/>
    <w:rsid w:val="00C71D15"/>
    <w:rsid w:val="00C72189"/>
    <w:rsid w:val="00C7266E"/>
    <w:rsid w:val="00C72882"/>
    <w:rsid w:val="00C72920"/>
    <w:rsid w:val="00C729B3"/>
    <w:rsid w:val="00C72BC4"/>
    <w:rsid w:val="00C73717"/>
    <w:rsid w:val="00C7377A"/>
    <w:rsid w:val="00C73CAA"/>
    <w:rsid w:val="00C73EDB"/>
    <w:rsid w:val="00C73F7F"/>
    <w:rsid w:val="00C73FAA"/>
    <w:rsid w:val="00C74775"/>
    <w:rsid w:val="00C74B88"/>
    <w:rsid w:val="00C76143"/>
    <w:rsid w:val="00C76237"/>
    <w:rsid w:val="00C763CC"/>
    <w:rsid w:val="00C76742"/>
    <w:rsid w:val="00C769BD"/>
    <w:rsid w:val="00C769E7"/>
    <w:rsid w:val="00C76A39"/>
    <w:rsid w:val="00C77339"/>
    <w:rsid w:val="00C77857"/>
    <w:rsid w:val="00C778DD"/>
    <w:rsid w:val="00C77A17"/>
    <w:rsid w:val="00C77FA7"/>
    <w:rsid w:val="00C8022B"/>
    <w:rsid w:val="00C80319"/>
    <w:rsid w:val="00C82D6C"/>
    <w:rsid w:val="00C82FC3"/>
    <w:rsid w:val="00C83098"/>
    <w:rsid w:val="00C83489"/>
    <w:rsid w:val="00C838E9"/>
    <w:rsid w:val="00C839D4"/>
    <w:rsid w:val="00C84049"/>
    <w:rsid w:val="00C84721"/>
    <w:rsid w:val="00C84D03"/>
    <w:rsid w:val="00C8508F"/>
    <w:rsid w:val="00C85B2B"/>
    <w:rsid w:val="00C85F3A"/>
    <w:rsid w:val="00C86A8E"/>
    <w:rsid w:val="00C86E27"/>
    <w:rsid w:val="00C8703E"/>
    <w:rsid w:val="00C874A2"/>
    <w:rsid w:val="00C874C8"/>
    <w:rsid w:val="00C87655"/>
    <w:rsid w:val="00C87CB7"/>
    <w:rsid w:val="00C87FB8"/>
    <w:rsid w:val="00C90A39"/>
    <w:rsid w:val="00C90EC1"/>
    <w:rsid w:val="00C918DE"/>
    <w:rsid w:val="00C91981"/>
    <w:rsid w:val="00C91A48"/>
    <w:rsid w:val="00C91BE5"/>
    <w:rsid w:val="00C91C95"/>
    <w:rsid w:val="00C91E07"/>
    <w:rsid w:val="00C9211E"/>
    <w:rsid w:val="00C92456"/>
    <w:rsid w:val="00C929FC"/>
    <w:rsid w:val="00C92ADB"/>
    <w:rsid w:val="00C92EDD"/>
    <w:rsid w:val="00C93CEA"/>
    <w:rsid w:val="00C9490E"/>
    <w:rsid w:val="00C94FA5"/>
    <w:rsid w:val="00C957A9"/>
    <w:rsid w:val="00C95E38"/>
    <w:rsid w:val="00C9669E"/>
    <w:rsid w:val="00C9672E"/>
    <w:rsid w:val="00C969D6"/>
    <w:rsid w:val="00C9781F"/>
    <w:rsid w:val="00C97C40"/>
    <w:rsid w:val="00C97C8A"/>
    <w:rsid w:val="00CA05F2"/>
    <w:rsid w:val="00CA0BD2"/>
    <w:rsid w:val="00CA0FED"/>
    <w:rsid w:val="00CA1976"/>
    <w:rsid w:val="00CA1EAA"/>
    <w:rsid w:val="00CA2A94"/>
    <w:rsid w:val="00CA3525"/>
    <w:rsid w:val="00CA3671"/>
    <w:rsid w:val="00CA436D"/>
    <w:rsid w:val="00CA53AC"/>
    <w:rsid w:val="00CA56DE"/>
    <w:rsid w:val="00CA587A"/>
    <w:rsid w:val="00CA5940"/>
    <w:rsid w:val="00CA5E1B"/>
    <w:rsid w:val="00CA5FCD"/>
    <w:rsid w:val="00CA6038"/>
    <w:rsid w:val="00CA6464"/>
    <w:rsid w:val="00CA6859"/>
    <w:rsid w:val="00CA6CC6"/>
    <w:rsid w:val="00CA7845"/>
    <w:rsid w:val="00CA78D0"/>
    <w:rsid w:val="00CA7A5A"/>
    <w:rsid w:val="00CA7B64"/>
    <w:rsid w:val="00CA7DF4"/>
    <w:rsid w:val="00CB081C"/>
    <w:rsid w:val="00CB103D"/>
    <w:rsid w:val="00CB1484"/>
    <w:rsid w:val="00CB165E"/>
    <w:rsid w:val="00CB27F3"/>
    <w:rsid w:val="00CB2BB0"/>
    <w:rsid w:val="00CB32EB"/>
    <w:rsid w:val="00CB35EB"/>
    <w:rsid w:val="00CB38C2"/>
    <w:rsid w:val="00CB40BE"/>
    <w:rsid w:val="00CB4D50"/>
    <w:rsid w:val="00CB4E1B"/>
    <w:rsid w:val="00CB4E91"/>
    <w:rsid w:val="00CB5395"/>
    <w:rsid w:val="00CB6192"/>
    <w:rsid w:val="00CB63E9"/>
    <w:rsid w:val="00CB643E"/>
    <w:rsid w:val="00CC0598"/>
    <w:rsid w:val="00CC0ACF"/>
    <w:rsid w:val="00CC10E0"/>
    <w:rsid w:val="00CC1955"/>
    <w:rsid w:val="00CC1C9C"/>
    <w:rsid w:val="00CC2ACD"/>
    <w:rsid w:val="00CC2B5F"/>
    <w:rsid w:val="00CC37F1"/>
    <w:rsid w:val="00CC3835"/>
    <w:rsid w:val="00CC3E56"/>
    <w:rsid w:val="00CC4060"/>
    <w:rsid w:val="00CC4D98"/>
    <w:rsid w:val="00CC5B17"/>
    <w:rsid w:val="00CC5D2C"/>
    <w:rsid w:val="00CC641A"/>
    <w:rsid w:val="00CC746C"/>
    <w:rsid w:val="00CC7BD4"/>
    <w:rsid w:val="00CD0BD1"/>
    <w:rsid w:val="00CD0E1B"/>
    <w:rsid w:val="00CD0F0F"/>
    <w:rsid w:val="00CD1997"/>
    <w:rsid w:val="00CD27FB"/>
    <w:rsid w:val="00CD3087"/>
    <w:rsid w:val="00CD3A41"/>
    <w:rsid w:val="00CD3C9A"/>
    <w:rsid w:val="00CD478E"/>
    <w:rsid w:val="00CD5046"/>
    <w:rsid w:val="00CD5207"/>
    <w:rsid w:val="00CD528B"/>
    <w:rsid w:val="00CD5E97"/>
    <w:rsid w:val="00CD6E69"/>
    <w:rsid w:val="00CD78D4"/>
    <w:rsid w:val="00CD7DB0"/>
    <w:rsid w:val="00CE06AB"/>
    <w:rsid w:val="00CE0713"/>
    <w:rsid w:val="00CE0A22"/>
    <w:rsid w:val="00CE1382"/>
    <w:rsid w:val="00CE1721"/>
    <w:rsid w:val="00CE1D91"/>
    <w:rsid w:val="00CE3867"/>
    <w:rsid w:val="00CE3F5E"/>
    <w:rsid w:val="00CE42E7"/>
    <w:rsid w:val="00CE4DA0"/>
    <w:rsid w:val="00CE5522"/>
    <w:rsid w:val="00CE572F"/>
    <w:rsid w:val="00CE6DE9"/>
    <w:rsid w:val="00CE6E67"/>
    <w:rsid w:val="00CE702B"/>
    <w:rsid w:val="00CE7579"/>
    <w:rsid w:val="00CE75C0"/>
    <w:rsid w:val="00CE790D"/>
    <w:rsid w:val="00CE7B67"/>
    <w:rsid w:val="00CE7C5D"/>
    <w:rsid w:val="00CF0C11"/>
    <w:rsid w:val="00CF0D2D"/>
    <w:rsid w:val="00CF12E2"/>
    <w:rsid w:val="00CF16D5"/>
    <w:rsid w:val="00CF209C"/>
    <w:rsid w:val="00CF29C7"/>
    <w:rsid w:val="00CF3290"/>
    <w:rsid w:val="00CF32C7"/>
    <w:rsid w:val="00CF3E3B"/>
    <w:rsid w:val="00CF3FFB"/>
    <w:rsid w:val="00CF442C"/>
    <w:rsid w:val="00CF449A"/>
    <w:rsid w:val="00CF4E86"/>
    <w:rsid w:val="00CF527E"/>
    <w:rsid w:val="00CF6B0F"/>
    <w:rsid w:val="00CF713A"/>
    <w:rsid w:val="00CF7210"/>
    <w:rsid w:val="00CF7400"/>
    <w:rsid w:val="00CF7667"/>
    <w:rsid w:val="00CF79F3"/>
    <w:rsid w:val="00D003F4"/>
    <w:rsid w:val="00D00451"/>
    <w:rsid w:val="00D00B3D"/>
    <w:rsid w:val="00D00FAA"/>
    <w:rsid w:val="00D0239A"/>
    <w:rsid w:val="00D024BE"/>
    <w:rsid w:val="00D02C38"/>
    <w:rsid w:val="00D0393C"/>
    <w:rsid w:val="00D045C2"/>
    <w:rsid w:val="00D045DF"/>
    <w:rsid w:val="00D0480D"/>
    <w:rsid w:val="00D048B3"/>
    <w:rsid w:val="00D049F3"/>
    <w:rsid w:val="00D05B62"/>
    <w:rsid w:val="00D0686B"/>
    <w:rsid w:val="00D06A49"/>
    <w:rsid w:val="00D07112"/>
    <w:rsid w:val="00D072A3"/>
    <w:rsid w:val="00D07BE2"/>
    <w:rsid w:val="00D07BF3"/>
    <w:rsid w:val="00D10873"/>
    <w:rsid w:val="00D1087F"/>
    <w:rsid w:val="00D10932"/>
    <w:rsid w:val="00D10BE6"/>
    <w:rsid w:val="00D10FE0"/>
    <w:rsid w:val="00D1158A"/>
    <w:rsid w:val="00D1219C"/>
    <w:rsid w:val="00D1251B"/>
    <w:rsid w:val="00D1256D"/>
    <w:rsid w:val="00D12E6B"/>
    <w:rsid w:val="00D1306F"/>
    <w:rsid w:val="00D1328D"/>
    <w:rsid w:val="00D13C9A"/>
    <w:rsid w:val="00D14214"/>
    <w:rsid w:val="00D14A45"/>
    <w:rsid w:val="00D14EF9"/>
    <w:rsid w:val="00D153B7"/>
    <w:rsid w:val="00D15422"/>
    <w:rsid w:val="00D15CAF"/>
    <w:rsid w:val="00D15CDD"/>
    <w:rsid w:val="00D15F96"/>
    <w:rsid w:val="00D169AC"/>
    <w:rsid w:val="00D16BF4"/>
    <w:rsid w:val="00D17776"/>
    <w:rsid w:val="00D1782B"/>
    <w:rsid w:val="00D203A4"/>
    <w:rsid w:val="00D20766"/>
    <w:rsid w:val="00D20ABD"/>
    <w:rsid w:val="00D213A3"/>
    <w:rsid w:val="00D21646"/>
    <w:rsid w:val="00D216DD"/>
    <w:rsid w:val="00D21809"/>
    <w:rsid w:val="00D21C19"/>
    <w:rsid w:val="00D21C97"/>
    <w:rsid w:val="00D220A1"/>
    <w:rsid w:val="00D227C1"/>
    <w:rsid w:val="00D228EF"/>
    <w:rsid w:val="00D23317"/>
    <w:rsid w:val="00D23DCC"/>
    <w:rsid w:val="00D23E63"/>
    <w:rsid w:val="00D254A6"/>
    <w:rsid w:val="00D254BD"/>
    <w:rsid w:val="00D264A9"/>
    <w:rsid w:val="00D2662A"/>
    <w:rsid w:val="00D26648"/>
    <w:rsid w:val="00D26AB5"/>
    <w:rsid w:val="00D26B54"/>
    <w:rsid w:val="00D27468"/>
    <w:rsid w:val="00D27D0B"/>
    <w:rsid w:val="00D30094"/>
    <w:rsid w:val="00D301AF"/>
    <w:rsid w:val="00D313F9"/>
    <w:rsid w:val="00D31550"/>
    <w:rsid w:val="00D3252E"/>
    <w:rsid w:val="00D33267"/>
    <w:rsid w:val="00D332B9"/>
    <w:rsid w:val="00D34D6B"/>
    <w:rsid w:val="00D3660E"/>
    <w:rsid w:val="00D36777"/>
    <w:rsid w:val="00D36EE1"/>
    <w:rsid w:val="00D37088"/>
    <w:rsid w:val="00D3714C"/>
    <w:rsid w:val="00D403D6"/>
    <w:rsid w:val="00D40918"/>
    <w:rsid w:val="00D40ECC"/>
    <w:rsid w:val="00D411E3"/>
    <w:rsid w:val="00D41A63"/>
    <w:rsid w:val="00D42918"/>
    <w:rsid w:val="00D42C9D"/>
    <w:rsid w:val="00D42CC6"/>
    <w:rsid w:val="00D43697"/>
    <w:rsid w:val="00D43AFC"/>
    <w:rsid w:val="00D444E4"/>
    <w:rsid w:val="00D44808"/>
    <w:rsid w:val="00D44B77"/>
    <w:rsid w:val="00D453C0"/>
    <w:rsid w:val="00D46379"/>
    <w:rsid w:val="00D46E40"/>
    <w:rsid w:val="00D4730A"/>
    <w:rsid w:val="00D47907"/>
    <w:rsid w:val="00D47E73"/>
    <w:rsid w:val="00D51248"/>
    <w:rsid w:val="00D512E5"/>
    <w:rsid w:val="00D514DA"/>
    <w:rsid w:val="00D518C2"/>
    <w:rsid w:val="00D521D4"/>
    <w:rsid w:val="00D5223A"/>
    <w:rsid w:val="00D52563"/>
    <w:rsid w:val="00D5260A"/>
    <w:rsid w:val="00D52C43"/>
    <w:rsid w:val="00D53736"/>
    <w:rsid w:val="00D53B65"/>
    <w:rsid w:val="00D53FEF"/>
    <w:rsid w:val="00D54932"/>
    <w:rsid w:val="00D55883"/>
    <w:rsid w:val="00D55D7A"/>
    <w:rsid w:val="00D55F71"/>
    <w:rsid w:val="00D5657D"/>
    <w:rsid w:val="00D56DB5"/>
    <w:rsid w:val="00D571C2"/>
    <w:rsid w:val="00D57F3C"/>
    <w:rsid w:val="00D60702"/>
    <w:rsid w:val="00D60743"/>
    <w:rsid w:val="00D609E6"/>
    <w:rsid w:val="00D6168C"/>
    <w:rsid w:val="00D61952"/>
    <w:rsid w:val="00D62483"/>
    <w:rsid w:val="00D62815"/>
    <w:rsid w:val="00D62943"/>
    <w:rsid w:val="00D63C5D"/>
    <w:rsid w:val="00D64974"/>
    <w:rsid w:val="00D64A40"/>
    <w:rsid w:val="00D65DE6"/>
    <w:rsid w:val="00D66209"/>
    <w:rsid w:val="00D667AD"/>
    <w:rsid w:val="00D669CD"/>
    <w:rsid w:val="00D67083"/>
    <w:rsid w:val="00D670AA"/>
    <w:rsid w:val="00D670DD"/>
    <w:rsid w:val="00D6784D"/>
    <w:rsid w:val="00D679B9"/>
    <w:rsid w:val="00D67F24"/>
    <w:rsid w:val="00D701FD"/>
    <w:rsid w:val="00D703BC"/>
    <w:rsid w:val="00D70CBC"/>
    <w:rsid w:val="00D7122E"/>
    <w:rsid w:val="00D7171D"/>
    <w:rsid w:val="00D727C8"/>
    <w:rsid w:val="00D73F25"/>
    <w:rsid w:val="00D740EA"/>
    <w:rsid w:val="00D7458F"/>
    <w:rsid w:val="00D7482D"/>
    <w:rsid w:val="00D749EC"/>
    <w:rsid w:val="00D749FB"/>
    <w:rsid w:val="00D7633F"/>
    <w:rsid w:val="00D76BCD"/>
    <w:rsid w:val="00D7776A"/>
    <w:rsid w:val="00D77793"/>
    <w:rsid w:val="00D779AF"/>
    <w:rsid w:val="00D77B02"/>
    <w:rsid w:val="00D80648"/>
    <w:rsid w:val="00D80840"/>
    <w:rsid w:val="00D80B95"/>
    <w:rsid w:val="00D80D33"/>
    <w:rsid w:val="00D81593"/>
    <w:rsid w:val="00D825DE"/>
    <w:rsid w:val="00D8361A"/>
    <w:rsid w:val="00D84225"/>
    <w:rsid w:val="00D84D79"/>
    <w:rsid w:val="00D84EDB"/>
    <w:rsid w:val="00D85D11"/>
    <w:rsid w:val="00D85F45"/>
    <w:rsid w:val="00D86471"/>
    <w:rsid w:val="00D86B12"/>
    <w:rsid w:val="00D86B8F"/>
    <w:rsid w:val="00D86C57"/>
    <w:rsid w:val="00D8786F"/>
    <w:rsid w:val="00D90069"/>
    <w:rsid w:val="00D90788"/>
    <w:rsid w:val="00D909DC"/>
    <w:rsid w:val="00D90D9E"/>
    <w:rsid w:val="00D9132A"/>
    <w:rsid w:val="00D915EE"/>
    <w:rsid w:val="00D91C14"/>
    <w:rsid w:val="00D91CE1"/>
    <w:rsid w:val="00D92129"/>
    <w:rsid w:val="00D92478"/>
    <w:rsid w:val="00D92C1E"/>
    <w:rsid w:val="00D93420"/>
    <w:rsid w:val="00D937B9"/>
    <w:rsid w:val="00D93B75"/>
    <w:rsid w:val="00D94A7F"/>
    <w:rsid w:val="00D94EEB"/>
    <w:rsid w:val="00D95014"/>
    <w:rsid w:val="00D9522B"/>
    <w:rsid w:val="00D955B4"/>
    <w:rsid w:val="00D95797"/>
    <w:rsid w:val="00D95B3D"/>
    <w:rsid w:val="00D95CE2"/>
    <w:rsid w:val="00D9796C"/>
    <w:rsid w:val="00DA0518"/>
    <w:rsid w:val="00DA0812"/>
    <w:rsid w:val="00DA1388"/>
    <w:rsid w:val="00DA139D"/>
    <w:rsid w:val="00DA1E32"/>
    <w:rsid w:val="00DA2681"/>
    <w:rsid w:val="00DA38CA"/>
    <w:rsid w:val="00DA3C64"/>
    <w:rsid w:val="00DA3EC0"/>
    <w:rsid w:val="00DA4015"/>
    <w:rsid w:val="00DA418D"/>
    <w:rsid w:val="00DA4ACD"/>
    <w:rsid w:val="00DA562F"/>
    <w:rsid w:val="00DA5920"/>
    <w:rsid w:val="00DA60F3"/>
    <w:rsid w:val="00DA6215"/>
    <w:rsid w:val="00DA72B2"/>
    <w:rsid w:val="00DA771C"/>
    <w:rsid w:val="00DA7727"/>
    <w:rsid w:val="00DB0714"/>
    <w:rsid w:val="00DB0775"/>
    <w:rsid w:val="00DB0963"/>
    <w:rsid w:val="00DB096C"/>
    <w:rsid w:val="00DB13B1"/>
    <w:rsid w:val="00DB18DC"/>
    <w:rsid w:val="00DB202B"/>
    <w:rsid w:val="00DB21D6"/>
    <w:rsid w:val="00DB241E"/>
    <w:rsid w:val="00DB383A"/>
    <w:rsid w:val="00DB3935"/>
    <w:rsid w:val="00DB3B7B"/>
    <w:rsid w:val="00DB57BC"/>
    <w:rsid w:val="00DB597D"/>
    <w:rsid w:val="00DB5FCD"/>
    <w:rsid w:val="00DB6200"/>
    <w:rsid w:val="00DB693A"/>
    <w:rsid w:val="00DB6B75"/>
    <w:rsid w:val="00DB7C1A"/>
    <w:rsid w:val="00DB7C25"/>
    <w:rsid w:val="00DC024E"/>
    <w:rsid w:val="00DC12D5"/>
    <w:rsid w:val="00DC19E7"/>
    <w:rsid w:val="00DC3169"/>
    <w:rsid w:val="00DC3C66"/>
    <w:rsid w:val="00DC3D79"/>
    <w:rsid w:val="00DC50C5"/>
    <w:rsid w:val="00DC568B"/>
    <w:rsid w:val="00DC6D44"/>
    <w:rsid w:val="00DC6D7B"/>
    <w:rsid w:val="00DC6DC3"/>
    <w:rsid w:val="00DC70E8"/>
    <w:rsid w:val="00DC7CFD"/>
    <w:rsid w:val="00DD0087"/>
    <w:rsid w:val="00DD07D3"/>
    <w:rsid w:val="00DD15DF"/>
    <w:rsid w:val="00DD1C01"/>
    <w:rsid w:val="00DD1E3F"/>
    <w:rsid w:val="00DD1F59"/>
    <w:rsid w:val="00DD2D5A"/>
    <w:rsid w:val="00DD2FBC"/>
    <w:rsid w:val="00DD3336"/>
    <w:rsid w:val="00DD337E"/>
    <w:rsid w:val="00DD36D3"/>
    <w:rsid w:val="00DD3FD2"/>
    <w:rsid w:val="00DD4258"/>
    <w:rsid w:val="00DD4471"/>
    <w:rsid w:val="00DD4EEE"/>
    <w:rsid w:val="00DD5164"/>
    <w:rsid w:val="00DD5444"/>
    <w:rsid w:val="00DD57DE"/>
    <w:rsid w:val="00DD5996"/>
    <w:rsid w:val="00DD5CC8"/>
    <w:rsid w:val="00DD622F"/>
    <w:rsid w:val="00DD67F8"/>
    <w:rsid w:val="00DD6FA9"/>
    <w:rsid w:val="00DD78A8"/>
    <w:rsid w:val="00DD7C86"/>
    <w:rsid w:val="00DE073E"/>
    <w:rsid w:val="00DE0962"/>
    <w:rsid w:val="00DE09F1"/>
    <w:rsid w:val="00DE0A75"/>
    <w:rsid w:val="00DE13BD"/>
    <w:rsid w:val="00DE1C83"/>
    <w:rsid w:val="00DE1E4D"/>
    <w:rsid w:val="00DE2814"/>
    <w:rsid w:val="00DE28E0"/>
    <w:rsid w:val="00DE3BCD"/>
    <w:rsid w:val="00DE4F62"/>
    <w:rsid w:val="00DE5291"/>
    <w:rsid w:val="00DE65B5"/>
    <w:rsid w:val="00DE6D28"/>
    <w:rsid w:val="00DE6D36"/>
    <w:rsid w:val="00DE70CC"/>
    <w:rsid w:val="00DE7A57"/>
    <w:rsid w:val="00DE7D25"/>
    <w:rsid w:val="00DE7E3D"/>
    <w:rsid w:val="00DF0D05"/>
    <w:rsid w:val="00DF0D6E"/>
    <w:rsid w:val="00DF0EAB"/>
    <w:rsid w:val="00DF1AA5"/>
    <w:rsid w:val="00DF268C"/>
    <w:rsid w:val="00DF2987"/>
    <w:rsid w:val="00DF338A"/>
    <w:rsid w:val="00DF65A2"/>
    <w:rsid w:val="00DF6D1C"/>
    <w:rsid w:val="00DF6F46"/>
    <w:rsid w:val="00DF7454"/>
    <w:rsid w:val="00DF7AEA"/>
    <w:rsid w:val="00E00C2C"/>
    <w:rsid w:val="00E00E75"/>
    <w:rsid w:val="00E0239B"/>
    <w:rsid w:val="00E023FF"/>
    <w:rsid w:val="00E03017"/>
    <w:rsid w:val="00E033B0"/>
    <w:rsid w:val="00E03AB4"/>
    <w:rsid w:val="00E0442B"/>
    <w:rsid w:val="00E04E00"/>
    <w:rsid w:val="00E04E78"/>
    <w:rsid w:val="00E04FC1"/>
    <w:rsid w:val="00E0502D"/>
    <w:rsid w:val="00E06332"/>
    <w:rsid w:val="00E06580"/>
    <w:rsid w:val="00E066D1"/>
    <w:rsid w:val="00E07656"/>
    <w:rsid w:val="00E07AB3"/>
    <w:rsid w:val="00E10D32"/>
    <w:rsid w:val="00E11232"/>
    <w:rsid w:val="00E11409"/>
    <w:rsid w:val="00E117F6"/>
    <w:rsid w:val="00E11D10"/>
    <w:rsid w:val="00E120E7"/>
    <w:rsid w:val="00E12210"/>
    <w:rsid w:val="00E12234"/>
    <w:rsid w:val="00E1284E"/>
    <w:rsid w:val="00E12A87"/>
    <w:rsid w:val="00E12EF8"/>
    <w:rsid w:val="00E13F65"/>
    <w:rsid w:val="00E14152"/>
    <w:rsid w:val="00E14400"/>
    <w:rsid w:val="00E14CB0"/>
    <w:rsid w:val="00E14E7D"/>
    <w:rsid w:val="00E150C7"/>
    <w:rsid w:val="00E158F6"/>
    <w:rsid w:val="00E1712E"/>
    <w:rsid w:val="00E173C1"/>
    <w:rsid w:val="00E20BD5"/>
    <w:rsid w:val="00E20BD6"/>
    <w:rsid w:val="00E20FA7"/>
    <w:rsid w:val="00E21055"/>
    <w:rsid w:val="00E21708"/>
    <w:rsid w:val="00E21D1B"/>
    <w:rsid w:val="00E220F9"/>
    <w:rsid w:val="00E2255F"/>
    <w:rsid w:val="00E228EA"/>
    <w:rsid w:val="00E229A8"/>
    <w:rsid w:val="00E23629"/>
    <w:rsid w:val="00E239EF"/>
    <w:rsid w:val="00E23BB6"/>
    <w:rsid w:val="00E24203"/>
    <w:rsid w:val="00E249AA"/>
    <w:rsid w:val="00E24C83"/>
    <w:rsid w:val="00E254C8"/>
    <w:rsid w:val="00E256E1"/>
    <w:rsid w:val="00E258C6"/>
    <w:rsid w:val="00E25B1B"/>
    <w:rsid w:val="00E25F34"/>
    <w:rsid w:val="00E25F5C"/>
    <w:rsid w:val="00E260C9"/>
    <w:rsid w:val="00E26902"/>
    <w:rsid w:val="00E26DF0"/>
    <w:rsid w:val="00E2710F"/>
    <w:rsid w:val="00E27B7A"/>
    <w:rsid w:val="00E27BBA"/>
    <w:rsid w:val="00E3037B"/>
    <w:rsid w:val="00E3074B"/>
    <w:rsid w:val="00E3144A"/>
    <w:rsid w:val="00E3177C"/>
    <w:rsid w:val="00E31ED9"/>
    <w:rsid w:val="00E3320F"/>
    <w:rsid w:val="00E333DA"/>
    <w:rsid w:val="00E33568"/>
    <w:rsid w:val="00E33796"/>
    <w:rsid w:val="00E3395D"/>
    <w:rsid w:val="00E33F85"/>
    <w:rsid w:val="00E350AB"/>
    <w:rsid w:val="00E35525"/>
    <w:rsid w:val="00E357C5"/>
    <w:rsid w:val="00E35C20"/>
    <w:rsid w:val="00E361BF"/>
    <w:rsid w:val="00E36682"/>
    <w:rsid w:val="00E36A2D"/>
    <w:rsid w:val="00E36A5B"/>
    <w:rsid w:val="00E37061"/>
    <w:rsid w:val="00E370E6"/>
    <w:rsid w:val="00E3782D"/>
    <w:rsid w:val="00E40324"/>
    <w:rsid w:val="00E408BD"/>
    <w:rsid w:val="00E41921"/>
    <w:rsid w:val="00E426BF"/>
    <w:rsid w:val="00E42B4C"/>
    <w:rsid w:val="00E42FB5"/>
    <w:rsid w:val="00E4301A"/>
    <w:rsid w:val="00E431C1"/>
    <w:rsid w:val="00E441F5"/>
    <w:rsid w:val="00E44341"/>
    <w:rsid w:val="00E455A5"/>
    <w:rsid w:val="00E45A2C"/>
    <w:rsid w:val="00E4623A"/>
    <w:rsid w:val="00E46409"/>
    <w:rsid w:val="00E46EDF"/>
    <w:rsid w:val="00E4727D"/>
    <w:rsid w:val="00E47B68"/>
    <w:rsid w:val="00E47CEB"/>
    <w:rsid w:val="00E50299"/>
    <w:rsid w:val="00E505B0"/>
    <w:rsid w:val="00E50914"/>
    <w:rsid w:val="00E50B73"/>
    <w:rsid w:val="00E51458"/>
    <w:rsid w:val="00E52349"/>
    <w:rsid w:val="00E5253F"/>
    <w:rsid w:val="00E5287A"/>
    <w:rsid w:val="00E52AFD"/>
    <w:rsid w:val="00E52C34"/>
    <w:rsid w:val="00E5304A"/>
    <w:rsid w:val="00E53300"/>
    <w:rsid w:val="00E536D4"/>
    <w:rsid w:val="00E53E5A"/>
    <w:rsid w:val="00E53FE6"/>
    <w:rsid w:val="00E540DB"/>
    <w:rsid w:val="00E55FD9"/>
    <w:rsid w:val="00E560C9"/>
    <w:rsid w:val="00E56796"/>
    <w:rsid w:val="00E56C44"/>
    <w:rsid w:val="00E56EEA"/>
    <w:rsid w:val="00E57221"/>
    <w:rsid w:val="00E5745E"/>
    <w:rsid w:val="00E57561"/>
    <w:rsid w:val="00E57E96"/>
    <w:rsid w:val="00E609CC"/>
    <w:rsid w:val="00E6143A"/>
    <w:rsid w:val="00E624E5"/>
    <w:rsid w:val="00E62DBA"/>
    <w:rsid w:val="00E6479C"/>
    <w:rsid w:val="00E649F1"/>
    <w:rsid w:val="00E6515E"/>
    <w:rsid w:val="00E65577"/>
    <w:rsid w:val="00E656B4"/>
    <w:rsid w:val="00E6586C"/>
    <w:rsid w:val="00E66196"/>
    <w:rsid w:val="00E6647A"/>
    <w:rsid w:val="00E700A5"/>
    <w:rsid w:val="00E700D4"/>
    <w:rsid w:val="00E70209"/>
    <w:rsid w:val="00E71746"/>
    <w:rsid w:val="00E72DFE"/>
    <w:rsid w:val="00E72EB4"/>
    <w:rsid w:val="00E73321"/>
    <w:rsid w:val="00E73979"/>
    <w:rsid w:val="00E73C38"/>
    <w:rsid w:val="00E73C87"/>
    <w:rsid w:val="00E73FEC"/>
    <w:rsid w:val="00E74CED"/>
    <w:rsid w:val="00E7599D"/>
    <w:rsid w:val="00E75BB2"/>
    <w:rsid w:val="00E75F8C"/>
    <w:rsid w:val="00E7666E"/>
    <w:rsid w:val="00E76B08"/>
    <w:rsid w:val="00E76B1D"/>
    <w:rsid w:val="00E77049"/>
    <w:rsid w:val="00E77204"/>
    <w:rsid w:val="00E7733E"/>
    <w:rsid w:val="00E7739A"/>
    <w:rsid w:val="00E77F11"/>
    <w:rsid w:val="00E81280"/>
    <w:rsid w:val="00E821E9"/>
    <w:rsid w:val="00E82BE1"/>
    <w:rsid w:val="00E833DC"/>
    <w:rsid w:val="00E837A5"/>
    <w:rsid w:val="00E83B6E"/>
    <w:rsid w:val="00E846A3"/>
    <w:rsid w:val="00E85094"/>
    <w:rsid w:val="00E851FC"/>
    <w:rsid w:val="00E85A11"/>
    <w:rsid w:val="00E85D9B"/>
    <w:rsid w:val="00E85DAB"/>
    <w:rsid w:val="00E86113"/>
    <w:rsid w:val="00E862DD"/>
    <w:rsid w:val="00E87092"/>
    <w:rsid w:val="00E870E7"/>
    <w:rsid w:val="00E871F0"/>
    <w:rsid w:val="00E87652"/>
    <w:rsid w:val="00E87E9D"/>
    <w:rsid w:val="00E903AE"/>
    <w:rsid w:val="00E90749"/>
    <w:rsid w:val="00E90823"/>
    <w:rsid w:val="00E9161D"/>
    <w:rsid w:val="00E9178D"/>
    <w:rsid w:val="00E92234"/>
    <w:rsid w:val="00E92276"/>
    <w:rsid w:val="00E92379"/>
    <w:rsid w:val="00E92616"/>
    <w:rsid w:val="00E9299A"/>
    <w:rsid w:val="00E9321C"/>
    <w:rsid w:val="00E937F1"/>
    <w:rsid w:val="00E93DEA"/>
    <w:rsid w:val="00E94D24"/>
    <w:rsid w:val="00E95BCA"/>
    <w:rsid w:val="00E95E9E"/>
    <w:rsid w:val="00E962D8"/>
    <w:rsid w:val="00E967F3"/>
    <w:rsid w:val="00E9775D"/>
    <w:rsid w:val="00E97995"/>
    <w:rsid w:val="00E97F12"/>
    <w:rsid w:val="00EA08C7"/>
    <w:rsid w:val="00EA0A0C"/>
    <w:rsid w:val="00EA0D4C"/>
    <w:rsid w:val="00EA12B1"/>
    <w:rsid w:val="00EA18B1"/>
    <w:rsid w:val="00EA203B"/>
    <w:rsid w:val="00EA2BCF"/>
    <w:rsid w:val="00EA2EF2"/>
    <w:rsid w:val="00EA3942"/>
    <w:rsid w:val="00EA4888"/>
    <w:rsid w:val="00EA4CD3"/>
    <w:rsid w:val="00EA5EDA"/>
    <w:rsid w:val="00EA5FAF"/>
    <w:rsid w:val="00EA606B"/>
    <w:rsid w:val="00EA65B9"/>
    <w:rsid w:val="00EA6CC0"/>
    <w:rsid w:val="00EA6F8F"/>
    <w:rsid w:val="00EA7608"/>
    <w:rsid w:val="00EA7691"/>
    <w:rsid w:val="00EA78AC"/>
    <w:rsid w:val="00EB08F7"/>
    <w:rsid w:val="00EB1753"/>
    <w:rsid w:val="00EB1BE4"/>
    <w:rsid w:val="00EB1CED"/>
    <w:rsid w:val="00EB2140"/>
    <w:rsid w:val="00EB2158"/>
    <w:rsid w:val="00EB2CBF"/>
    <w:rsid w:val="00EB34AF"/>
    <w:rsid w:val="00EB393B"/>
    <w:rsid w:val="00EB3BBC"/>
    <w:rsid w:val="00EB3FAC"/>
    <w:rsid w:val="00EB4247"/>
    <w:rsid w:val="00EB43E9"/>
    <w:rsid w:val="00EB4503"/>
    <w:rsid w:val="00EB4BD6"/>
    <w:rsid w:val="00EB541A"/>
    <w:rsid w:val="00EB6F04"/>
    <w:rsid w:val="00EB7006"/>
    <w:rsid w:val="00EB7140"/>
    <w:rsid w:val="00EB7290"/>
    <w:rsid w:val="00EC1561"/>
    <w:rsid w:val="00EC1C13"/>
    <w:rsid w:val="00EC3876"/>
    <w:rsid w:val="00EC4112"/>
    <w:rsid w:val="00EC43C6"/>
    <w:rsid w:val="00EC4EC5"/>
    <w:rsid w:val="00EC5306"/>
    <w:rsid w:val="00EC6D2D"/>
    <w:rsid w:val="00EC7254"/>
    <w:rsid w:val="00ED0D38"/>
    <w:rsid w:val="00ED0E9D"/>
    <w:rsid w:val="00ED0F32"/>
    <w:rsid w:val="00ED1A67"/>
    <w:rsid w:val="00ED1A6F"/>
    <w:rsid w:val="00ED1FBE"/>
    <w:rsid w:val="00ED2B7F"/>
    <w:rsid w:val="00ED2D7D"/>
    <w:rsid w:val="00ED3061"/>
    <w:rsid w:val="00ED32E8"/>
    <w:rsid w:val="00ED3B36"/>
    <w:rsid w:val="00ED47AB"/>
    <w:rsid w:val="00ED4934"/>
    <w:rsid w:val="00ED4F6F"/>
    <w:rsid w:val="00ED5506"/>
    <w:rsid w:val="00ED5617"/>
    <w:rsid w:val="00ED5873"/>
    <w:rsid w:val="00ED632C"/>
    <w:rsid w:val="00ED6D8B"/>
    <w:rsid w:val="00ED6EAE"/>
    <w:rsid w:val="00ED780C"/>
    <w:rsid w:val="00EE0D1C"/>
    <w:rsid w:val="00EE0EDE"/>
    <w:rsid w:val="00EE131C"/>
    <w:rsid w:val="00EE1490"/>
    <w:rsid w:val="00EE1897"/>
    <w:rsid w:val="00EE1A1C"/>
    <w:rsid w:val="00EE1A38"/>
    <w:rsid w:val="00EE1CEC"/>
    <w:rsid w:val="00EE210C"/>
    <w:rsid w:val="00EE2F72"/>
    <w:rsid w:val="00EE3254"/>
    <w:rsid w:val="00EE38FA"/>
    <w:rsid w:val="00EE3DD4"/>
    <w:rsid w:val="00EE43DF"/>
    <w:rsid w:val="00EE4429"/>
    <w:rsid w:val="00EE47A3"/>
    <w:rsid w:val="00EE58C3"/>
    <w:rsid w:val="00EE5AE3"/>
    <w:rsid w:val="00EE6FDD"/>
    <w:rsid w:val="00EE7CD5"/>
    <w:rsid w:val="00EF033D"/>
    <w:rsid w:val="00EF03FA"/>
    <w:rsid w:val="00EF0B5F"/>
    <w:rsid w:val="00EF0E40"/>
    <w:rsid w:val="00EF10CF"/>
    <w:rsid w:val="00EF1220"/>
    <w:rsid w:val="00EF1DC9"/>
    <w:rsid w:val="00EF25D1"/>
    <w:rsid w:val="00EF297A"/>
    <w:rsid w:val="00EF2C2D"/>
    <w:rsid w:val="00EF30E0"/>
    <w:rsid w:val="00EF3D49"/>
    <w:rsid w:val="00EF4056"/>
    <w:rsid w:val="00EF4233"/>
    <w:rsid w:val="00EF60F4"/>
    <w:rsid w:val="00EF64BD"/>
    <w:rsid w:val="00EF66F0"/>
    <w:rsid w:val="00EF793B"/>
    <w:rsid w:val="00EF7DA4"/>
    <w:rsid w:val="00EF7F18"/>
    <w:rsid w:val="00EF7F75"/>
    <w:rsid w:val="00F00175"/>
    <w:rsid w:val="00F01C4B"/>
    <w:rsid w:val="00F02349"/>
    <w:rsid w:val="00F02467"/>
    <w:rsid w:val="00F02F27"/>
    <w:rsid w:val="00F03443"/>
    <w:rsid w:val="00F03DCA"/>
    <w:rsid w:val="00F040D9"/>
    <w:rsid w:val="00F048E8"/>
    <w:rsid w:val="00F04CD5"/>
    <w:rsid w:val="00F04DED"/>
    <w:rsid w:val="00F05384"/>
    <w:rsid w:val="00F05769"/>
    <w:rsid w:val="00F05965"/>
    <w:rsid w:val="00F05BE6"/>
    <w:rsid w:val="00F0630F"/>
    <w:rsid w:val="00F067C6"/>
    <w:rsid w:val="00F06B1F"/>
    <w:rsid w:val="00F06C4D"/>
    <w:rsid w:val="00F06CC6"/>
    <w:rsid w:val="00F06D0E"/>
    <w:rsid w:val="00F078ED"/>
    <w:rsid w:val="00F1015C"/>
    <w:rsid w:val="00F10FF9"/>
    <w:rsid w:val="00F11463"/>
    <w:rsid w:val="00F12BEE"/>
    <w:rsid w:val="00F12C00"/>
    <w:rsid w:val="00F13663"/>
    <w:rsid w:val="00F13F52"/>
    <w:rsid w:val="00F13F61"/>
    <w:rsid w:val="00F145FC"/>
    <w:rsid w:val="00F14D78"/>
    <w:rsid w:val="00F155C5"/>
    <w:rsid w:val="00F16051"/>
    <w:rsid w:val="00F1653F"/>
    <w:rsid w:val="00F17815"/>
    <w:rsid w:val="00F209B7"/>
    <w:rsid w:val="00F20DC5"/>
    <w:rsid w:val="00F20DCB"/>
    <w:rsid w:val="00F21053"/>
    <w:rsid w:val="00F21B11"/>
    <w:rsid w:val="00F21B88"/>
    <w:rsid w:val="00F22408"/>
    <w:rsid w:val="00F22EE9"/>
    <w:rsid w:val="00F238A3"/>
    <w:rsid w:val="00F24A0A"/>
    <w:rsid w:val="00F25853"/>
    <w:rsid w:val="00F25D42"/>
    <w:rsid w:val="00F26D6A"/>
    <w:rsid w:val="00F26ECF"/>
    <w:rsid w:val="00F30031"/>
    <w:rsid w:val="00F308D8"/>
    <w:rsid w:val="00F314BD"/>
    <w:rsid w:val="00F316C7"/>
    <w:rsid w:val="00F3187D"/>
    <w:rsid w:val="00F31C9A"/>
    <w:rsid w:val="00F32AF0"/>
    <w:rsid w:val="00F32DCD"/>
    <w:rsid w:val="00F32DDD"/>
    <w:rsid w:val="00F32EB7"/>
    <w:rsid w:val="00F3346E"/>
    <w:rsid w:val="00F34357"/>
    <w:rsid w:val="00F343C9"/>
    <w:rsid w:val="00F34F5D"/>
    <w:rsid w:val="00F34FAE"/>
    <w:rsid w:val="00F36026"/>
    <w:rsid w:val="00F36214"/>
    <w:rsid w:val="00F36F2B"/>
    <w:rsid w:val="00F37CD2"/>
    <w:rsid w:val="00F37D71"/>
    <w:rsid w:val="00F40303"/>
    <w:rsid w:val="00F40760"/>
    <w:rsid w:val="00F40796"/>
    <w:rsid w:val="00F4104D"/>
    <w:rsid w:val="00F41473"/>
    <w:rsid w:val="00F42159"/>
    <w:rsid w:val="00F426C7"/>
    <w:rsid w:val="00F42819"/>
    <w:rsid w:val="00F42C33"/>
    <w:rsid w:val="00F42F85"/>
    <w:rsid w:val="00F43BA5"/>
    <w:rsid w:val="00F4486B"/>
    <w:rsid w:val="00F44BEC"/>
    <w:rsid w:val="00F44C60"/>
    <w:rsid w:val="00F45139"/>
    <w:rsid w:val="00F45277"/>
    <w:rsid w:val="00F4547F"/>
    <w:rsid w:val="00F4619D"/>
    <w:rsid w:val="00F463F3"/>
    <w:rsid w:val="00F4668D"/>
    <w:rsid w:val="00F474D4"/>
    <w:rsid w:val="00F4760B"/>
    <w:rsid w:val="00F479C4"/>
    <w:rsid w:val="00F47ACE"/>
    <w:rsid w:val="00F5041C"/>
    <w:rsid w:val="00F5111A"/>
    <w:rsid w:val="00F51471"/>
    <w:rsid w:val="00F51721"/>
    <w:rsid w:val="00F52071"/>
    <w:rsid w:val="00F524C8"/>
    <w:rsid w:val="00F526C9"/>
    <w:rsid w:val="00F52709"/>
    <w:rsid w:val="00F5396B"/>
    <w:rsid w:val="00F53EC1"/>
    <w:rsid w:val="00F53F9A"/>
    <w:rsid w:val="00F543FD"/>
    <w:rsid w:val="00F5456C"/>
    <w:rsid w:val="00F54906"/>
    <w:rsid w:val="00F54919"/>
    <w:rsid w:val="00F54C2B"/>
    <w:rsid w:val="00F55030"/>
    <w:rsid w:val="00F55975"/>
    <w:rsid w:val="00F55BD7"/>
    <w:rsid w:val="00F55E30"/>
    <w:rsid w:val="00F55EEF"/>
    <w:rsid w:val="00F562DD"/>
    <w:rsid w:val="00F563A1"/>
    <w:rsid w:val="00F56E15"/>
    <w:rsid w:val="00F60765"/>
    <w:rsid w:val="00F60D38"/>
    <w:rsid w:val="00F61088"/>
    <w:rsid w:val="00F61401"/>
    <w:rsid w:val="00F61A97"/>
    <w:rsid w:val="00F6288A"/>
    <w:rsid w:val="00F630CD"/>
    <w:rsid w:val="00F636EE"/>
    <w:rsid w:val="00F64198"/>
    <w:rsid w:val="00F64A50"/>
    <w:rsid w:val="00F64E33"/>
    <w:rsid w:val="00F6535A"/>
    <w:rsid w:val="00F65B33"/>
    <w:rsid w:val="00F65DE4"/>
    <w:rsid w:val="00F6626C"/>
    <w:rsid w:val="00F666F8"/>
    <w:rsid w:val="00F667F3"/>
    <w:rsid w:val="00F673A7"/>
    <w:rsid w:val="00F67568"/>
    <w:rsid w:val="00F71081"/>
    <w:rsid w:val="00F7158A"/>
    <w:rsid w:val="00F715CD"/>
    <w:rsid w:val="00F71DD6"/>
    <w:rsid w:val="00F7226D"/>
    <w:rsid w:val="00F7256F"/>
    <w:rsid w:val="00F72C9C"/>
    <w:rsid w:val="00F73294"/>
    <w:rsid w:val="00F73930"/>
    <w:rsid w:val="00F73F51"/>
    <w:rsid w:val="00F73F99"/>
    <w:rsid w:val="00F74682"/>
    <w:rsid w:val="00F74B2D"/>
    <w:rsid w:val="00F74CD8"/>
    <w:rsid w:val="00F751B0"/>
    <w:rsid w:val="00F751E1"/>
    <w:rsid w:val="00F764B4"/>
    <w:rsid w:val="00F764C6"/>
    <w:rsid w:val="00F76DC2"/>
    <w:rsid w:val="00F803FE"/>
    <w:rsid w:val="00F806E0"/>
    <w:rsid w:val="00F810E0"/>
    <w:rsid w:val="00F81BA7"/>
    <w:rsid w:val="00F825F1"/>
    <w:rsid w:val="00F833DF"/>
    <w:rsid w:val="00F83B23"/>
    <w:rsid w:val="00F83EC1"/>
    <w:rsid w:val="00F83F0E"/>
    <w:rsid w:val="00F8432D"/>
    <w:rsid w:val="00F844E7"/>
    <w:rsid w:val="00F8498A"/>
    <w:rsid w:val="00F85221"/>
    <w:rsid w:val="00F857AF"/>
    <w:rsid w:val="00F8639A"/>
    <w:rsid w:val="00F87C32"/>
    <w:rsid w:val="00F87C46"/>
    <w:rsid w:val="00F9028B"/>
    <w:rsid w:val="00F90B2D"/>
    <w:rsid w:val="00F90E26"/>
    <w:rsid w:val="00F9107B"/>
    <w:rsid w:val="00F91291"/>
    <w:rsid w:val="00F91CFF"/>
    <w:rsid w:val="00F921A3"/>
    <w:rsid w:val="00F93732"/>
    <w:rsid w:val="00F93AA3"/>
    <w:rsid w:val="00F9424F"/>
    <w:rsid w:val="00F945BB"/>
    <w:rsid w:val="00F951E6"/>
    <w:rsid w:val="00F9542C"/>
    <w:rsid w:val="00F95533"/>
    <w:rsid w:val="00F957B0"/>
    <w:rsid w:val="00F9603E"/>
    <w:rsid w:val="00F96A1B"/>
    <w:rsid w:val="00F96C39"/>
    <w:rsid w:val="00F96FDD"/>
    <w:rsid w:val="00FA0F3B"/>
    <w:rsid w:val="00FA1528"/>
    <w:rsid w:val="00FA23CB"/>
    <w:rsid w:val="00FA2550"/>
    <w:rsid w:val="00FA2656"/>
    <w:rsid w:val="00FA2A93"/>
    <w:rsid w:val="00FA2BB4"/>
    <w:rsid w:val="00FA2F25"/>
    <w:rsid w:val="00FA329E"/>
    <w:rsid w:val="00FA3649"/>
    <w:rsid w:val="00FA39C3"/>
    <w:rsid w:val="00FA5BFA"/>
    <w:rsid w:val="00FA6F16"/>
    <w:rsid w:val="00FA7590"/>
    <w:rsid w:val="00FA7669"/>
    <w:rsid w:val="00FA7A3C"/>
    <w:rsid w:val="00FB0103"/>
    <w:rsid w:val="00FB0749"/>
    <w:rsid w:val="00FB1613"/>
    <w:rsid w:val="00FB23BB"/>
    <w:rsid w:val="00FB27D4"/>
    <w:rsid w:val="00FB2999"/>
    <w:rsid w:val="00FB2F02"/>
    <w:rsid w:val="00FB2F8E"/>
    <w:rsid w:val="00FB31BD"/>
    <w:rsid w:val="00FB3367"/>
    <w:rsid w:val="00FB33C7"/>
    <w:rsid w:val="00FB33FF"/>
    <w:rsid w:val="00FB4D50"/>
    <w:rsid w:val="00FB5086"/>
    <w:rsid w:val="00FB5494"/>
    <w:rsid w:val="00FB6297"/>
    <w:rsid w:val="00FB67F4"/>
    <w:rsid w:val="00FB6B3A"/>
    <w:rsid w:val="00FB7689"/>
    <w:rsid w:val="00FB7C34"/>
    <w:rsid w:val="00FC0382"/>
    <w:rsid w:val="00FC0505"/>
    <w:rsid w:val="00FC07DB"/>
    <w:rsid w:val="00FC0B4F"/>
    <w:rsid w:val="00FC0D06"/>
    <w:rsid w:val="00FC2834"/>
    <w:rsid w:val="00FC2EE3"/>
    <w:rsid w:val="00FC2F7F"/>
    <w:rsid w:val="00FC3741"/>
    <w:rsid w:val="00FC4B58"/>
    <w:rsid w:val="00FC5367"/>
    <w:rsid w:val="00FC5451"/>
    <w:rsid w:val="00FC55C8"/>
    <w:rsid w:val="00FC64B8"/>
    <w:rsid w:val="00FC6B12"/>
    <w:rsid w:val="00FC6BA8"/>
    <w:rsid w:val="00FC72D7"/>
    <w:rsid w:val="00FD00FD"/>
    <w:rsid w:val="00FD049E"/>
    <w:rsid w:val="00FD1098"/>
    <w:rsid w:val="00FD1826"/>
    <w:rsid w:val="00FD1877"/>
    <w:rsid w:val="00FD2848"/>
    <w:rsid w:val="00FD2E10"/>
    <w:rsid w:val="00FD2FBE"/>
    <w:rsid w:val="00FD3434"/>
    <w:rsid w:val="00FD3908"/>
    <w:rsid w:val="00FD4113"/>
    <w:rsid w:val="00FD52BA"/>
    <w:rsid w:val="00FD53E1"/>
    <w:rsid w:val="00FD5500"/>
    <w:rsid w:val="00FD5626"/>
    <w:rsid w:val="00FD5A6F"/>
    <w:rsid w:val="00FD5B5C"/>
    <w:rsid w:val="00FD6018"/>
    <w:rsid w:val="00FD6774"/>
    <w:rsid w:val="00FD6A91"/>
    <w:rsid w:val="00FD6DA2"/>
    <w:rsid w:val="00FD7534"/>
    <w:rsid w:val="00FD765F"/>
    <w:rsid w:val="00FD798E"/>
    <w:rsid w:val="00FD79B3"/>
    <w:rsid w:val="00FD79EE"/>
    <w:rsid w:val="00FD79FF"/>
    <w:rsid w:val="00FE01A5"/>
    <w:rsid w:val="00FE0229"/>
    <w:rsid w:val="00FE0F13"/>
    <w:rsid w:val="00FE0F4E"/>
    <w:rsid w:val="00FE10F4"/>
    <w:rsid w:val="00FE14D8"/>
    <w:rsid w:val="00FE1650"/>
    <w:rsid w:val="00FE1822"/>
    <w:rsid w:val="00FE1A0A"/>
    <w:rsid w:val="00FE22DE"/>
    <w:rsid w:val="00FE2F62"/>
    <w:rsid w:val="00FE3568"/>
    <w:rsid w:val="00FE3945"/>
    <w:rsid w:val="00FE506C"/>
    <w:rsid w:val="00FE50F4"/>
    <w:rsid w:val="00FE54AB"/>
    <w:rsid w:val="00FE55DC"/>
    <w:rsid w:val="00FE5682"/>
    <w:rsid w:val="00FE6CC3"/>
    <w:rsid w:val="00FE6FD2"/>
    <w:rsid w:val="00FE74DE"/>
    <w:rsid w:val="00FE7CF1"/>
    <w:rsid w:val="00FF1721"/>
    <w:rsid w:val="00FF1CF2"/>
    <w:rsid w:val="00FF22C2"/>
    <w:rsid w:val="00FF2A09"/>
    <w:rsid w:val="00FF34A0"/>
    <w:rsid w:val="00FF3DF5"/>
    <w:rsid w:val="00FF46A7"/>
    <w:rsid w:val="00FF4BBC"/>
    <w:rsid w:val="00FF527B"/>
    <w:rsid w:val="00FF5E9A"/>
    <w:rsid w:val="00FF5EBC"/>
    <w:rsid w:val="00FF5F94"/>
    <w:rsid w:val="00FF615D"/>
    <w:rsid w:val="00FF6292"/>
    <w:rsid w:val="00FF6996"/>
    <w:rsid w:val="00FF6A5D"/>
    <w:rsid w:val="012F05D2"/>
    <w:rsid w:val="0163A245"/>
    <w:rsid w:val="0218CFB9"/>
    <w:rsid w:val="029EBF3C"/>
    <w:rsid w:val="030C13D2"/>
    <w:rsid w:val="03100E6E"/>
    <w:rsid w:val="03115425"/>
    <w:rsid w:val="035BE45A"/>
    <w:rsid w:val="04D2C2E7"/>
    <w:rsid w:val="053B8B8D"/>
    <w:rsid w:val="054220F2"/>
    <w:rsid w:val="0588F31E"/>
    <w:rsid w:val="062BD5BA"/>
    <w:rsid w:val="06594DA2"/>
    <w:rsid w:val="06D3A696"/>
    <w:rsid w:val="07CB11FD"/>
    <w:rsid w:val="086E4D6E"/>
    <w:rsid w:val="08FE6F0A"/>
    <w:rsid w:val="09195AAF"/>
    <w:rsid w:val="09225F96"/>
    <w:rsid w:val="0965E3BE"/>
    <w:rsid w:val="09D201CC"/>
    <w:rsid w:val="09DB3A85"/>
    <w:rsid w:val="0AADD870"/>
    <w:rsid w:val="0AF318F0"/>
    <w:rsid w:val="0BABFC3B"/>
    <w:rsid w:val="0C112EF4"/>
    <w:rsid w:val="0CB50238"/>
    <w:rsid w:val="10D7753B"/>
    <w:rsid w:val="11510544"/>
    <w:rsid w:val="126E88A0"/>
    <w:rsid w:val="128ECB71"/>
    <w:rsid w:val="12D8D018"/>
    <w:rsid w:val="156F3C4A"/>
    <w:rsid w:val="159BEF81"/>
    <w:rsid w:val="16B2BBC5"/>
    <w:rsid w:val="1797B9C5"/>
    <w:rsid w:val="17D706E5"/>
    <w:rsid w:val="19098D2A"/>
    <w:rsid w:val="19A22144"/>
    <w:rsid w:val="19D13FB0"/>
    <w:rsid w:val="1A483AD4"/>
    <w:rsid w:val="1A4C802B"/>
    <w:rsid w:val="1A937F13"/>
    <w:rsid w:val="1B9C9A84"/>
    <w:rsid w:val="1C222125"/>
    <w:rsid w:val="1CE1B66B"/>
    <w:rsid w:val="1CEA1BCF"/>
    <w:rsid w:val="1D1C035E"/>
    <w:rsid w:val="1D27FD1C"/>
    <w:rsid w:val="1E3B3A16"/>
    <w:rsid w:val="1E3EA18A"/>
    <w:rsid w:val="1F2855FC"/>
    <w:rsid w:val="1F8883AE"/>
    <w:rsid w:val="2067A552"/>
    <w:rsid w:val="20E1AB45"/>
    <w:rsid w:val="22DF2481"/>
    <w:rsid w:val="230C21D2"/>
    <w:rsid w:val="232E2F29"/>
    <w:rsid w:val="24D88F66"/>
    <w:rsid w:val="25AFCF51"/>
    <w:rsid w:val="26C1DD1D"/>
    <w:rsid w:val="26D6A790"/>
    <w:rsid w:val="27095915"/>
    <w:rsid w:val="274450FF"/>
    <w:rsid w:val="2917E67F"/>
    <w:rsid w:val="29BCFD67"/>
    <w:rsid w:val="29CBF06D"/>
    <w:rsid w:val="2A63C39A"/>
    <w:rsid w:val="2BEFD8F0"/>
    <w:rsid w:val="2BFCBCC7"/>
    <w:rsid w:val="2C29AF84"/>
    <w:rsid w:val="2C493AD7"/>
    <w:rsid w:val="2C4F32D0"/>
    <w:rsid w:val="2C5ECED8"/>
    <w:rsid w:val="2CDDC2A7"/>
    <w:rsid w:val="2D2D0164"/>
    <w:rsid w:val="2DA948E7"/>
    <w:rsid w:val="2E1C3961"/>
    <w:rsid w:val="2FE05AD6"/>
    <w:rsid w:val="304A2350"/>
    <w:rsid w:val="31BB902A"/>
    <w:rsid w:val="329F7107"/>
    <w:rsid w:val="32B7CAC9"/>
    <w:rsid w:val="32DCA5DF"/>
    <w:rsid w:val="338E0CAC"/>
    <w:rsid w:val="33A1E90F"/>
    <w:rsid w:val="33C1DC80"/>
    <w:rsid w:val="34138C36"/>
    <w:rsid w:val="35B21E7C"/>
    <w:rsid w:val="36A8158E"/>
    <w:rsid w:val="3815D103"/>
    <w:rsid w:val="383C69CF"/>
    <w:rsid w:val="387BE30D"/>
    <w:rsid w:val="3A3C7137"/>
    <w:rsid w:val="3B3A077A"/>
    <w:rsid w:val="3B9DEB2C"/>
    <w:rsid w:val="3BB4B5A9"/>
    <w:rsid w:val="3DF8733E"/>
    <w:rsid w:val="3E30D4AC"/>
    <w:rsid w:val="3E6F29B3"/>
    <w:rsid w:val="3ED1BF21"/>
    <w:rsid w:val="3FC4B9ED"/>
    <w:rsid w:val="401FECFF"/>
    <w:rsid w:val="4039C77F"/>
    <w:rsid w:val="4321491B"/>
    <w:rsid w:val="4352528F"/>
    <w:rsid w:val="438C3919"/>
    <w:rsid w:val="43E070BE"/>
    <w:rsid w:val="4404241B"/>
    <w:rsid w:val="44081567"/>
    <w:rsid w:val="442F0BAD"/>
    <w:rsid w:val="44A6AEF2"/>
    <w:rsid w:val="44AD6B88"/>
    <w:rsid w:val="44B53082"/>
    <w:rsid w:val="44FC4FA7"/>
    <w:rsid w:val="45B3ACEA"/>
    <w:rsid w:val="45F52D0D"/>
    <w:rsid w:val="46D4AAF2"/>
    <w:rsid w:val="4756DDF1"/>
    <w:rsid w:val="4771895E"/>
    <w:rsid w:val="47EFCC4D"/>
    <w:rsid w:val="484C91DE"/>
    <w:rsid w:val="486C13A8"/>
    <w:rsid w:val="49F23EF8"/>
    <w:rsid w:val="49F8027B"/>
    <w:rsid w:val="4A3E880F"/>
    <w:rsid w:val="4A715AAF"/>
    <w:rsid w:val="4AA3C996"/>
    <w:rsid w:val="4AF54130"/>
    <w:rsid w:val="4C812D5B"/>
    <w:rsid w:val="4C83D53D"/>
    <w:rsid w:val="4CB11B24"/>
    <w:rsid w:val="4CC1E10C"/>
    <w:rsid w:val="4CC3A769"/>
    <w:rsid w:val="4CD469C9"/>
    <w:rsid w:val="4D29F0A9"/>
    <w:rsid w:val="4D691001"/>
    <w:rsid w:val="4DD52B77"/>
    <w:rsid w:val="4DDC21D9"/>
    <w:rsid w:val="4E32DE4F"/>
    <w:rsid w:val="4E589B76"/>
    <w:rsid w:val="4EA4C958"/>
    <w:rsid w:val="4EA80F1E"/>
    <w:rsid w:val="4EFC0370"/>
    <w:rsid w:val="4FB95405"/>
    <w:rsid w:val="5046B168"/>
    <w:rsid w:val="50BBB23E"/>
    <w:rsid w:val="50BDB79A"/>
    <w:rsid w:val="50C29B69"/>
    <w:rsid w:val="51248E4A"/>
    <w:rsid w:val="51720122"/>
    <w:rsid w:val="5183BF34"/>
    <w:rsid w:val="51B21308"/>
    <w:rsid w:val="51DC926D"/>
    <w:rsid w:val="52C56A5E"/>
    <w:rsid w:val="530FB533"/>
    <w:rsid w:val="533651E2"/>
    <w:rsid w:val="533AF377"/>
    <w:rsid w:val="5352E96A"/>
    <w:rsid w:val="53B7B68F"/>
    <w:rsid w:val="5413FF54"/>
    <w:rsid w:val="548CE431"/>
    <w:rsid w:val="54CCBF75"/>
    <w:rsid w:val="54E473DC"/>
    <w:rsid w:val="550306CF"/>
    <w:rsid w:val="551B3314"/>
    <w:rsid w:val="55BFB292"/>
    <w:rsid w:val="5658C182"/>
    <w:rsid w:val="595C537A"/>
    <w:rsid w:val="596F0075"/>
    <w:rsid w:val="5A8693DA"/>
    <w:rsid w:val="5B8D62DE"/>
    <w:rsid w:val="5BCE908C"/>
    <w:rsid w:val="5C310AF8"/>
    <w:rsid w:val="5C391238"/>
    <w:rsid w:val="5D63736B"/>
    <w:rsid w:val="5DEF6700"/>
    <w:rsid w:val="5F1CC5C0"/>
    <w:rsid w:val="5FEA2B5F"/>
    <w:rsid w:val="6026CC99"/>
    <w:rsid w:val="609FF5DB"/>
    <w:rsid w:val="612C89F7"/>
    <w:rsid w:val="6168C6B5"/>
    <w:rsid w:val="61710EFB"/>
    <w:rsid w:val="61AACE82"/>
    <w:rsid w:val="622C9D04"/>
    <w:rsid w:val="62374935"/>
    <w:rsid w:val="625219AD"/>
    <w:rsid w:val="6390E6D7"/>
    <w:rsid w:val="639E9D9B"/>
    <w:rsid w:val="643F16D0"/>
    <w:rsid w:val="64CB6F15"/>
    <w:rsid w:val="65800F2A"/>
    <w:rsid w:val="66341E89"/>
    <w:rsid w:val="6659000D"/>
    <w:rsid w:val="66683E21"/>
    <w:rsid w:val="66BA2163"/>
    <w:rsid w:val="67243158"/>
    <w:rsid w:val="68FA53DB"/>
    <w:rsid w:val="691D898D"/>
    <w:rsid w:val="6C4CE7AB"/>
    <w:rsid w:val="6D2A119D"/>
    <w:rsid w:val="6D47DDF3"/>
    <w:rsid w:val="6DB28032"/>
    <w:rsid w:val="6E13727C"/>
    <w:rsid w:val="6E37C458"/>
    <w:rsid w:val="6E545A52"/>
    <w:rsid w:val="6E5B1F4D"/>
    <w:rsid w:val="6F2484D7"/>
    <w:rsid w:val="6F5B4853"/>
    <w:rsid w:val="70689C1C"/>
    <w:rsid w:val="70B47BF2"/>
    <w:rsid w:val="70CF22F7"/>
    <w:rsid w:val="70E09CDC"/>
    <w:rsid w:val="718988A9"/>
    <w:rsid w:val="71FC74CF"/>
    <w:rsid w:val="72384392"/>
    <w:rsid w:val="72FC12EE"/>
    <w:rsid w:val="73144396"/>
    <w:rsid w:val="7321287B"/>
    <w:rsid w:val="7347E2EB"/>
    <w:rsid w:val="742AC9D6"/>
    <w:rsid w:val="74E0797C"/>
    <w:rsid w:val="7586DEAF"/>
    <w:rsid w:val="76138C3C"/>
    <w:rsid w:val="766548D1"/>
    <w:rsid w:val="76DC323D"/>
    <w:rsid w:val="777B1C1A"/>
    <w:rsid w:val="777F8B1E"/>
    <w:rsid w:val="77B1C9E5"/>
    <w:rsid w:val="787F7249"/>
    <w:rsid w:val="78A3C670"/>
    <w:rsid w:val="78EBEBDF"/>
    <w:rsid w:val="794BC665"/>
    <w:rsid w:val="798C9CE8"/>
    <w:rsid w:val="7A3302F2"/>
    <w:rsid w:val="7BD1F789"/>
    <w:rsid w:val="7C5DE055"/>
    <w:rsid w:val="7CFB9C13"/>
    <w:rsid w:val="7D0296D3"/>
    <w:rsid w:val="7D2ABEFC"/>
    <w:rsid w:val="7D5F110C"/>
    <w:rsid w:val="7D9147DB"/>
    <w:rsid w:val="7DE6A10A"/>
    <w:rsid w:val="7E06D974"/>
    <w:rsid w:val="7F01F707"/>
    <w:rsid w:val="7F20244F"/>
    <w:rsid w:val="7F42B776"/>
    <w:rsid w:val="7FA8697B"/>
    <w:rsid w:val="7FD7A476"/>
    <w:rsid w:val="7FD86DAB"/>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CA6E95"/>
  <w15:chartTrackingRefBased/>
  <w15:docId w15:val="{11834764-32F8-4E93-BE22-5F6A8FA410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Book Antiqua" w:eastAsiaTheme="minorHAnsi" w:hAnsi="Book Antiqua"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2616"/>
    <w:pPr>
      <w:spacing w:before="120" w:after="120" w:line="240" w:lineRule="auto"/>
      <w:jc w:val="both"/>
    </w:pPr>
    <w:rPr>
      <w:rFonts w:eastAsia="Times New Roman" w:cs="Times New Roman"/>
      <w:szCs w:val="20"/>
      <w:lang w:eastAsia="es-ES"/>
    </w:rPr>
  </w:style>
  <w:style w:type="paragraph" w:styleId="Ttulo1">
    <w:name w:val="heading 1"/>
    <w:basedOn w:val="Normal"/>
    <w:next w:val="Normal"/>
    <w:link w:val="Ttulo1Car"/>
    <w:uiPriority w:val="9"/>
    <w:qFormat/>
    <w:rsid w:val="00447AAF"/>
    <w:pPr>
      <w:keepNext/>
      <w:keepLines/>
      <w:numPr>
        <w:numId w:val="2"/>
      </w:numPr>
      <w:pBdr>
        <w:top w:val="single" w:sz="2" w:space="1" w:color="244061" w:themeColor="accent1" w:themeShade="80"/>
        <w:left w:val="single" w:sz="2" w:space="4" w:color="244061" w:themeColor="accent1" w:themeShade="80"/>
        <w:bottom w:val="single" w:sz="2" w:space="1" w:color="244061" w:themeColor="accent1" w:themeShade="80"/>
        <w:right w:val="single" w:sz="2" w:space="4" w:color="244061" w:themeColor="accent1" w:themeShade="80"/>
      </w:pBdr>
      <w:shd w:val="clear" w:color="auto" w:fill="2F86BB"/>
      <w:spacing w:before="240" w:after="240"/>
      <w:outlineLvl w:val="0"/>
    </w:pPr>
    <w:rPr>
      <w:rFonts w:eastAsiaTheme="majorEastAsia" w:cstheme="majorBidi"/>
      <w:b/>
      <w:color w:val="FFFFFF" w:themeColor="background1"/>
      <w:sz w:val="24"/>
      <w:szCs w:val="32"/>
      <w:lang w:eastAsia="en-US"/>
    </w:rPr>
  </w:style>
  <w:style w:type="paragraph" w:styleId="Ttulo2">
    <w:name w:val="heading 2"/>
    <w:basedOn w:val="Normal"/>
    <w:next w:val="Normal"/>
    <w:link w:val="Ttulo2Car"/>
    <w:autoRedefine/>
    <w:uiPriority w:val="9"/>
    <w:unhideWhenUsed/>
    <w:qFormat/>
    <w:rsid w:val="00177D0A"/>
    <w:pPr>
      <w:keepNext/>
      <w:keepLines/>
      <w:numPr>
        <w:ilvl w:val="1"/>
        <w:numId w:val="19"/>
      </w:numPr>
      <w:pBdr>
        <w:top w:val="single" w:sz="4" w:space="1" w:color="244061" w:themeColor="accent1" w:themeShade="80"/>
        <w:left w:val="single" w:sz="4" w:space="4" w:color="244061" w:themeColor="accent1" w:themeShade="80"/>
        <w:bottom w:val="single" w:sz="4" w:space="1" w:color="244061" w:themeColor="accent1" w:themeShade="80"/>
        <w:right w:val="single" w:sz="4" w:space="4" w:color="244061" w:themeColor="accent1" w:themeShade="80"/>
      </w:pBdr>
      <w:shd w:val="clear" w:color="auto" w:fill="DBE5F1" w:themeFill="accent1" w:themeFillTint="33"/>
      <w:spacing w:before="240" w:after="240"/>
      <w:ind w:left="567"/>
      <w:jc w:val="left"/>
      <w:outlineLvl w:val="1"/>
    </w:pPr>
    <w:rPr>
      <w:rFonts w:eastAsiaTheme="majorEastAsia" w:cstheme="majorBidi"/>
      <w:b/>
      <w:color w:val="244061" w:themeColor="accent1" w:themeShade="80"/>
      <w:sz w:val="24"/>
      <w:szCs w:val="22"/>
      <w:lang w:val="es-ES" w:eastAsia="en-US"/>
    </w:rPr>
  </w:style>
  <w:style w:type="paragraph" w:styleId="Ttulo3">
    <w:name w:val="heading 3"/>
    <w:basedOn w:val="Normal"/>
    <w:next w:val="Normal"/>
    <w:link w:val="Ttulo3Car"/>
    <w:autoRedefine/>
    <w:uiPriority w:val="9"/>
    <w:unhideWhenUsed/>
    <w:qFormat/>
    <w:rsid w:val="00951D3E"/>
    <w:pPr>
      <w:keepNext/>
      <w:widowControl w:val="0"/>
      <w:spacing w:before="240" w:after="240"/>
      <w:ind w:left="720" w:hanging="720"/>
      <w:outlineLvl w:val="2"/>
    </w:pPr>
    <w:rPr>
      <w:b/>
      <w:color w:val="244061" w:themeColor="accent1" w:themeShade="80"/>
      <w:szCs w:val="18"/>
      <w:lang w:val="es-MX"/>
    </w:rPr>
  </w:style>
  <w:style w:type="paragraph" w:styleId="Ttulo4">
    <w:name w:val="heading 4"/>
    <w:basedOn w:val="Normal"/>
    <w:next w:val="Normal"/>
    <w:link w:val="Ttulo4Car"/>
    <w:autoRedefine/>
    <w:uiPriority w:val="9"/>
    <w:unhideWhenUsed/>
    <w:qFormat/>
    <w:rsid w:val="00447AAF"/>
    <w:pPr>
      <w:keepNext/>
      <w:keepLines/>
      <w:numPr>
        <w:ilvl w:val="3"/>
        <w:numId w:val="2"/>
      </w:numPr>
      <w:spacing w:before="240" w:after="240"/>
      <w:outlineLvl w:val="3"/>
    </w:pPr>
    <w:rPr>
      <w:rFonts w:cstheme="majorBidi"/>
      <w:b/>
      <w:iCs/>
      <w:color w:val="244061" w:themeColor="accent1" w:themeShade="80"/>
      <w:sz w:val="24"/>
      <w:lang w:eastAsia="zh-CN"/>
    </w:rPr>
  </w:style>
  <w:style w:type="paragraph" w:styleId="Ttulo5">
    <w:name w:val="heading 5"/>
    <w:basedOn w:val="Normal"/>
    <w:next w:val="Normal"/>
    <w:link w:val="Ttulo5Car"/>
    <w:uiPriority w:val="9"/>
    <w:unhideWhenUsed/>
    <w:qFormat/>
    <w:rsid w:val="00447AAF"/>
    <w:pPr>
      <w:keepNext/>
      <w:keepLines/>
      <w:numPr>
        <w:ilvl w:val="4"/>
        <w:numId w:val="2"/>
      </w:numPr>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447AAF"/>
    <w:pPr>
      <w:keepNext/>
      <w:keepLines/>
      <w:numPr>
        <w:ilvl w:val="5"/>
        <w:numId w:val="2"/>
      </w:numPr>
      <w:tabs>
        <w:tab w:val="num" w:pos="360"/>
      </w:tabs>
      <w:spacing w:before="4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447AAF"/>
    <w:pPr>
      <w:keepNext/>
      <w:keepLines/>
      <w:numPr>
        <w:ilvl w:val="6"/>
        <w:numId w:val="2"/>
      </w:numPr>
      <w:tabs>
        <w:tab w:val="num" w:pos="360"/>
      </w:tabs>
      <w:spacing w:before="4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447AAF"/>
    <w:pPr>
      <w:keepNext/>
      <w:keepLines/>
      <w:numPr>
        <w:ilvl w:val="7"/>
        <w:numId w:val="2"/>
      </w:numPr>
      <w:tabs>
        <w:tab w:val="num" w:pos="360"/>
      </w:tab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447AAF"/>
    <w:pPr>
      <w:keepNext/>
      <w:keepLines/>
      <w:numPr>
        <w:ilvl w:val="8"/>
        <w:numId w:val="2"/>
      </w:numPr>
      <w:tabs>
        <w:tab w:val="num" w:pos="360"/>
      </w:tabs>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0454A"/>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0454A"/>
    <w:rPr>
      <w:rFonts w:ascii="Segoe UI" w:hAnsi="Segoe UI" w:cs="Segoe UI"/>
      <w:sz w:val="18"/>
      <w:szCs w:val="18"/>
    </w:rPr>
  </w:style>
  <w:style w:type="paragraph" w:styleId="Ttulo">
    <w:name w:val="Title"/>
    <w:basedOn w:val="Normal"/>
    <w:link w:val="TtuloCar"/>
    <w:uiPriority w:val="1"/>
    <w:qFormat/>
    <w:rsid w:val="009E1B33"/>
    <w:pPr>
      <w:spacing w:line="264" w:lineRule="auto"/>
      <w:jc w:val="left"/>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9E1B33"/>
    <w:rPr>
      <w:rFonts w:eastAsiaTheme="majorEastAsia" w:cstheme="majorBidi"/>
      <w:b/>
      <w:color w:val="244061" w:themeColor="accent1" w:themeShade="80"/>
      <w:spacing w:val="10"/>
      <w:sz w:val="24"/>
      <w:szCs w:val="52"/>
      <w:lang w:val="es-ES" w:eastAsia="ja-JP"/>
    </w:rPr>
  </w:style>
  <w:style w:type="character" w:customStyle="1" w:styleId="Ttulo1Car">
    <w:name w:val="Título 1 Car"/>
    <w:basedOn w:val="Fuentedeprrafopredeter"/>
    <w:link w:val="Ttulo1"/>
    <w:uiPriority w:val="9"/>
    <w:rsid w:val="00447AAF"/>
    <w:rPr>
      <w:rFonts w:eastAsiaTheme="majorEastAsia" w:cstheme="majorBidi"/>
      <w:b/>
      <w:color w:val="FFFFFF" w:themeColor="background1"/>
      <w:sz w:val="24"/>
      <w:szCs w:val="32"/>
      <w:shd w:val="clear" w:color="auto" w:fill="2F86BB"/>
    </w:rPr>
  </w:style>
  <w:style w:type="character" w:customStyle="1" w:styleId="Ttulo2Car">
    <w:name w:val="Título 2 Car"/>
    <w:basedOn w:val="Fuentedeprrafopredeter"/>
    <w:link w:val="Ttulo2"/>
    <w:uiPriority w:val="9"/>
    <w:rsid w:val="00177D0A"/>
    <w:rPr>
      <w:rFonts w:eastAsiaTheme="majorEastAsia" w:cstheme="majorBidi"/>
      <w:b/>
      <w:color w:val="244061" w:themeColor="accent1" w:themeShade="80"/>
      <w:sz w:val="24"/>
      <w:shd w:val="clear" w:color="auto" w:fill="DBE5F1" w:themeFill="accent1" w:themeFillTint="33"/>
      <w:lang w:val="es-ES"/>
    </w:rPr>
  </w:style>
  <w:style w:type="character" w:customStyle="1" w:styleId="Ttulo3Car">
    <w:name w:val="Título 3 Car"/>
    <w:basedOn w:val="Fuentedeprrafopredeter"/>
    <w:link w:val="Ttulo3"/>
    <w:uiPriority w:val="9"/>
    <w:rsid w:val="00951D3E"/>
    <w:rPr>
      <w:rFonts w:eastAsia="Times New Roman" w:cs="Times New Roman"/>
      <w:b/>
      <w:color w:val="244061" w:themeColor="accent1" w:themeShade="80"/>
      <w:szCs w:val="18"/>
      <w:lang w:val="es-MX" w:eastAsia="es-ES"/>
    </w:rPr>
  </w:style>
  <w:style w:type="character" w:customStyle="1" w:styleId="Ttulo4Car">
    <w:name w:val="Título 4 Car"/>
    <w:basedOn w:val="Fuentedeprrafopredeter"/>
    <w:link w:val="Ttulo4"/>
    <w:uiPriority w:val="9"/>
    <w:rsid w:val="00447AAF"/>
    <w:rPr>
      <w:rFonts w:eastAsia="Times New Roman" w:cstheme="majorBidi"/>
      <w:b/>
      <w:iCs/>
      <w:color w:val="244061" w:themeColor="accent1" w:themeShade="80"/>
      <w:sz w:val="24"/>
      <w:szCs w:val="20"/>
      <w:lang w:eastAsia="zh-CN"/>
    </w:rPr>
  </w:style>
  <w:style w:type="character" w:customStyle="1" w:styleId="Ttulo5Car">
    <w:name w:val="Título 5 Car"/>
    <w:basedOn w:val="Fuentedeprrafopredeter"/>
    <w:link w:val="Ttulo5"/>
    <w:uiPriority w:val="9"/>
    <w:rsid w:val="00447AAF"/>
    <w:rPr>
      <w:rFonts w:asciiTheme="majorHAnsi" w:eastAsiaTheme="majorEastAsia" w:hAnsiTheme="majorHAnsi" w:cstheme="majorBidi"/>
      <w:color w:val="365F91" w:themeColor="accent1" w:themeShade="BF"/>
      <w:szCs w:val="20"/>
      <w:lang w:eastAsia="es-ES"/>
    </w:rPr>
  </w:style>
  <w:style w:type="character" w:customStyle="1" w:styleId="Ttulo6Car">
    <w:name w:val="Título 6 Car"/>
    <w:basedOn w:val="Fuentedeprrafopredeter"/>
    <w:link w:val="Ttulo6"/>
    <w:uiPriority w:val="9"/>
    <w:semiHidden/>
    <w:rsid w:val="00447AAF"/>
    <w:rPr>
      <w:rFonts w:asciiTheme="majorHAnsi" w:eastAsiaTheme="majorEastAsia" w:hAnsiTheme="majorHAnsi" w:cstheme="majorBidi"/>
      <w:color w:val="243F60" w:themeColor="accent1" w:themeShade="7F"/>
      <w:szCs w:val="20"/>
      <w:lang w:eastAsia="es-ES"/>
    </w:rPr>
  </w:style>
  <w:style w:type="character" w:customStyle="1" w:styleId="Ttulo7Car">
    <w:name w:val="Título 7 Car"/>
    <w:basedOn w:val="Fuentedeprrafopredeter"/>
    <w:link w:val="Ttulo7"/>
    <w:uiPriority w:val="9"/>
    <w:semiHidden/>
    <w:rsid w:val="00447AAF"/>
    <w:rPr>
      <w:rFonts w:asciiTheme="majorHAnsi" w:eastAsiaTheme="majorEastAsia" w:hAnsiTheme="majorHAnsi" w:cstheme="majorBidi"/>
      <w:i/>
      <w:iCs/>
      <w:color w:val="243F60" w:themeColor="accent1" w:themeShade="7F"/>
      <w:szCs w:val="20"/>
      <w:lang w:eastAsia="es-ES"/>
    </w:rPr>
  </w:style>
  <w:style w:type="character" w:customStyle="1" w:styleId="Ttulo8Car">
    <w:name w:val="Título 8 Car"/>
    <w:basedOn w:val="Fuentedeprrafopredeter"/>
    <w:link w:val="Ttulo8"/>
    <w:uiPriority w:val="9"/>
    <w:semiHidden/>
    <w:rsid w:val="00447AAF"/>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uiPriority w:val="9"/>
    <w:semiHidden/>
    <w:rsid w:val="00447AAF"/>
    <w:rPr>
      <w:rFonts w:asciiTheme="majorHAnsi" w:eastAsiaTheme="majorEastAsia" w:hAnsiTheme="majorHAnsi" w:cstheme="majorBidi"/>
      <w:i/>
      <w:iCs/>
      <w:color w:val="272727" w:themeColor="text1" w:themeTint="D8"/>
      <w:sz w:val="21"/>
      <w:szCs w:val="21"/>
      <w:lang w:eastAsia="es-ES"/>
    </w:rPr>
  </w:style>
  <w:style w:type="paragraph" w:styleId="Encabezado">
    <w:name w:val="header"/>
    <w:aliases w:val="encabezado,h"/>
    <w:basedOn w:val="Normal"/>
    <w:link w:val="EncabezadoCar"/>
    <w:uiPriority w:val="99"/>
    <w:unhideWhenUsed/>
    <w:rsid w:val="005967E5"/>
    <w:pPr>
      <w:tabs>
        <w:tab w:val="center" w:pos="4419"/>
        <w:tab w:val="right" w:pos="8838"/>
      </w:tabs>
      <w:spacing w:before="0" w:after="0"/>
    </w:pPr>
  </w:style>
  <w:style w:type="character" w:customStyle="1" w:styleId="EncabezadoCar">
    <w:name w:val="Encabezado Car"/>
    <w:aliases w:val="encabezado Car,h Car"/>
    <w:basedOn w:val="Fuentedeprrafopredeter"/>
    <w:link w:val="Encabezado"/>
    <w:uiPriority w:val="99"/>
    <w:rsid w:val="005967E5"/>
    <w:rPr>
      <w:rFonts w:eastAsia="Times New Roman" w:cs="Times New Roman"/>
      <w:szCs w:val="20"/>
      <w:lang w:eastAsia="es-ES"/>
    </w:rPr>
  </w:style>
  <w:style w:type="paragraph" w:styleId="Piedepgina">
    <w:name w:val="footer"/>
    <w:basedOn w:val="Normal"/>
    <w:link w:val="PiedepginaCar"/>
    <w:uiPriority w:val="99"/>
    <w:unhideWhenUsed/>
    <w:rsid w:val="005967E5"/>
    <w:pPr>
      <w:tabs>
        <w:tab w:val="center" w:pos="4419"/>
        <w:tab w:val="right" w:pos="8838"/>
      </w:tabs>
      <w:spacing w:before="0" w:after="0"/>
    </w:pPr>
  </w:style>
  <w:style w:type="character" w:customStyle="1" w:styleId="PiedepginaCar">
    <w:name w:val="Pie de página Car"/>
    <w:basedOn w:val="Fuentedeprrafopredeter"/>
    <w:link w:val="Piedepgina"/>
    <w:uiPriority w:val="99"/>
    <w:rsid w:val="005967E5"/>
    <w:rPr>
      <w:rFonts w:eastAsia="Times New Roman" w:cs="Times New Roman"/>
      <w:szCs w:val="20"/>
      <w:lang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link w:val="PrrafodelistaCar"/>
    <w:uiPriority w:val="34"/>
    <w:qFormat/>
    <w:rsid w:val="00A63121"/>
    <w:pPr>
      <w:ind w:left="720"/>
      <w:contextualSpacing/>
    </w:pPr>
  </w:style>
  <w:style w:type="paragraph" w:styleId="Descripcin">
    <w:name w:val="caption"/>
    <w:basedOn w:val="Normal"/>
    <w:next w:val="Normal"/>
    <w:uiPriority w:val="35"/>
    <w:qFormat/>
    <w:rsid w:val="005046C5"/>
    <w:pPr>
      <w:widowControl w:val="0"/>
      <w:autoSpaceDE w:val="0"/>
      <w:autoSpaceDN w:val="0"/>
      <w:adjustRightInd w:val="0"/>
    </w:pPr>
    <w:rPr>
      <w:rFonts w:ascii="Arial" w:hAnsi="Arial" w:cs="Arial"/>
      <w:b/>
      <w:bCs/>
      <w:lang w:val="es-ES"/>
    </w:rPr>
  </w:style>
  <w:style w:type="character" w:styleId="Refdecomentario">
    <w:name w:val="annotation reference"/>
    <w:uiPriority w:val="99"/>
    <w:unhideWhenUsed/>
    <w:rsid w:val="005046C5"/>
    <w:rPr>
      <w:sz w:val="16"/>
      <w:szCs w:val="16"/>
    </w:rPr>
  </w:style>
  <w:style w:type="paragraph" w:customStyle="1" w:styleId="Titulo3">
    <w:name w:val="Titulo 3"/>
    <w:basedOn w:val="Ttulo3"/>
    <w:rsid w:val="005046C5"/>
    <w:pPr>
      <w:numPr>
        <w:ilvl w:val="2"/>
        <w:numId w:val="20"/>
      </w:numPr>
    </w:p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uiPriority w:val="99"/>
    <w:unhideWhenUsed/>
    <w:qFormat/>
    <w:rsid w:val="005046C5"/>
    <w:pPr>
      <w:spacing w:before="0" w:after="0"/>
    </w:p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basedOn w:val="Fuentedeprrafopredeter"/>
    <w:link w:val="Textonotapie"/>
    <w:uiPriority w:val="99"/>
    <w:qFormat/>
    <w:rsid w:val="005046C5"/>
    <w:rPr>
      <w:rFonts w:eastAsia="Times New Roman" w:cs="Times New Roman"/>
      <w:szCs w:val="20"/>
      <w:lang w:eastAsia="es-ES"/>
    </w:rPr>
  </w:style>
  <w:style w:type="character" w:styleId="Refdenotaalpie">
    <w:name w:val="footnote reference"/>
    <w:aliases w:val="ƒ89,^ƒ89,Footnotes refss,Texto de nota al pie,Appel note de bas de page,Referencia nota al pie,Footnote number,referencia nota al pie,BVI fnr,f,Ref,de nota al pie,FC"/>
    <w:basedOn w:val="Fuentedeprrafopredeter"/>
    <w:uiPriority w:val="99"/>
    <w:unhideWhenUsed/>
    <w:qFormat/>
    <w:rsid w:val="005046C5"/>
    <w:rPr>
      <w:vertAlign w:val="superscript"/>
    </w:rPr>
  </w:style>
  <w:style w:type="paragraph" w:customStyle="1" w:styleId="Pa2">
    <w:name w:val="Pa2"/>
    <w:next w:val="Normal"/>
    <w:uiPriority w:val="99"/>
    <w:rsid w:val="001D5865"/>
    <w:pPr>
      <w:widowControl w:val="0"/>
      <w:autoSpaceDE w:val="0"/>
      <w:autoSpaceDN w:val="0"/>
      <w:adjustRightInd w:val="0"/>
      <w:spacing w:after="0" w:line="221" w:lineRule="atLeast"/>
    </w:pPr>
    <w:rPr>
      <w:rFonts w:ascii="Arial" w:eastAsia="Times New Roman" w:hAnsi="Arial" w:cs="Arial"/>
      <w:sz w:val="24"/>
      <w:szCs w:val="24"/>
      <w:lang w:val="es-ES" w:eastAsia="es-ES"/>
    </w:rPr>
  </w:style>
  <w:style w:type="character" w:styleId="Hipervnculo">
    <w:name w:val="Hyperlink"/>
    <w:basedOn w:val="Fuentedeprrafopredeter"/>
    <w:uiPriority w:val="99"/>
    <w:unhideWhenUsed/>
    <w:rsid w:val="001D5865"/>
    <w:rPr>
      <w:color w:val="0000FF" w:themeColor="hyperlink"/>
      <w:u w:val="single"/>
    </w:rPr>
  </w:style>
  <w:style w:type="paragraph" w:customStyle="1" w:styleId="xmsonormal">
    <w:name w:val="x_msonormal"/>
    <w:basedOn w:val="Normal"/>
    <w:rsid w:val="00DA3C64"/>
    <w:pPr>
      <w:spacing w:before="100" w:beforeAutospacing="1" w:after="100" w:afterAutospacing="1"/>
      <w:jc w:val="left"/>
    </w:pPr>
    <w:rPr>
      <w:rFonts w:ascii="Times New Roman" w:hAnsi="Times New Roman"/>
      <w:sz w:val="24"/>
      <w:szCs w:val="24"/>
      <w:lang w:eastAsia="es-CR"/>
    </w:rPr>
  </w:style>
  <w:style w:type="paragraph" w:customStyle="1" w:styleId="1">
    <w:name w:val="1"/>
    <w:basedOn w:val="Normal"/>
    <w:next w:val="Normal"/>
    <w:uiPriority w:val="35"/>
    <w:qFormat/>
    <w:rsid w:val="00094179"/>
    <w:pPr>
      <w:spacing w:before="0" w:after="0"/>
      <w:jc w:val="left"/>
    </w:pPr>
    <w:rPr>
      <w:rFonts w:ascii="Calibri" w:hAnsi="Calibri"/>
      <w:b/>
      <w:bCs/>
      <w:sz w:val="20"/>
      <w:lang w:val="es-ES"/>
    </w:rPr>
  </w:style>
  <w:style w:type="paragraph" w:styleId="Textocomentario">
    <w:name w:val="annotation text"/>
    <w:basedOn w:val="Normal"/>
    <w:link w:val="TextocomentarioCar"/>
    <w:uiPriority w:val="99"/>
    <w:unhideWhenUsed/>
    <w:rsid w:val="00283DA3"/>
    <w:rPr>
      <w:sz w:val="20"/>
    </w:rPr>
  </w:style>
  <w:style w:type="character" w:customStyle="1" w:styleId="TextocomentarioCar">
    <w:name w:val="Texto comentario Car"/>
    <w:basedOn w:val="Fuentedeprrafopredeter"/>
    <w:link w:val="Textocomentario"/>
    <w:uiPriority w:val="99"/>
    <w:rsid w:val="00283DA3"/>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283DA3"/>
    <w:rPr>
      <w:b/>
      <w:bCs/>
    </w:rPr>
  </w:style>
  <w:style w:type="character" w:customStyle="1" w:styleId="AsuntodelcomentarioCar">
    <w:name w:val="Asunto del comentario Car"/>
    <w:basedOn w:val="TextocomentarioCar"/>
    <w:link w:val="Asuntodelcomentario"/>
    <w:uiPriority w:val="99"/>
    <w:semiHidden/>
    <w:rsid w:val="00283DA3"/>
    <w:rPr>
      <w:rFonts w:eastAsia="Times New Roman" w:cs="Times New Roman"/>
      <w:b/>
      <w:bCs/>
      <w:sz w:val="20"/>
      <w:szCs w:val="20"/>
      <w:lang w:eastAsia="es-ES"/>
    </w:rPr>
  </w:style>
  <w:style w:type="paragraph" w:styleId="TtuloTDC">
    <w:name w:val="TOC Heading"/>
    <w:basedOn w:val="Ttulo1"/>
    <w:next w:val="Normal"/>
    <w:uiPriority w:val="39"/>
    <w:unhideWhenUsed/>
    <w:qFormat/>
    <w:rsid w:val="00BD0289"/>
    <w:pPr>
      <w:numPr>
        <w:numId w:val="0"/>
      </w:numPr>
      <w:pBdr>
        <w:top w:val="none" w:sz="0" w:space="0" w:color="auto"/>
        <w:left w:val="none" w:sz="0" w:space="0" w:color="auto"/>
        <w:bottom w:val="none" w:sz="0" w:space="0" w:color="auto"/>
        <w:right w:val="none" w:sz="0" w:space="0" w:color="auto"/>
      </w:pBdr>
      <w:shd w:val="clear" w:color="auto" w:fill="auto"/>
      <w:spacing w:after="0" w:line="259" w:lineRule="auto"/>
      <w:jc w:val="left"/>
      <w:outlineLvl w:val="9"/>
    </w:pPr>
    <w:rPr>
      <w:rFonts w:asciiTheme="majorHAnsi" w:hAnsiTheme="majorHAnsi"/>
      <w:b w:val="0"/>
      <w:color w:val="365F91" w:themeColor="accent1" w:themeShade="BF"/>
      <w:sz w:val="32"/>
      <w:lang w:eastAsia="es-CR"/>
    </w:rPr>
  </w:style>
  <w:style w:type="paragraph" w:styleId="TDC1">
    <w:name w:val="toc 1"/>
    <w:basedOn w:val="Normal"/>
    <w:next w:val="Normal"/>
    <w:autoRedefine/>
    <w:uiPriority w:val="39"/>
    <w:unhideWhenUsed/>
    <w:rsid w:val="00BD0289"/>
    <w:pPr>
      <w:spacing w:after="100"/>
    </w:pPr>
  </w:style>
  <w:style w:type="paragraph" w:styleId="TDC3">
    <w:name w:val="toc 3"/>
    <w:basedOn w:val="Normal"/>
    <w:next w:val="Normal"/>
    <w:autoRedefine/>
    <w:uiPriority w:val="39"/>
    <w:unhideWhenUsed/>
    <w:rsid w:val="005665E9"/>
    <w:pPr>
      <w:tabs>
        <w:tab w:val="right" w:leader="dot" w:pos="8828"/>
      </w:tabs>
      <w:spacing w:after="100"/>
      <w:ind w:left="440"/>
    </w:pPr>
  </w:style>
  <w:style w:type="paragraph" w:styleId="TDC2">
    <w:name w:val="toc 2"/>
    <w:basedOn w:val="Normal"/>
    <w:next w:val="Normal"/>
    <w:autoRedefine/>
    <w:uiPriority w:val="39"/>
    <w:unhideWhenUsed/>
    <w:rsid w:val="00BD0289"/>
    <w:pPr>
      <w:spacing w:after="100"/>
      <w:ind w:left="220"/>
    </w:pPr>
  </w:style>
  <w:style w:type="character" w:customStyle="1" w:styleId="PrrafodelistaCar">
    <w:name w:val="Párrafo de lista Car"/>
    <w:aliases w:val="Bullet 1 Car,Use Case List Paragraph Car,Lista vistosa - Énfasis 11 Car,Párrafo de lista Car Car Car Car,Informe Car,List Paragraph 1 Car,Numbered List Paragraph Car,Main numbered paragraph Car,Bullets Car,Akapit z listą BS Car"/>
    <w:link w:val="Prrafodelista"/>
    <w:uiPriority w:val="34"/>
    <w:qFormat/>
    <w:locked/>
    <w:rsid w:val="003A6FEB"/>
    <w:rPr>
      <w:rFonts w:eastAsia="Times New Roman" w:cs="Times New Roman"/>
      <w:szCs w:val="20"/>
      <w:lang w:eastAsia="es-ES"/>
    </w:rPr>
  </w:style>
  <w:style w:type="paragraph" w:styleId="Sinespaciado">
    <w:name w:val="No Spacing"/>
    <w:uiPriority w:val="1"/>
    <w:qFormat/>
    <w:rsid w:val="00E81280"/>
    <w:pPr>
      <w:spacing w:after="0" w:line="240" w:lineRule="auto"/>
      <w:jc w:val="both"/>
    </w:pPr>
    <w:rPr>
      <w:rFonts w:eastAsia="Times New Roman" w:cs="Times New Roman"/>
      <w:szCs w:val="20"/>
      <w:lang w:eastAsia="es-ES"/>
    </w:rPr>
  </w:style>
  <w:style w:type="paragraph" w:styleId="Revisin">
    <w:name w:val="Revision"/>
    <w:hidden/>
    <w:uiPriority w:val="99"/>
    <w:semiHidden/>
    <w:rsid w:val="00FA5BFA"/>
    <w:pPr>
      <w:spacing w:after="0" w:line="240" w:lineRule="auto"/>
    </w:pPr>
    <w:rPr>
      <w:rFonts w:eastAsia="Times New Roman" w:cs="Times New Roman"/>
      <w:szCs w:val="20"/>
      <w:lang w:eastAsia="es-ES"/>
    </w:rPr>
  </w:style>
  <w:style w:type="paragraph" w:customStyle="1" w:styleId="pf0">
    <w:name w:val="pf0"/>
    <w:basedOn w:val="Normal"/>
    <w:rsid w:val="004D1E38"/>
    <w:pPr>
      <w:spacing w:before="100" w:beforeAutospacing="1" w:after="100" w:afterAutospacing="1"/>
      <w:jc w:val="left"/>
    </w:pPr>
    <w:rPr>
      <w:rFonts w:ascii="Times New Roman" w:hAnsi="Times New Roman"/>
      <w:sz w:val="24"/>
      <w:szCs w:val="24"/>
      <w:lang w:eastAsia="es-CR"/>
    </w:rPr>
  </w:style>
  <w:style w:type="character" w:customStyle="1" w:styleId="cf01">
    <w:name w:val="cf01"/>
    <w:basedOn w:val="Fuentedeprrafopredeter"/>
    <w:rsid w:val="004D1E38"/>
    <w:rPr>
      <w:rFonts w:ascii="Segoe UI" w:hAnsi="Segoe UI" w:cs="Segoe UI" w:hint="default"/>
      <w:sz w:val="18"/>
      <w:szCs w:val="18"/>
    </w:rPr>
  </w:style>
  <w:style w:type="character" w:customStyle="1" w:styleId="cf11">
    <w:name w:val="cf11"/>
    <w:basedOn w:val="Fuentedeprrafopredeter"/>
    <w:rsid w:val="004D1E38"/>
    <w:rPr>
      <w:rFonts w:ascii="Segoe UI" w:hAnsi="Segoe UI" w:cs="Segoe UI" w:hint="default"/>
      <w:sz w:val="18"/>
      <w:szCs w:val="18"/>
    </w:rPr>
  </w:style>
  <w:style w:type="paragraph" w:styleId="NormalWeb">
    <w:name w:val="Normal (Web)"/>
    <w:basedOn w:val="Normal"/>
    <w:uiPriority w:val="99"/>
    <w:unhideWhenUsed/>
    <w:rsid w:val="0037722A"/>
    <w:pPr>
      <w:spacing w:before="100" w:beforeAutospacing="1" w:after="100" w:afterAutospacing="1"/>
      <w:jc w:val="left"/>
    </w:pPr>
    <w:rPr>
      <w:rFonts w:ascii="Times New Roman" w:hAnsi="Times New Roman"/>
      <w:sz w:val="24"/>
      <w:szCs w:val="24"/>
      <w:lang w:eastAsia="es-CR"/>
    </w:rPr>
  </w:style>
  <w:style w:type="character" w:customStyle="1" w:styleId="Mencinsinresolver1">
    <w:name w:val="Mención sin resolver1"/>
    <w:basedOn w:val="Fuentedeprrafopredeter"/>
    <w:uiPriority w:val="99"/>
    <w:semiHidden/>
    <w:unhideWhenUsed/>
    <w:rsid w:val="00541283"/>
    <w:rPr>
      <w:color w:val="605E5C"/>
      <w:shd w:val="clear" w:color="auto" w:fill="E1DFDD"/>
    </w:rPr>
  </w:style>
  <w:style w:type="table" w:styleId="Tablaconcuadrcula">
    <w:name w:val="Table Grid"/>
    <w:basedOn w:val="Tablanormal"/>
    <w:uiPriority w:val="39"/>
    <w:rsid w:val="00D52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erenciasutil">
    <w:name w:val="Subtle Reference"/>
    <w:basedOn w:val="Fuentedeprrafopredeter"/>
    <w:uiPriority w:val="31"/>
    <w:qFormat/>
    <w:rsid w:val="00B43736"/>
    <w:rPr>
      <w:smallCaps/>
      <w:color w:val="5A5A5A" w:themeColor="text1" w:themeTint="A5"/>
    </w:rPr>
  </w:style>
  <w:style w:type="paragraph" w:styleId="Subttulo">
    <w:name w:val="Subtitle"/>
    <w:basedOn w:val="Normal"/>
    <w:next w:val="Normal"/>
    <w:link w:val="SubttuloCar"/>
    <w:uiPriority w:val="11"/>
    <w:qFormat/>
    <w:rsid w:val="00B43736"/>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tuloCar">
    <w:name w:val="Subtítulo Car"/>
    <w:basedOn w:val="Fuentedeprrafopredeter"/>
    <w:link w:val="Subttulo"/>
    <w:uiPriority w:val="11"/>
    <w:rsid w:val="00B43736"/>
    <w:rPr>
      <w:rFonts w:asciiTheme="minorHAnsi" w:eastAsiaTheme="minorEastAsia" w:hAnsiTheme="minorHAnsi"/>
      <w:color w:val="5A5A5A" w:themeColor="text1" w:themeTint="A5"/>
      <w:spacing w:val="15"/>
      <w:lang w:eastAsia="es-ES"/>
    </w:rPr>
  </w:style>
  <w:style w:type="character" w:styleId="nfasissutil">
    <w:name w:val="Subtle Emphasis"/>
    <w:basedOn w:val="Fuentedeprrafopredeter"/>
    <w:uiPriority w:val="19"/>
    <w:qFormat/>
    <w:rsid w:val="00B43736"/>
    <w:rPr>
      <w:i/>
      <w:iCs/>
      <w:color w:val="404040" w:themeColor="text1" w:themeTint="BF"/>
    </w:rPr>
  </w:style>
  <w:style w:type="character" w:customStyle="1" w:styleId="normaltextrun">
    <w:name w:val="normaltextrun"/>
    <w:basedOn w:val="Fuentedeprrafopredeter"/>
    <w:rsid w:val="00D86B8F"/>
  </w:style>
  <w:style w:type="character" w:customStyle="1" w:styleId="eop">
    <w:name w:val="eop"/>
    <w:basedOn w:val="Fuentedeprrafopredeter"/>
    <w:rsid w:val="00D86B8F"/>
  </w:style>
  <w:style w:type="character" w:customStyle="1" w:styleId="ui-provider">
    <w:name w:val="ui-provider"/>
    <w:basedOn w:val="Fuentedeprrafopredeter"/>
    <w:rsid w:val="001112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79249">
      <w:bodyDiv w:val="1"/>
      <w:marLeft w:val="0"/>
      <w:marRight w:val="0"/>
      <w:marTop w:val="0"/>
      <w:marBottom w:val="0"/>
      <w:divBdr>
        <w:top w:val="none" w:sz="0" w:space="0" w:color="auto"/>
        <w:left w:val="none" w:sz="0" w:space="0" w:color="auto"/>
        <w:bottom w:val="none" w:sz="0" w:space="0" w:color="auto"/>
        <w:right w:val="none" w:sz="0" w:space="0" w:color="auto"/>
      </w:divBdr>
    </w:div>
    <w:div w:id="19092076">
      <w:bodyDiv w:val="1"/>
      <w:marLeft w:val="0"/>
      <w:marRight w:val="0"/>
      <w:marTop w:val="0"/>
      <w:marBottom w:val="0"/>
      <w:divBdr>
        <w:top w:val="none" w:sz="0" w:space="0" w:color="auto"/>
        <w:left w:val="none" w:sz="0" w:space="0" w:color="auto"/>
        <w:bottom w:val="none" w:sz="0" w:space="0" w:color="auto"/>
        <w:right w:val="none" w:sz="0" w:space="0" w:color="auto"/>
      </w:divBdr>
    </w:div>
    <w:div w:id="30545199">
      <w:bodyDiv w:val="1"/>
      <w:marLeft w:val="0"/>
      <w:marRight w:val="0"/>
      <w:marTop w:val="0"/>
      <w:marBottom w:val="0"/>
      <w:divBdr>
        <w:top w:val="none" w:sz="0" w:space="0" w:color="auto"/>
        <w:left w:val="none" w:sz="0" w:space="0" w:color="auto"/>
        <w:bottom w:val="none" w:sz="0" w:space="0" w:color="auto"/>
        <w:right w:val="none" w:sz="0" w:space="0" w:color="auto"/>
      </w:divBdr>
    </w:div>
    <w:div w:id="36206394">
      <w:bodyDiv w:val="1"/>
      <w:marLeft w:val="0"/>
      <w:marRight w:val="0"/>
      <w:marTop w:val="0"/>
      <w:marBottom w:val="0"/>
      <w:divBdr>
        <w:top w:val="none" w:sz="0" w:space="0" w:color="auto"/>
        <w:left w:val="none" w:sz="0" w:space="0" w:color="auto"/>
        <w:bottom w:val="none" w:sz="0" w:space="0" w:color="auto"/>
        <w:right w:val="none" w:sz="0" w:space="0" w:color="auto"/>
      </w:divBdr>
    </w:div>
    <w:div w:id="50076327">
      <w:bodyDiv w:val="1"/>
      <w:marLeft w:val="0"/>
      <w:marRight w:val="0"/>
      <w:marTop w:val="0"/>
      <w:marBottom w:val="0"/>
      <w:divBdr>
        <w:top w:val="none" w:sz="0" w:space="0" w:color="auto"/>
        <w:left w:val="none" w:sz="0" w:space="0" w:color="auto"/>
        <w:bottom w:val="none" w:sz="0" w:space="0" w:color="auto"/>
        <w:right w:val="none" w:sz="0" w:space="0" w:color="auto"/>
      </w:divBdr>
    </w:div>
    <w:div w:id="75176069">
      <w:bodyDiv w:val="1"/>
      <w:marLeft w:val="0"/>
      <w:marRight w:val="0"/>
      <w:marTop w:val="0"/>
      <w:marBottom w:val="0"/>
      <w:divBdr>
        <w:top w:val="none" w:sz="0" w:space="0" w:color="auto"/>
        <w:left w:val="none" w:sz="0" w:space="0" w:color="auto"/>
        <w:bottom w:val="none" w:sz="0" w:space="0" w:color="auto"/>
        <w:right w:val="none" w:sz="0" w:space="0" w:color="auto"/>
      </w:divBdr>
    </w:div>
    <w:div w:id="79524004">
      <w:bodyDiv w:val="1"/>
      <w:marLeft w:val="0"/>
      <w:marRight w:val="0"/>
      <w:marTop w:val="0"/>
      <w:marBottom w:val="0"/>
      <w:divBdr>
        <w:top w:val="none" w:sz="0" w:space="0" w:color="auto"/>
        <w:left w:val="none" w:sz="0" w:space="0" w:color="auto"/>
        <w:bottom w:val="none" w:sz="0" w:space="0" w:color="auto"/>
        <w:right w:val="none" w:sz="0" w:space="0" w:color="auto"/>
      </w:divBdr>
    </w:div>
    <w:div w:id="85348161">
      <w:bodyDiv w:val="1"/>
      <w:marLeft w:val="0"/>
      <w:marRight w:val="0"/>
      <w:marTop w:val="0"/>
      <w:marBottom w:val="0"/>
      <w:divBdr>
        <w:top w:val="none" w:sz="0" w:space="0" w:color="auto"/>
        <w:left w:val="none" w:sz="0" w:space="0" w:color="auto"/>
        <w:bottom w:val="none" w:sz="0" w:space="0" w:color="auto"/>
        <w:right w:val="none" w:sz="0" w:space="0" w:color="auto"/>
      </w:divBdr>
    </w:div>
    <w:div w:id="87581995">
      <w:bodyDiv w:val="1"/>
      <w:marLeft w:val="0"/>
      <w:marRight w:val="0"/>
      <w:marTop w:val="0"/>
      <w:marBottom w:val="0"/>
      <w:divBdr>
        <w:top w:val="none" w:sz="0" w:space="0" w:color="auto"/>
        <w:left w:val="none" w:sz="0" w:space="0" w:color="auto"/>
        <w:bottom w:val="none" w:sz="0" w:space="0" w:color="auto"/>
        <w:right w:val="none" w:sz="0" w:space="0" w:color="auto"/>
      </w:divBdr>
    </w:div>
    <w:div w:id="126507449">
      <w:bodyDiv w:val="1"/>
      <w:marLeft w:val="0"/>
      <w:marRight w:val="0"/>
      <w:marTop w:val="0"/>
      <w:marBottom w:val="0"/>
      <w:divBdr>
        <w:top w:val="none" w:sz="0" w:space="0" w:color="auto"/>
        <w:left w:val="none" w:sz="0" w:space="0" w:color="auto"/>
        <w:bottom w:val="none" w:sz="0" w:space="0" w:color="auto"/>
        <w:right w:val="none" w:sz="0" w:space="0" w:color="auto"/>
      </w:divBdr>
    </w:div>
    <w:div w:id="127942046">
      <w:bodyDiv w:val="1"/>
      <w:marLeft w:val="0"/>
      <w:marRight w:val="0"/>
      <w:marTop w:val="0"/>
      <w:marBottom w:val="0"/>
      <w:divBdr>
        <w:top w:val="none" w:sz="0" w:space="0" w:color="auto"/>
        <w:left w:val="none" w:sz="0" w:space="0" w:color="auto"/>
        <w:bottom w:val="none" w:sz="0" w:space="0" w:color="auto"/>
        <w:right w:val="none" w:sz="0" w:space="0" w:color="auto"/>
      </w:divBdr>
    </w:div>
    <w:div w:id="147523284">
      <w:bodyDiv w:val="1"/>
      <w:marLeft w:val="0"/>
      <w:marRight w:val="0"/>
      <w:marTop w:val="0"/>
      <w:marBottom w:val="0"/>
      <w:divBdr>
        <w:top w:val="none" w:sz="0" w:space="0" w:color="auto"/>
        <w:left w:val="none" w:sz="0" w:space="0" w:color="auto"/>
        <w:bottom w:val="none" w:sz="0" w:space="0" w:color="auto"/>
        <w:right w:val="none" w:sz="0" w:space="0" w:color="auto"/>
      </w:divBdr>
    </w:div>
    <w:div w:id="169416950">
      <w:bodyDiv w:val="1"/>
      <w:marLeft w:val="0"/>
      <w:marRight w:val="0"/>
      <w:marTop w:val="0"/>
      <w:marBottom w:val="0"/>
      <w:divBdr>
        <w:top w:val="none" w:sz="0" w:space="0" w:color="auto"/>
        <w:left w:val="none" w:sz="0" w:space="0" w:color="auto"/>
        <w:bottom w:val="none" w:sz="0" w:space="0" w:color="auto"/>
        <w:right w:val="none" w:sz="0" w:space="0" w:color="auto"/>
      </w:divBdr>
    </w:div>
    <w:div w:id="174879345">
      <w:bodyDiv w:val="1"/>
      <w:marLeft w:val="0"/>
      <w:marRight w:val="0"/>
      <w:marTop w:val="0"/>
      <w:marBottom w:val="0"/>
      <w:divBdr>
        <w:top w:val="none" w:sz="0" w:space="0" w:color="auto"/>
        <w:left w:val="none" w:sz="0" w:space="0" w:color="auto"/>
        <w:bottom w:val="none" w:sz="0" w:space="0" w:color="auto"/>
        <w:right w:val="none" w:sz="0" w:space="0" w:color="auto"/>
      </w:divBdr>
    </w:div>
    <w:div w:id="179860291">
      <w:bodyDiv w:val="1"/>
      <w:marLeft w:val="0"/>
      <w:marRight w:val="0"/>
      <w:marTop w:val="0"/>
      <w:marBottom w:val="0"/>
      <w:divBdr>
        <w:top w:val="none" w:sz="0" w:space="0" w:color="auto"/>
        <w:left w:val="none" w:sz="0" w:space="0" w:color="auto"/>
        <w:bottom w:val="none" w:sz="0" w:space="0" w:color="auto"/>
        <w:right w:val="none" w:sz="0" w:space="0" w:color="auto"/>
      </w:divBdr>
    </w:div>
    <w:div w:id="183593242">
      <w:bodyDiv w:val="1"/>
      <w:marLeft w:val="0"/>
      <w:marRight w:val="0"/>
      <w:marTop w:val="0"/>
      <w:marBottom w:val="0"/>
      <w:divBdr>
        <w:top w:val="none" w:sz="0" w:space="0" w:color="auto"/>
        <w:left w:val="none" w:sz="0" w:space="0" w:color="auto"/>
        <w:bottom w:val="none" w:sz="0" w:space="0" w:color="auto"/>
        <w:right w:val="none" w:sz="0" w:space="0" w:color="auto"/>
      </w:divBdr>
    </w:div>
    <w:div w:id="187912497">
      <w:bodyDiv w:val="1"/>
      <w:marLeft w:val="0"/>
      <w:marRight w:val="0"/>
      <w:marTop w:val="0"/>
      <w:marBottom w:val="0"/>
      <w:divBdr>
        <w:top w:val="none" w:sz="0" w:space="0" w:color="auto"/>
        <w:left w:val="none" w:sz="0" w:space="0" w:color="auto"/>
        <w:bottom w:val="none" w:sz="0" w:space="0" w:color="auto"/>
        <w:right w:val="none" w:sz="0" w:space="0" w:color="auto"/>
      </w:divBdr>
    </w:div>
    <w:div w:id="208684637">
      <w:bodyDiv w:val="1"/>
      <w:marLeft w:val="0"/>
      <w:marRight w:val="0"/>
      <w:marTop w:val="0"/>
      <w:marBottom w:val="0"/>
      <w:divBdr>
        <w:top w:val="none" w:sz="0" w:space="0" w:color="auto"/>
        <w:left w:val="none" w:sz="0" w:space="0" w:color="auto"/>
        <w:bottom w:val="none" w:sz="0" w:space="0" w:color="auto"/>
        <w:right w:val="none" w:sz="0" w:space="0" w:color="auto"/>
      </w:divBdr>
    </w:div>
    <w:div w:id="218253309">
      <w:bodyDiv w:val="1"/>
      <w:marLeft w:val="0"/>
      <w:marRight w:val="0"/>
      <w:marTop w:val="0"/>
      <w:marBottom w:val="0"/>
      <w:divBdr>
        <w:top w:val="none" w:sz="0" w:space="0" w:color="auto"/>
        <w:left w:val="none" w:sz="0" w:space="0" w:color="auto"/>
        <w:bottom w:val="none" w:sz="0" w:space="0" w:color="auto"/>
        <w:right w:val="none" w:sz="0" w:space="0" w:color="auto"/>
      </w:divBdr>
      <w:divsChild>
        <w:div w:id="943926779">
          <w:marLeft w:val="0"/>
          <w:marRight w:val="0"/>
          <w:marTop w:val="0"/>
          <w:marBottom w:val="0"/>
          <w:divBdr>
            <w:top w:val="none" w:sz="0" w:space="0" w:color="auto"/>
            <w:left w:val="none" w:sz="0" w:space="0" w:color="auto"/>
            <w:bottom w:val="none" w:sz="0" w:space="0" w:color="auto"/>
            <w:right w:val="none" w:sz="0" w:space="0" w:color="auto"/>
          </w:divBdr>
        </w:div>
      </w:divsChild>
    </w:div>
    <w:div w:id="227226204">
      <w:bodyDiv w:val="1"/>
      <w:marLeft w:val="0"/>
      <w:marRight w:val="0"/>
      <w:marTop w:val="0"/>
      <w:marBottom w:val="0"/>
      <w:divBdr>
        <w:top w:val="none" w:sz="0" w:space="0" w:color="auto"/>
        <w:left w:val="none" w:sz="0" w:space="0" w:color="auto"/>
        <w:bottom w:val="none" w:sz="0" w:space="0" w:color="auto"/>
        <w:right w:val="none" w:sz="0" w:space="0" w:color="auto"/>
      </w:divBdr>
    </w:div>
    <w:div w:id="242839638">
      <w:bodyDiv w:val="1"/>
      <w:marLeft w:val="0"/>
      <w:marRight w:val="0"/>
      <w:marTop w:val="0"/>
      <w:marBottom w:val="0"/>
      <w:divBdr>
        <w:top w:val="none" w:sz="0" w:space="0" w:color="auto"/>
        <w:left w:val="none" w:sz="0" w:space="0" w:color="auto"/>
        <w:bottom w:val="none" w:sz="0" w:space="0" w:color="auto"/>
        <w:right w:val="none" w:sz="0" w:space="0" w:color="auto"/>
      </w:divBdr>
    </w:div>
    <w:div w:id="255093509">
      <w:bodyDiv w:val="1"/>
      <w:marLeft w:val="0"/>
      <w:marRight w:val="0"/>
      <w:marTop w:val="0"/>
      <w:marBottom w:val="0"/>
      <w:divBdr>
        <w:top w:val="none" w:sz="0" w:space="0" w:color="auto"/>
        <w:left w:val="none" w:sz="0" w:space="0" w:color="auto"/>
        <w:bottom w:val="none" w:sz="0" w:space="0" w:color="auto"/>
        <w:right w:val="none" w:sz="0" w:space="0" w:color="auto"/>
      </w:divBdr>
    </w:div>
    <w:div w:id="266667834">
      <w:bodyDiv w:val="1"/>
      <w:marLeft w:val="0"/>
      <w:marRight w:val="0"/>
      <w:marTop w:val="0"/>
      <w:marBottom w:val="0"/>
      <w:divBdr>
        <w:top w:val="none" w:sz="0" w:space="0" w:color="auto"/>
        <w:left w:val="none" w:sz="0" w:space="0" w:color="auto"/>
        <w:bottom w:val="none" w:sz="0" w:space="0" w:color="auto"/>
        <w:right w:val="none" w:sz="0" w:space="0" w:color="auto"/>
      </w:divBdr>
    </w:div>
    <w:div w:id="286352303">
      <w:bodyDiv w:val="1"/>
      <w:marLeft w:val="0"/>
      <w:marRight w:val="0"/>
      <w:marTop w:val="0"/>
      <w:marBottom w:val="0"/>
      <w:divBdr>
        <w:top w:val="none" w:sz="0" w:space="0" w:color="auto"/>
        <w:left w:val="none" w:sz="0" w:space="0" w:color="auto"/>
        <w:bottom w:val="none" w:sz="0" w:space="0" w:color="auto"/>
        <w:right w:val="none" w:sz="0" w:space="0" w:color="auto"/>
      </w:divBdr>
    </w:div>
    <w:div w:id="296380866">
      <w:bodyDiv w:val="1"/>
      <w:marLeft w:val="0"/>
      <w:marRight w:val="0"/>
      <w:marTop w:val="0"/>
      <w:marBottom w:val="0"/>
      <w:divBdr>
        <w:top w:val="none" w:sz="0" w:space="0" w:color="auto"/>
        <w:left w:val="none" w:sz="0" w:space="0" w:color="auto"/>
        <w:bottom w:val="none" w:sz="0" w:space="0" w:color="auto"/>
        <w:right w:val="none" w:sz="0" w:space="0" w:color="auto"/>
      </w:divBdr>
    </w:div>
    <w:div w:id="320668154">
      <w:bodyDiv w:val="1"/>
      <w:marLeft w:val="0"/>
      <w:marRight w:val="0"/>
      <w:marTop w:val="0"/>
      <w:marBottom w:val="0"/>
      <w:divBdr>
        <w:top w:val="none" w:sz="0" w:space="0" w:color="auto"/>
        <w:left w:val="none" w:sz="0" w:space="0" w:color="auto"/>
        <w:bottom w:val="none" w:sz="0" w:space="0" w:color="auto"/>
        <w:right w:val="none" w:sz="0" w:space="0" w:color="auto"/>
      </w:divBdr>
    </w:div>
    <w:div w:id="329605437">
      <w:bodyDiv w:val="1"/>
      <w:marLeft w:val="0"/>
      <w:marRight w:val="0"/>
      <w:marTop w:val="0"/>
      <w:marBottom w:val="0"/>
      <w:divBdr>
        <w:top w:val="none" w:sz="0" w:space="0" w:color="auto"/>
        <w:left w:val="none" w:sz="0" w:space="0" w:color="auto"/>
        <w:bottom w:val="none" w:sz="0" w:space="0" w:color="auto"/>
        <w:right w:val="none" w:sz="0" w:space="0" w:color="auto"/>
      </w:divBdr>
    </w:div>
    <w:div w:id="343365612">
      <w:bodyDiv w:val="1"/>
      <w:marLeft w:val="0"/>
      <w:marRight w:val="0"/>
      <w:marTop w:val="0"/>
      <w:marBottom w:val="0"/>
      <w:divBdr>
        <w:top w:val="none" w:sz="0" w:space="0" w:color="auto"/>
        <w:left w:val="none" w:sz="0" w:space="0" w:color="auto"/>
        <w:bottom w:val="none" w:sz="0" w:space="0" w:color="auto"/>
        <w:right w:val="none" w:sz="0" w:space="0" w:color="auto"/>
      </w:divBdr>
    </w:div>
    <w:div w:id="345640666">
      <w:bodyDiv w:val="1"/>
      <w:marLeft w:val="0"/>
      <w:marRight w:val="0"/>
      <w:marTop w:val="0"/>
      <w:marBottom w:val="0"/>
      <w:divBdr>
        <w:top w:val="none" w:sz="0" w:space="0" w:color="auto"/>
        <w:left w:val="none" w:sz="0" w:space="0" w:color="auto"/>
        <w:bottom w:val="none" w:sz="0" w:space="0" w:color="auto"/>
        <w:right w:val="none" w:sz="0" w:space="0" w:color="auto"/>
      </w:divBdr>
    </w:div>
    <w:div w:id="355813961">
      <w:bodyDiv w:val="1"/>
      <w:marLeft w:val="0"/>
      <w:marRight w:val="0"/>
      <w:marTop w:val="0"/>
      <w:marBottom w:val="0"/>
      <w:divBdr>
        <w:top w:val="none" w:sz="0" w:space="0" w:color="auto"/>
        <w:left w:val="none" w:sz="0" w:space="0" w:color="auto"/>
        <w:bottom w:val="none" w:sz="0" w:space="0" w:color="auto"/>
        <w:right w:val="none" w:sz="0" w:space="0" w:color="auto"/>
      </w:divBdr>
    </w:div>
    <w:div w:id="357974382">
      <w:bodyDiv w:val="1"/>
      <w:marLeft w:val="0"/>
      <w:marRight w:val="0"/>
      <w:marTop w:val="0"/>
      <w:marBottom w:val="0"/>
      <w:divBdr>
        <w:top w:val="none" w:sz="0" w:space="0" w:color="auto"/>
        <w:left w:val="none" w:sz="0" w:space="0" w:color="auto"/>
        <w:bottom w:val="none" w:sz="0" w:space="0" w:color="auto"/>
        <w:right w:val="none" w:sz="0" w:space="0" w:color="auto"/>
      </w:divBdr>
    </w:div>
    <w:div w:id="361901221">
      <w:bodyDiv w:val="1"/>
      <w:marLeft w:val="0"/>
      <w:marRight w:val="0"/>
      <w:marTop w:val="0"/>
      <w:marBottom w:val="0"/>
      <w:divBdr>
        <w:top w:val="none" w:sz="0" w:space="0" w:color="auto"/>
        <w:left w:val="none" w:sz="0" w:space="0" w:color="auto"/>
        <w:bottom w:val="none" w:sz="0" w:space="0" w:color="auto"/>
        <w:right w:val="none" w:sz="0" w:space="0" w:color="auto"/>
      </w:divBdr>
    </w:div>
    <w:div w:id="365758910">
      <w:bodyDiv w:val="1"/>
      <w:marLeft w:val="0"/>
      <w:marRight w:val="0"/>
      <w:marTop w:val="0"/>
      <w:marBottom w:val="0"/>
      <w:divBdr>
        <w:top w:val="none" w:sz="0" w:space="0" w:color="auto"/>
        <w:left w:val="none" w:sz="0" w:space="0" w:color="auto"/>
        <w:bottom w:val="none" w:sz="0" w:space="0" w:color="auto"/>
        <w:right w:val="none" w:sz="0" w:space="0" w:color="auto"/>
      </w:divBdr>
    </w:div>
    <w:div w:id="385297106">
      <w:bodyDiv w:val="1"/>
      <w:marLeft w:val="0"/>
      <w:marRight w:val="0"/>
      <w:marTop w:val="0"/>
      <w:marBottom w:val="0"/>
      <w:divBdr>
        <w:top w:val="none" w:sz="0" w:space="0" w:color="auto"/>
        <w:left w:val="none" w:sz="0" w:space="0" w:color="auto"/>
        <w:bottom w:val="none" w:sz="0" w:space="0" w:color="auto"/>
        <w:right w:val="none" w:sz="0" w:space="0" w:color="auto"/>
      </w:divBdr>
    </w:div>
    <w:div w:id="403603278">
      <w:bodyDiv w:val="1"/>
      <w:marLeft w:val="0"/>
      <w:marRight w:val="0"/>
      <w:marTop w:val="0"/>
      <w:marBottom w:val="0"/>
      <w:divBdr>
        <w:top w:val="none" w:sz="0" w:space="0" w:color="auto"/>
        <w:left w:val="none" w:sz="0" w:space="0" w:color="auto"/>
        <w:bottom w:val="none" w:sz="0" w:space="0" w:color="auto"/>
        <w:right w:val="none" w:sz="0" w:space="0" w:color="auto"/>
      </w:divBdr>
    </w:div>
    <w:div w:id="415711773">
      <w:bodyDiv w:val="1"/>
      <w:marLeft w:val="0"/>
      <w:marRight w:val="0"/>
      <w:marTop w:val="0"/>
      <w:marBottom w:val="0"/>
      <w:divBdr>
        <w:top w:val="none" w:sz="0" w:space="0" w:color="auto"/>
        <w:left w:val="none" w:sz="0" w:space="0" w:color="auto"/>
        <w:bottom w:val="none" w:sz="0" w:space="0" w:color="auto"/>
        <w:right w:val="none" w:sz="0" w:space="0" w:color="auto"/>
      </w:divBdr>
    </w:div>
    <w:div w:id="440610760">
      <w:bodyDiv w:val="1"/>
      <w:marLeft w:val="0"/>
      <w:marRight w:val="0"/>
      <w:marTop w:val="0"/>
      <w:marBottom w:val="0"/>
      <w:divBdr>
        <w:top w:val="none" w:sz="0" w:space="0" w:color="auto"/>
        <w:left w:val="none" w:sz="0" w:space="0" w:color="auto"/>
        <w:bottom w:val="none" w:sz="0" w:space="0" w:color="auto"/>
        <w:right w:val="none" w:sz="0" w:space="0" w:color="auto"/>
      </w:divBdr>
    </w:div>
    <w:div w:id="445808359">
      <w:bodyDiv w:val="1"/>
      <w:marLeft w:val="0"/>
      <w:marRight w:val="0"/>
      <w:marTop w:val="0"/>
      <w:marBottom w:val="0"/>
      <w:divBdr>
        <w:top w:val="none" w:sz="0" w:space="0" w:color="auto"/>
        <w:left w:val="none" w:sz="0" w:space="0" w:color="auto"/>
        <w:bottom w:val="none" w:sz="0" w:space="0" w:color="auto"/>
        <w:right w:val="none" w:sz="0" w:space="0" w:color="auto"/>
      </w:divBdr>
    </w:div>
    <w:div w:id="449668844">
      <w:bodyDiv w:val="1"/>
      <w:marLeft w:val="0"/>
      <w:marRight w:val="0"/>
      <w:marTop w:val="0"/>
      <w:marBottom w:val="0"/>
      <w:divBdr>
        <w:top w:val="none" w:sz="0" w:space="0" w:color="auto"/>
        <w:left w:val="none" w:sz="0" w:space="0" w:color="auto"/>
        <w:bottom w:val="none" w:sz="0" w:space="0" w:color="auto"/>
        <w:right w:val="none" w:sz="0" w:space="0" w:color="auto"/>
      </w:divBdr>
    </w:div>
    <w:div w:id="462693789">
      <w:bodyDiv w:val="1"/>
      <w:marLeft w:val="0"/>
      <w:marRight w:val="0"/>
      <w:marTop w:val="0"/>
      <w:marBottom w:val="0"/>
      <w:divBdr>
        <w:top w:val="none" w:sz="0" w:space="0" w:color="auto"/>
        <w:left w:val="none" w:sz="0" w:space="0" w:color="auto"/>
        <w:bottom w:val="none" w:sz="0" w:space="0" w:color="auto"/>
        <w:right w:val="none" w:sz="0" w:space="0" w:color="auto"/>
      </w:divBdr>
    </w:div>
    <w:div w:id="470446661">
      <w:bodyDiv w:val="1"/>
      <w:marLeft w:val="0"/>
      <w:marRight w:val="0"/>
      <w:marTop w:val="0"/>
      <w:marBottom w:val="0"/>
      <w:divBdr>
        <w:top w:val="none" w:sz="0" w:space="0" w:color="auto"/>
        <w:left w:val="none" w:sz="0" w:space="0" w:color="auto"/>
        <w:bottom w:val="none" w:sz="0" w:space="0" w:color="auto"/>
        <w:right w:val="none" w:sz="0" w:space="0" w:color="auto"/>
      </w:divBdr>
    </w:div>
    <w:div w:id="479420959">
      <w:bodyDiv w:val="1"/>
      <w:marLeft w:val="0"/>
      <w:marRight w:val="0"/>
      <w:marTop w:val="0"/>
      <w:marBottom w:val="0"/>
      <w:divBdr>
        <w:top w:val="none" w:sz="0" w:space="0" w:color="auto"/>
        <w:left w:val="none" w:sz="0" w:space="0" w:color="auto"/>
        <w:bottom w:val="none" w:sz="0" w:space="0" w:color="auto"/>
        <w:right w:val="none" w:sz="0" w:space="0" w:color="auto"/>
      </w:divBdr>
    </w:div>
    <w:div w:id="496385015">
      <w:bodyDiv w:val="1"/>
      <w:marLeft w:val="0"/>
      <w:marRight w:val="0"/>
      <w:marTop w:val="0"/>
      <w:marBottom w:val="0"/>
      <w:divBdr>
        <w:top w:val="none" w:sz="0" w:space="0" w:color="auto"/>
        <w:left w:val="none" w:sz="0" w:space="0" w:color="auto"/>
        <w:bottom w:val="none" w:sz="0" w:space="0" w:color="auto"/>
        <w:right w:val="none" w:sz="0" w:space="0" w:color="auto"/>
      </w:divBdr>
    </w:div>
    <w:div w:id="500858061">
      <w:bodyDiv w:val="1"/>
      <w:marLeft w:val="0"/>
      <w:marRight w:val="0"/>
      <w:marTop w:val="0"/>
      <w:marBottom w:val="0"/>
      <w:divBdr>
        <w:top w:val="none" w:sz="0" w:space="0" w:color="auto"/>
        <w:left w:val="none" w:sz="0" w:space="0" w:color="auto"/>
        <w:bottom w:val="none" w:sz="0" w:space="0" w:color="auto"/>
        <w:right w:val="none" w:sz="0" w:space="0" w:color="auto"/>
      </w:divBdr>
    </w:div>
    <w:div w:id="506749123">
      <w:bodyDiv w:val="1"/>
      <w:marLeft w:val="0"/>
      <w:marRight w:val="0"/>
      <w:marTop w:val="0"/>
      <w:marBottom w:val="0"/>
      <w:divBdr>
        <w:top w:val="none" w:sz="0" w:space="0" w:color="auto"/>
        <w:left w:val="none" w:sz="0" w:space="0" w:color="auto"/>
        <w:bottom w:val="none" w:sz="0" w:space="0" w:color="auto"/>
        <w:right w:val="none" w:sz="0" w:space="0" w:color="auto"/>
      </w:divBdr>
    </w:div>
    <w:div w:id="510950414">
      <w:bodyDiv w:val="1"/>
      <w:marLeft w:val="0"/>
      <w:marRight w:val="0"/>
      <w:marTop w:val="0"/>
      <w:marBottom w:val="0"/>
      <w:divBdr>
        <w:top w:val="none" w:sz="0" w:space="0" w:color="auto"/>
        <w:left w:val="none" w:sz="0" w:space="0" w:color="auto"/>
        <w:bottom w:val="none" w:sz="0" w:space="0" w:color="auto"/>
        <w:right w:val="none" w:sz="0" w:space="0" w:color="auto"/>
      </w:divBdr>
    </w:div>
    <w:div w:id="521090946">
      <w:bodyDiv w:val="1"/>
      <w:marLeft w:val="0"/>
      <w:marRight w:val="0"/>
      <w:marTop w:val="0"/>
      <w:marBottom w:val="0"/>
      <w:divBdr>
        <w:top w:val="none" w:sz="0" w:space="0" w:color="auto"/>
        <w:left w:val="none" w:sz="0" w:space="0" w:color="auto"/>
        <w:bottom w:val="none" w:sz="0" w:space="0" w:color="auto"/>
        <w:right w:val="none" w:sz="0" w:space="0" w:color="auto"/>
      </w:divBdr>
    </w:div>
    <w:div w:id="540871438">
      <w:bodyDiv w:val="1"/>
      <w:marLeft w:val="0"/>
      <w:marRight w:val="0"/>
      <w:marTop w:val="0"/>
      <w:marBottom w:val="0"/>
      <w:divBdr>
        <w:top w:val="none" w:sz="0" w:space="0" w:color="auto"/>
        <w:left w:val="none" w:sz="0" w:space="0" w:color="auto"/>
        <w:bottom w:val="none" w:sz="0" w:space="0" w:color="auto"/>
        <w:right w:val="none" w:sz="0" w:space="0" w:color="auto"/>
      </w:divBdr>
    </w:div>
    <w:div w:id="542182746">
      <w:bodyDiv w:val="1"/>
      <w:marLeft w:val="0"/>
      <w:marRight w:val="0"/>
      <w:marTop w:val="0"/>
      <w:marBottom w:val="0"/>
      <w:divBdr>
        <w:top w:val="none" w:sz="0" w:space="0" w:color="auto"/>
        <w:left w:val="none" w:sz="0" w:space="0" w:color="auto"/>
        <w:bottom w:val="none" w:sz="0" w:space="0" w:color="auto"/>
        <w:right w:val="none" w:sz="0" w:space="0" w:color="auto"/>
      </w:divBdr>
    </w:div>
    <w:div w:id="545332662">
      <w:bodyDiv w:val="1"/>
      <w:marLeft w:val="0"/>
      <w:marRight w:val="0"/>
      <w:marTop w:val="0"/>
      <w:marBottom w:val="0"/>
      <w:divBdr>
        <w:top w:val="none" w:sz="0" w:space="0" w:color="auto"/>
        <w:left w:val="none" w:sz="0" w:space="0" w:color="auto"/>
        <w:bottom w:val="none" w:sz="0" w:space="0" w:color="auto"/>
        <w:right w:val="none" w:sz="0" w:space="0" w:color="auto"/>
      </w:divBdr>
    </w:div>
    <w:div w:id="551308015">
      <w:bodyDiv w:val="1"/>
      <w:marLeft w:val="0"/>
      <w:marRight w:val="0"/>
      <w:marTop w:val="0"/>
      <w:marBottom w:val="0"/>
      <w:divBdr>
        <w:top w:val="none" w:sz="0" w:space="0" w:color="auto"/>
        <w:left w:val="none" w:sz="0" w:space="0" w:color="auto"/>
        <w:bottom w:val="none" w:sz="0" w:space="0" w:color="auto"/>
        <w:right w:val="none" w:sz="0" w:space="0" w:color="auto"/>
      </w:divBdr>
    </w:div>
    <w:div w:id="555896489">
      <w:bodyDiv w:val="1"/>
      <w:marLeft w:val="0"/>
      <w:marRight w:val="0"/>
      <w:marTop w:val="0"/>
      <w:marBottom w:val="0"/>
      <w:divBdr>
        <w:top w:val="none" w:sz="0" w:space="0" w:color="auto"/>
        <w:left w:val="none" w:sz="0" w:space="0" w:color="auto"/>
        <w:bottom w:val="none" w:sz="0" w:space="0" w:color="auto"/>
        <w:right w:val="none" w:sz="0" w:space="0" w:color="auto"/>
      </w:divBdr>
    </w:div>
    <w:div w:id="558052145">
      <w:bodyDiv w:val="1"/>
      <w:marLeft w:val="0"/>
      <w:marRight w:val="0"/>
      <w:marTop w:val="0"/>
      <w:marBottom w:val="0"/>
      <w:divBdr>
        <w:top w:val="none" w:sz="0" w:space="0" w:color="auto"/>
        <w:left w:val="none" w:sz="0" w:space="0" w:color="auto"/>
        <w:bottom w:val="none" w:sz="0" w:space="0" w:color="auto"/>
        <w:right w:val="none" w:sz="0" w:space="0" w:color="auto"/>
      </w:divBdr>
    </w:div>
    <w:div w:id="592975934">
      <w:bodyDiv w:val="1"/>
      <w:marLeft w:val="0"/>
      <w:marRight w:val="0"/>
      <w:marTop w:val="0"/>
      <w:marBottom w:val="0"/>
      <w:divBdr>
        <w:top w:val="none" w:sz="0" w:space="0" w:color="auto"/>
        <w:left w:val="none" w:sz="0" w:space="0" w:color="auto"/>
        <w:bottom w:val="none" w:sz="0" w:space="0" w:color="auto"/>
        <w:right w:val="none" w:sz="0" w:space="0" w:color="auto"/>
      </w:divBdr>
    </w:div>
    <w:div w:id="655187714">
      <w:bodyDiv w:val="1"/>
      <w:marLeft w:val="0"/>
      <w:marRight w:val="0"/>
      <w:marTop w:val="0"/>
      <w:marBottom w:val="0"/>
      <w:divBdr>
        <w:top w:val="none" w:sz="0" w:space="0" w:color="auto"/>
        <w:left w:val="none" w:sz="0" w:space="0" w:color="auto"/>
        <w:bottom w:val="none" w:sz="0" w:space="0" w:color="auto"/>
        <w:right w:val="none" w:sz="0" w:space="0" w:color="auto"/>
      </w:divBdr>
    </w:div>
    <w:div w:id="661589848">
      <w:bodyDiv w:val="1"/>
      <w:marLeft w:val="0"/>
      <w:marRight w:val="0"/>
      <w:marTop w:val="0"/>
      <w:marBottom w:val="0"/>
      <w:divBdr>
        <w:top w:val="none" w:sz="0" w:space="0" w:color="auto"/>
        <w:left w:val="none" w:sz="0" w:space="0" w:color="auto"/>
        <w:bottom w:val="none" w:sz="0" w:space="0" w:color="auto"/>
        <w:right w:val="none" w:sz="0" w:space="0" w:color="auto"/>
      </w:divBdr>
    </w:div>
    <w:div w:id="662665326">
      <w:bodyDiv w:val="1"/>
      <w:marLeft w:val="0"/>
      <w:marRight w:val="0"/>
      <w:marTop w:val="0"/>
      <w:marBottom w:val="0"/>
      <w:divBdr>
        <w:top w:val="none" w:sz="0" w:space="0" w:color="auto"/>
        <w:left w:val="none" w:sz="0" w:space="0" w:color="auto"/>
        <w:bottom w:val="none" w:sz="0" w:space="0" w:color="auto"/>
        <w:right w:val="none" w:sz="0" w:space="0" w:color="auto"/>
      </w:divBdr>
    </w:div>
    <w:div w:id="686834297">
      <w:bodyDiv w:val="1"/>
      <w:marLeft w:val="0"/>
      <w:marRight w:val="0"/>
      <w:marTop w:val="0"/>
      <w:marBottom w:val="0"/>
      <w:divBdr>
        <w:top w:val="none" w:sz="0" w:space="0" w:color="auto"/>
        <w:left w:val="none" w:sz="0" w:space="0" w:color="auto"/>
        <w:bottom w:val="none" w:sz="0" w:space="0" w:color="auto"/>
        <w:right w:val="none" w:sz="0" w:space="0" w:color="auto"/>
      </w:divBdr>
    </w:div>
    <w:div w:id="715199379">
      <w:bodyDiv w:val="1"/>
      <w:marLeft w:val="0"/>
      <w:marRight w:val="0"/>
      <w:marTop w:val="0"/>
      <w:marBottom w:val="0"/>
      <w:divBdr>
        <w:top w:val="none" w:sz="0" w:space="0" w:color="auto"/>
        <w:left w:val="none" w:sz="0" w:space="0" w:color="auto"/>
        <w:bottom w:val="none" w:sz="0" w:space="0" w:color="auto"/>
        <w:right w:val="none" w:sz="0" w:space="0" w:color="auto"/>
      </w:divBdr>
    </w:div>
    <w:div w:id="725177217">
      <w:bodyDiv w:val="1"/>
      <w:marLeft w:val="0"/>
      <w:marRight w:val="0"/>
      <w:marTop w:val="0"/>
      <w:marBottom w:val="0"/>
      <w:divBdr>
        <w:top w:val="none" w:sz="0" w:space="0" w:color="auto"/>
        <w:left w:val="none" w:sz="0" w:space="0" w:color="auto"/>
        <w:bottom w:val="none" w:sz="0" w:space="0" w:color="auto"/>
        <w:right w:val="none" w:sz="0" w:space="0" w:color="auto"/>
      </w:divBdr>
    </w:div>
    <w:div w:id="762216269">
      <w:bodyDiv w:val="1"/>
      <w:marLeft w:val="0"/>
      <w:marRight w:val="0"/>
      <w:marTop w:val="0"/>
      <w:marBottom w:val="0"/>
      <w:divBdr>
        <w:top w:val="none" w:sz="0" w:space="0" w:color="auto"/>
        <w:left w:val="none" w:sz="0" w:space="0" w:color="auto"/>
        <w:bottom w:val="none" w:sz="0" w:space="0" w:color="auto"/>
        <w:right w:val="none" w:sz="0" w:space="0" w:color="auto"/>
      </w:divBdr>
    </w:div>
    <w:div w:id="773283329">
      <w:bodyDiv w:val="1"/>
      <w:marLeft w:val="0"/>
      <w:marRight w:val="0"/>
      <w:marTop w:val="0"/>
      <w:marBottom w:val="0"/>
      <w:divBdr>
        <w:top w:val="none" w:sz="0" w:space="0" w:color="auto"/>
        <w:left w:val="none" w:sz="0" w:space="0" w:color="auto"/>
        <w:bottom w:val="none" w:sz="0" w:space="0" w:color="auto"/>
        <w:right w:val="none" w:sz="0" w:space="0" w:color="auto"/>
      </w:divBdr>
    </w:div>
    <w:div w:id="780296205">
      <w:bodyDiv w:val="1"/>
      <w:marLeft w:val="0"/>
      <w:marRight w:val="0"/>
      <w:marTop w:val="0"/>
      <w:marBottom w:val="0"/>
      <w:divBdr>
        <w:top w:val="none" w:sz="0" w:space="0" w:color="auto"/>
        <w:left w:val="none" w:sz="0" w:space="0" w:color="auto"/>
        <w:bottom w:val="none" w:sz="0" w:space="0" w:color="auto"/>
        <w:right w:val="none" w:sz="0" w:space="0" w:color="auto"/>
      </w:divBdr>
    </w:div>
    <w:div w:id="816529909">
      <w:bodyDiv w:val="1"/>
      <w:marLeft w:val="0"/>
      <w:marRight w:val="0"/>
      <w:marTop w:val="0"/>
      <w:marBottom w:val="0"/>
      <w:divBdr>
        <w:top w:val="none" w:sz="0" w:space="0" w:color="auto"/>
        <w:left w:val="none" w:sz="0" w:space="0" w:color="auto"/>
        <w:bottom w:val="none" w:sz="0" w:space="0" w:color="auto"/>
        <w:right w:val="none" w:sz="0" w:space="0" w:color="auto"/>
      </w:divBdr>
    </w:div>
    <w:div w:id="867334375">
      <w:bodyDiv w:val="1"/>
      <w:marLeft w:val="0"/>
      <w:marRight w:val="0"/>
      <w:marTop w:val="0"/>
      <w:marBottom w:val="0"/>
      <w:divBdr>
        <w:top w:val="none" w:sz="0" w:space="0" w:color="auto"/>
        <w:left w:val="none" w:sz="0" w:space="0" w:color="auto"/>
        <w:bottom w:val="none" w:sz="0" w:space="0" w:color="auto"/>
        <w:right w:val="none" w:sz="0" w:space="0" w:color="auto"/>
      </w:divBdr>
    </w:div>
    <w:div w:id="911768082">
      <w:bodyDiv w:val="1"/>
      <w:marLeft w:val="0"/>
      <w:marRight w:val="0"/>
      <w:marTop w:val="0"/>
      <w:marBottom w:val="0"/>
      <w:divBdr>
        <w:top w:val="none" w:sz="0" w:space="0" w:color="auto"/>
        <w:left w:val="none" w:sz="0" w:space="0" w:color="auto"/>
        <w:bottom w:val="none" w:sz="0" w:space="0" w:color="auto"/>
        <w:right w:val="none" w:sz="0" w:space="0" w:color="auto"/>
      </w:divBdr>
    </w:div>
    <w:div w:id="918707855">
      <w:bodyDiv w:val="1"/>
      <w:marLeft w:val="0"/>
      <w:marRight w:val="0"/>
      <w:marTop w:val="0"/>
      <w:marBottom w:val="0"/>
      <w:divBdr>
        <w:top w:val="none" w:sz="0" w:space="0" w:color="auto"/>
        <w:left w:val="none" w:sz="0" w:space="0" w:color="auto"/>
        <w:bottom w:val="none" w:sz="0" w:space="0" w:color="auto"/>
        <w:right w:val="none" w:sz="0" w:space="0" w:color="auto"/>
      </w:divBdr>
    </w:div>
    <w:div w:id="929394198">
      <w:bodyDiv w:val="1"/>
      <w:marLeft w:val="0"/>
      <w:marRight w:val="0"/>
      <w:marTop w:val="0"/>
      <w:marBottom w:val="0"/>
      <w:divBdr>
        <w:top w:val="none" w:sz="0" w:space="0" w:color="auto"/>
        <w:left w:val="none" w:sz="0" w:space="0" w:color="auto"/>
        <w:bottom w:val="none" w:sz="0" w:space="0" w:color="auto"/>
        <w:right w:val="none" w:sz="0" w:space="0" w:color="auto"/>
      </w:divBdr>
    </w:div>
    <w:div w:id="953294668">
      <w:bodyDiv w:val="1"/>
      <w:marLeft w:val="0"/>
      <w:marRight w:val="0"/>
      <w:marTop w:val="0"/>
      <w:marBottom w:val="0"/>
      <w:divBdr>
        <w:top w:val="none" w:sz="0" w:space="0" w:color="auto"/>
        <w:left w:val="none" w:sz="0" w:space="0" w:color="auto"/>
        <w:bottom w:val="none" w:sz="0" w:space="0" w:color="auto"/>
        <w:right w:val="none" w:sz="0" w:space="0" w:color="auto"/>
      </w:divBdr>
    </w:div>
    <w:div w:id="976036320">
      <w:bodyDiv w:val="1"/>
      <w:marLeft w:val="0"/>
      <w:marRight w:val="0"/>
      <w:marTop w:val="0"/>
      <w:marBottom w:val="0"/>
      <w:divBdr>
        <w:top w:val="none" w:sz="0" w:space="0" w:color="auto"/>
        <w:left w:val="none" w:sz="0" w:space="0" w:color="auto"/>
        <w:bottom w:val="none" w:sz="0" w:space="0" w:color="auto"/>
        <w:right w:val="none" w:sz="0" w:space="0" w:color="auto"/>
      </w:divBdr>
    </w:div>
    <w:div w:id="996567335">
      <w:bodyDiv w:val="1"/>
      <w:marLeft w:val="0"/>
      <w:marRight w:val="0"/>
      <w:marTop w:val="0"/>
      <w:marBottom w:val="0"/>
      <w:divBdr>
        <w:top w:val="none" w:sz="0" w:space="0" w:color="auto"/>
        <w:left w:val="none" w:sz="0" w:space="0" w:color="auto"/>
        <w:bottom w:val="none" w:sz="0" w:space="0" w:color="auto"/>
        <w:right w:val="none" w:sz="0" w:space="0" w:color="auto"/>
      </w:divBdr>
    </w:div>
    <w:div w:id="1005935794">
      <w:bodyDiv w:val="1"/>
      <w:marLeft w:val="0"/>
      <w:marRight w:val="0"/>
      <w:marTop w:val="0"/>
      <w:marBottom w:val="0"/>
      <w:divBdr>
        <w:top w:val="none" w:sz="0" w:space="0" w:color="auto"/>
        <w:left w:val="none" w:sz="0" w:space="0" w:color="auto"/>
        <w:bottom w:val="none" w:sz="0" w:space="0" w:color="auto"/>
        <w:right w:val="none" w:sz="0" w:space="0" w:color="auto"/>
      </w:divBdr>
    </w:div>
    <w:div w:id="1013457684">
      <w:bodyDiv w:val="1"/>
      <w:marLeft w:val="0"/>
      <w:marRight w:val="0"/>
      <w:marTop w:val="0"/>
      <w:marBottom w:val="0"/>
      <w:divBdr>
        <w:top w:val="none" w:sz="0" w:space="0" w:color="auto"/>
        <w:left w:val="none" w:sz="0" w:space="0" w:color="auto"/>
        <w:bottom w:val="none" w:sz="0" w:space="0" w:color="auto"/>
        <w:right w:val="none" w:sz="0" w:space="0" w:color="auto"/>
      </w:divBdr>
    </w:div>
    <w:div w:id="1015184018">
      <w:bodyDiv w:val="1"/>
      <w:marLeft w:val="0"/>
      <w:marRight w:val="0"/>
      <w:marTop w:val="0"/>
      <w:marBottom w:val="0"/>
      <w:divBdr>
        <w:top w:val="none" w:sz="0" w:space="0" w:color="auto"/>
        <w:left w:val="none" w:sz="0" w:space="0" w:color="auto"/>
        <w:bottom w:val="none" w:sz="0" w:space="0" w:color="auto"/>
        <w:right w:val="none" w:sz="0" w:space="0" w:color="auto"/>
      </w:divBdr>
    </w:div>
    <w:div w:id="1015380949">
      <w:bodyDiv w:val="1"/>
      <w:marLeft w:val="0"/>
      <w:marRight w:val="0"/>
      <w:marTop w:val="0"/>
      <w:marBottom w:val="0"/>
      <w:divBdr>
        <w:top w:val="none" w:sz="0" w:space="0" w:color="auto"/>
        <w:left w:val="none" w:sz="0" w:space="0" w:color="auto"/>
        <w:bottom w:val="none" w:sz="0" w:space="0" w:color="auto"/>
        <w:right w:val="none" w:sz="0" w:space="0" w:color="auto"/>
      </w:divBdr>
    </w:div>
    <w:div w:id="1026709673">
      <w:bodyDiv w:val="1"/>
      <w:marLeft w:val="0"/>
      <w:marRight w:val="0"/>
      <w:marTop w:val="0"/>
      <w:marBottom w:val="0"/>
      <w:divBdr>
        <w:top w:val="none" w:sz="0" w:space="0" w:color="auto"/>
        <w:left w:val="none" w:sz="0" w:space="0" w:color="auto"/>
        <w:bottom w:val="none" w:sz="0" w:space="0" w:color="auto"/>
        <w:right w:val="none" w:sz="0" w:space="0" w:color="auto"/>
      </w:divBdr>
    </w:div>
    <w:div w:id="1030298967">
      <w:bodyDiv w:val="1"/>
      <w:marLeft w:val="0"/>
      <w:marRight w:val="0"/>
      <w:marTop w:val="0"/>
      <w:marBottom w:val="0"/>
      <w:divBdr>
        <w:top w:val="none" w:sz="0" w:space="0" w:color="auto"/>
        <w:left w:val="none" w:sz="0" w:space="0" w:color="auto"/>
        <w:bottom w:val="none" w:sz="0" w:space="0" w:color="auto"/>
        <w:right w:val="none" w:sz="0" w:space="0" w:color="auto"/>
      </w:divBdr>
    </w:div>
    <w:div w:id="1050425752">
      <w:bodyDiv w:val="1"/>
      <w:marLeft w:val="0"/>
      <w:marRight w:val="0"/>
      <w:marTop w:val="0"/>
      <w:marBottom w:val="0"/>
      <w:divBdr>
        <w:top w:val="none" w:sz="0" w:space="0" w:color="auto"/>
        <w:left w:val="none" w:sz="0" w:space="0" w:color="auto"/>
        <w:bottom w:val="none" w:sz="0" w:space="0" w:color="auto"/>
        <w:right w:val="none" w:sz="0" w:space="0" w:color="auto"/>
      </w:divBdr>
    </w:div>
    <w:div w:id="1061715598">
      <w:bodyDiv w:val="1"/>
      <w:marLeft w:val="0"/>
      <w:marRight w:val="0"/>
      <w:marTop w:val="0"/>
      <w:marBottom w:val="0"/>
      <w:divBdr>
        <w:top w:val="none" w:sz="0" w:space="0" w:color="auto"/>
        <w:left w:val="none" w:sz="0" w:space="0" w:color="auto"/>
        <w:bottom w:val="none" w:sz="0" w:space="0" w:color="auto"/>
        <w:right w:val="none" w:sz="0" w:space="0" w:color="auto"/>
      </w:divBdr>
    </w:div>
    <w:div w:id="1082799664">
      <w:bodyDiv w:val="1"/>
      <w:marLeft w:val="0"/>
      <w:marRight w:val="0"/>
      <w:marTop w:val="0"/>
      <w:marBottom w:val="0"/>
      <w:divBdr>
        <w:top w:val="none" w:sz="0" w:space="0" w:color="auto"/>
        <w:left w:val="none" w:sz="0" w:space="0" w:color="auto"/>
        <w:bottom w:val="none" w:sz="0" w:space="0" w:color="auto"/>
        <w:right w:val="none" w:sz="0" w:space="0" w:color="auto"/>
      </w:divBdr>
    </w:div>
    <w:div w:id="1083836023">
      <w:bodyDiv w:val="1"/>
      <w:marLeft w:val="0"/>
      <w:marRight w:val="0"/>
      <w:marTop w:val="0"/>
      <w:marBottom w:val="0"/>
      <w:divBdr>
        <w:top w:val="none" w:sz="0" w:space="0" w:color="auto"/>
        <w:left w:val="none" w:sz="0" w:space="0" w:color="auto"/>
        <w:bottom w:val="none" w:sz="0" w:space="0" w:color="auto"/>
        <w:right w:val="none" w:sz="0" w:space="0" w:color="auto"/>
      </w:divBdr>
    </w:div>
    <w:div w:id="1127508306">
      <w:bodyDiv w:val="1"/>
      <w:marLeft w:val="0"/>
      <w:marRight w:val="0"/>
      <w:marTop w:val="0"/>
      <w:marBottom w:val="0"/>
      <w:divBdr>
        <w:top w:val="none" w:sz="0" w:space="0" w:color="auto"/>
        <w:left w:val="none" w:sz="0" w:space="0" w:color="auto"/>
        <w:bottom w:val="none" w:sz="0" w:space="0" w:color="auto"/>
        <w:right w:val="none" w:sz="0" w:space="0" w:color="auto"/>
      </w:divBdr>
    </w:div>
    <w:div w:id="1155147933">
      <w:bodyDiv w:val="1"/>
      <w:marLeft w:val="0"/>
      <w:marRight w:val="0"/>
      <w:marTop w:val="0"/>
      <w:marBottom w:val="0"/>
      <w:divBdr>
        <w:top w:val="none" w:sz="0" w:space="0" w:color="auto"/>
        <w:left w:val="none" w:sz="0" w:space="0" w:color="auto"/>
        <w:bottom w:val="none" w:sz="0" w:space="0" w:color="auto"/>
        <w:right w:val="none" w:sz="0" w:space="0" w:color="auto"/>
      </w:divBdr>
    </w:div>
    <w:div w:id="1178231898">
      <w:bodyDiv w:val="1"/>
      <w:marLeft w:val="0"/>
      <w:marRight w:val="0"/>
      <w:marTop w:val="0"/>
      <w:marBottom w:val="0"/>
      <w:divBdr>
        <w:top w:val="none" w:sz="0" w:space="0" w:color="auto"/>
        <w:left w:val="none" w:sz="0" w:space="0" w:color="auto"/>
        <w:bottom w:val="none" w:sz="0" w:space="0" w:color="auto"/>
        <w:right w:val="none" w:sz="0" w:space="0" w:color="auto"/>
      </w:divBdr>
    </w:div>
    <w:div w:id="1179810733">
      <w:bodyDiv w:val="1"/>
      <w:marLeft w:val="0"/>
      <w:marRight w:val="0"/>
      <w:marTop w:val="0"/>
      <w:marBottom w:val="0"/>
      <w:divBdr>
        <w:top w:val="none" w:sz="0" w:space="0" w:color="auto"/>
        <w:left w:val="none" w:sz="0" w:space="0" w:color="auto"/>
        <w:bottom w:val="none" w:sz="0" w:space="0" w:color="auto"/>
        <w:right w:val="none" w:sz="0" w:space="0" w:color="auto"/>
      </w:divBdr>
    </w:div>
    <w:div w:id="1192645117">
      <w:bodyDiv w:val="1"/>
      <w:marLeft w:val="0"/>
      <w:marRight w:val="0"/>
      <w:marTop w:val="0"/>
      <w:marBottom w:val="0"/>
      <w:divBdr>
        <w:top w:val="none" w:sz="0" w:space="0" w:color="auto"/>
        <w:left w:val="none" w:sz="0" w:space="0" w:color="auto"/>
        <w:bottom w:val="none" w:sz="0" w:space="0" w:color="auto"/>
        <w:right w:val="none" w:sz="0" w:space="0" w:color="auto"/>
      </w:divBdr>
    </w:div>
    <w:div w:id="1194155688">
      <w:bodyDiv w:val="1"/>
      <w:marLeft w:val="0"/>
      <w:marRight w:val="0"/>
      <w:marTop w:val="0"/>
      <w:marBottom w:val="0"/>
      <w:divBdr>
        <w:top w:val="none" w:sz="0" w:space="0" w:color="auto"/>
        <w:left w:val="none" w:sz="0" w:space="0" w:color="auto"/>
        <w:bottom w:val="none" w:sz="0" w:space="0" w:color="auto"/>
        <w:right w:val="none" w:sz="0" w:space="0" w:color="auto"/>
      </w:divBdr>
    </w:div>
    <w:div w:id="1207255414">
      <w:bodyDiv w:val="1"/>
      <w:marLeft w:val="0"/>
      <w:marRight w:val="0"/>
      <w:marTop w:val="0"/>
      <w:marBottom w:val="0"/>
      <w:divBdr>
        <w:top w:val="none" w:sz="0" w:space="0" w:color="auto"/>
        <w:left w:val="none" w:sz="0" w:space="0" w:color="auto"/>
        <w:bottom w:val="none" w:sz="0" w:space="0" w:color="auto"/>
        <w:right w:val="none" w:sz="0" w:space="0" w:color="auto"/>
      </w:divBdr>
    </w:div>
    <w:div w:id="1208420983">
      <w:bodyDiv w:val="1"/>
      <w:marLeft w:val="0"/>
      <w:marRight w:val="0"/>
      <w:marTop w:val="0"/>
      <w:marBottom w:val="0"/>
      <w:divBdr>
        <w:top w:val="none" w:sz="0" w:space="0" w:color="auto"/>
        <w:left w:val="none" w:sz="0" w:space="0" w:color="auto"/>
        <w:bottom w:val="none" w:sz="0" w:space="0" w:color="auto"/>
        <w:right w:val="none" w:sz="0" w:space="0" w:color="auto"/>
      </w:divBdr>
    </w:div>
    <w:div w:id="1252203331">
      <w:bodyDiv w:val="1"/>
      <w:marLeft w:val="0"/>
      <w:marRight w:val="0"/>
      <w:marTop w:val="0"/>
      <w:marBottom w:val="0"/>
      <w:divBdr>
        <w:top w:val="none" w:sz="0" w:space="0" w:color="auto"/>
        <w:left w:val="none" w:sz="0" w:space="0" w:color="auto"/>
        <w:bottom w:val="none" w:sz="0" w:space="0" w:color="auto"/>
        <w:right w:val="none" w:sz="0" w:space="0" w:color="auto"/>
      </w:divBdr>
    </w:div>
    <w:div w:id="1254320258">
      <w:bodyDiv w:val="1"/>
      <w:marLeft w:val="0"/>
      <w:marRight w:val="0"/>
      <w:marTop w:val="0"/>
      <w:marBottom w:val="0"/>
      <w:divBdr>
        <w:top w:val="none" w:sz="0" w:space="0" w:color="auto"/>
        <w:left w:val="none" w:sz="0" w:space="0" w:color="auto"/>
        <w:bottom w:val="none" w:sz="0" w:space="0" w:color="auto"/>
        <w:right w:val="none" w:sz="0" w:space="0" w:color="auto"/>
      </w:divBdr>
    </w:div>
    <w:div w:id="1257203174">
      <w:bodyDiv w:val="1"/>
      <w:marLeft w:val="0"/>
      <w:marRight w:val="0"/>
      <w:marTop w:val="0"/>
      <w:marBottom w:val="0"/>
      <w:divBdr>
        <w:top w:val="none" w:sz="0" w:space="0" w:color="auto"/>
        <w:left w:val="none" w:sz="0" w:space="0" w:color="auto"/>
        <w:bottom w:val="none" w:sz="0" w:space="0" w:color="auto"/>
        <w:right w:val="none" w:sz="0" w:space="0" w:color="auto"/>
      </w:divBdr>
    </w:div>
    <w:div w:id="1275165425">
      <w:bodyDiv w:val="1"/>
      <w:marLeft w:val="0"/>
      <w:marRight w:val="0"/>
      <w:marTop w:val="0"/>
      <w:marBottom w:val="0"/>
      <w:divBdr>
        <w:top w:val="none" w:sz="0" w:space="0" w:color="auto"/>
        <w:left w:val="none" w:sz="0" w:space="0" w:color="auto"/>
        <w:bottom w:val="none" w:sz="0" w:space="0" w:color="auto"/>
        <w:right w:val="none" w:sz="0" w:space="0" w:color="auto"/>
      </w:divBdr>
    </w:div>
    <w:div w:id="1296716836">
      <w:bodyDiv w:val="1"/>
      <w:marLeft w:val="0"/>
      <w:marRight w:val="0"/>
      <w:marTop w:val="0"/>
      <w:marBottom w:val="0"/>
      <w:divBdr>
        <w:top w:val="none" w:sz="0" w:space="0" w:color="auto"/>
        <w:left w:val="none" w:sz="0" w:space="0" w:color="auto"/>
        <w:bottom w:val="none" w:sz="0" w:space="0" w:color="auto"/>
        <w:right w:val="none" w:sz="0" w:space="0" w:color="auto"/>
      </w:divBdr>
    </w:div>
    <w:div w:id="1304046197">
      <w:bodyDiv w:val="1"/>
      <w:marLeft w:val="0"/>
      <w:marRight w:val="0"/>
      <w:marTop w:val="0"/>
      <w:marBottom w:val="0"/>
      <w:divBdr>
        <w:top w:val="none" w:sz="0" w:space="0" w:color="auto"/>
        <w:left w:val="none" w:sz="0" w:space="0" w:color="auto"/>
        <w:bottom w:val="none" w:sz="0" w:space="0" w:color="auto"/>
        <w:right w:val="none" w:sz="0" w:space="0" w:color="auto"/>
      </w:divBdr>
    </w:div>
    <w:div w:id="1356731897">
      <w:bodyDiv w:val="1"/>
      <w:marLeft w:val="0"/>
      <w:marRight w:val="0"/>
      <w:marTop w:val="0"/>
      <w:marBottom w:val="0"/>
      <w:divBdr>
        <w:top w:val="none" w:sz="0" w:space="0" w:color="auto"/>
        <w:left w:val="none" w:sz="0" w:space="0" w:color="auto"/>
        <w:bottom w:val="none" w:sz="0" w:space="0" w:color="auto"/>
        <w:right w:val="none" w:sz="0" w:space="0" w:color="auto"/>
      </w:divBdr>
    </w:div>
    <w:div w:id="1359626352">
      <w:bodyDiv w:val="1"/>
      <w:marLeft w:val="0"/>
      <w:marRight w:val="0"/>
      <w:marTop w:val="0"/>
      <w:marBottom w:val="0"/>
      <w:divBdr>
        <w:top w:val="none" w:sz="0" w:space="0" w:color="auto"/>
        <w:left w:val="none" w:sz="0" w:space="0" w:color="auto"/>
        <w:bottom w:val="none" w:sz="0" w:space="0" w:color="auto"/>
        <w:right w:val="none" w:sz="0" w:space="0" w:color="auto"/>
      </w:divBdr>
    </w:div>
    <w:div w:id="1365326837">
      <w:bodyDiv w:val="1"/>
      <w:marLeft w:val="0"/>
      <w:marRight w:val="0"/>
      <w:marTop w:val="0"/>
      <w:marBottom w:val="0"/>
      <w:divBdr>
        <w:top w:val="none" w:sz="0" w:space="0" w:color="auto"/>
        <w:left w:val="none" w:sz="0" w:space="0" w:color="auto"/>
        <w:bottom w:val="none" w:sz="0" w:space="0" w:color="auto"/>
        <w:right w:val="none" w:sz="0" w:space="0" w:color="auto"/>
      </w:divBdr>
    </w:div>
    <w:div w:id="1412771909">
      <w:bodyDiv w:val="1"/>
      <w:marLeft w:val="0"/>
      <w:marRight w:val="0"/>
      <w:marTop w:val="0"/>
      <w:marBottom w:val="0"/>
      <w:divBdr>
        <w:top w:val="none" w:sz="0" w:space="0" w:color="auto"/>
        <w:left w:val="none" w:sz="0" w:space="0" w:color="auto"/>
        <w:bottom w:val="none" w:sz="0" w:space="0" w:color="auto"/>
        <w:right w:val="none" w:sz="0" w:space="0" w:color="auto"/>
      </w:divBdr>
    </w:div>
    <w:div w:id="1438326487">
      <w:bodyDiv w:val="1"/>
      <w:marLeft w:val="0"/>
      <w:marRight w:val="0"/>
      <w:marTop w:val="0"/>
      <w:marBottom w:val="0"/>
      <w:divBdr>
        <w:top w:val="none" w:sz="0" w:space="0" w:color="auto"/>
        <w:left w:val="none" w:sz="0" w:space="0" w:color="auto"/>
        <w:bottom w:val="none" w:sz="0" w:space="0" w:color="auto"/>
        <w:right w:val="none" w:sz="0" w:space="0" w:color="auto"/>
      </w:divBdr>
    </w:div>
    <w:div w:id="1450516840">
      <w:bodyDiv w:val="1"/>
      <w:marLeft w:val="0"/>
      <w:marRight w:val="0"/>
      <w:marTop w:val="0"/>
      <w:marBottom w:val="0"/>
      <w:divBdr>
        <w:top w:val="none" w:sz="0" w:space="0" w:color="auto"/>
        <w:left w:val="none" w:sz="0" w:space="0" w:color="auto"/>
        <w:bottom w:val="none" w:sz="0" w:space="0" w:color="auto"/>
        <w:right w:val="none" w:sz="0" w:space="0" w:color="auto"/>
      </w:divBdr>
    </w:div>
    <w:div w:id="1455364371">
      <w:bodyDiv w:val="1"/>
      <w:marLeft w:val="0"/>
      <w:marRight w:val="0"/>
      <w:marTop w:val="0"/>
      <w:marBottom w:val="0"/>
      <w:divBdr>
        <w:top w:val="none" w:sz="0" w:space="0" w:color="auto"/>
        <w:left w:val="none" w:sz="0" w:space="0" w:color="auto"/>
        <w:bottom w:val="none" w:sz="0" w:space="0" w:color="auto"/>
        <w:right w:val="none" w:sz="0" w:space="0" w:color="auto"/>
      </w:divBdr>
    </w:div>
    <w:div w:id="1471902740">
      <w:bodyDiv w:val="1"/>
      <w:marLeft w:val="0"/>
      <w:marRight w:val="0"/>
      <w:marTop w:val="0"/>
      <w:marBottom w:val="0"/>
      <w:divBdr>
        <w:top w:val="none" w:sz="0" w:space="0" w:color="auto"/>
        <w:left w:val="none" w:sz="0" w:space="0" w:color="auto"/>
        <w:bottom w:val="none" w:sz="0" w:space="0" w:color="auto"/>
        <w:right w:val="none" w:sz="0" w:space="0" w:color="auto"/>
      </w:divBdr>
    </w:div>
    <w:div w:id="1484273421">
      <w:bodyDiv w:val="1"/>
      <w:marLeft w:val="0"/>
      <w:marRight w:val="0"/>
      <w:marTop w:val="0"/>
      <w:marBottom w:val="0"/>
      <w:divBdr>
        <w:top w:val="none" w:sz="0" w:space="0" w:color="auto"/>
        <w:left w:val="none" w:sz="0" w:space="0" w:color="auto"/>
        <w:bottom w:val="none" w:sz="0" w:space="0" w:color="auto"/>
        <w:right w:val="none" w:sz="0" w:space="0" w:color="auto"/>
      </w:divBdr>
    </w:div>
    <w:div w:id="1537815912">
      <w:bodyDiv w:val="1"/>
      <w:marLeft w:val="0"/>
      <w:marRight w:val="0"/>
      <w:marTop w:val="0"/>
      <w:marBottom w:val="0"/>
      <w:divBdr>
        <w:top w:val="none" w:sz="0" w:space="0" w:color="auto"/>
        <w:left w:val="none" w:sz="0" w:space="0" w:color="auto"/>
        <w:bottom w:val="none" w:sz="0" w:space="0" w:color="auto"/>
        <w:right w:val="none" w:sz="0" w:space="0" w:color="auto"/>
      </w:divBdr>
    </w:div>
    <w:div w:id="1552575882">
      <w:bodyDiv w:val="1"/>
      <w:marLeft w:val="0"/>
      <w:marRight w:val="0"/>
      <w:marTop w:val="0"/>
      <w:marBottom w:val="0"/>
      <w:divBdr>
        <w:top w:val="none" w:sz="0" w:space="0" w:color="auto"/>
        <w:left w:val="none" w:sz="0" w:space="0" w:color="auto"/>
        <w:bottom w:val="none" w:sz="0" w:space="0" w:color="auto"/>
        <w:right w:val="none" w:sz="0" w:space="0" w:color="auto"/>
      </w:divBdr>
    </w:div>
    <w:div w:id="1563559885">
      <w:bodyDiv w:val="1"/>
      <w:marLeft w:val="0"/>
      <w:marRight w:val="0"/>
      <w:marTop w:val="0"/>
      <w:marBottom w:val="0"/>
      <w:divBdr>
        <w:top w:val="none" w:sz="0" w:space="0" w:color="auto"/>
        <w:left w:val="none" w:sz="0" w:space="0" w:color="auto"/>
        <w:bottom w:val="none" w:sz="0" w:space="0" w:color="auto"/>
        <w:right w:val="none" w:sz="0" w:space="0" w:color="auto"/>
      </w:divBdr>
    </w:div>
    <w:div w:id="1638680192">
      <w:bodyDiv w:val="1"/>
      <w:marLeft w:val="0"/>
      <w:marRight w:val="0"/>
      <w:marTop w:val="0"/>
      <w:marBottom w:val="0"/>
      <w:divBdr>
        <w:top w:val="none" w:sz="0" w:space="0" w:color="auto"/>
        <w:left w:val="none" w:sz="0" w:space="0" w:color="auto"/>
        <w:bottom w:val="none" w:sz="0" w:space="0" w:color="auto"/>
        <w:right w:val="none" w:sz="0" w:space="0" w:color="auto"/>
      </w:divBdr>
    </w:div>
    <w:div w:id="1646079871">
      <w:bodyDiv w:val="1"/>
      <w:marLeft w:val="0"/>
      <w:marRight w:val="0"/>
      <w:marTop w:val="0"/>
      <w:marBottom w:val="0"/>
      <w:divBdr>
        <w:top w:val="none" w:sz="0" w:space="0" w:color="auto"/>
        <w:left w:val="none" w:sz="0" w:space="0" w:color="auto"/>
        <w:bottom w:val="none" w:sz="0" w:space="0" w:color="auto"/>
        <w:right w:val="none" w:sz="0" w:space="0" w:color="auto"/>
      </w:divBdr>
    </w:div>
    <w:div w:id="1652366826">
      <w:bodyDiv w:val="1"/>
      <w:marLeft w:val="0"/>
      <w:marRight w:val="0"/>
      <w:marTop w:val="0"/>
      <w:marBottom w:val="0"/>
      <w:divBdr>
        <w:top w:val="none" w:sz="0" w:space="0" w:color="auto"/>
        <w:left w:val="none" w:sz="0" w:space="0" w:color="auto"/>
        <w:bottom w:val="none" w:sz="0" w:space="0" w:color="auto"/>
        <w:right w:val="none" w:sz="0" w:space="0" w:color="auto"/>
      </w:divBdr>
    </w:div>
    <w:div w:id="1655836501">
      <w:bodyDiv w:val="1"/>
      <w:marLeft w:val="0"/>
      <w:marRight w:val="0"/>
      <w:marTop w:val="0"/>
      <w:marBottom w:val="0"/>
      <w:divBdr>
        <w:top w:val="none" w:sz="0" w:space="0" w:color="auto"/>
        <w:left w:val="none" w:sz="0" w:space="0" w:color="auto"/>
        <w:bottom w:val="none" w:sz="0" w:space="0" w:color="auto"/>
        <w:right w:val="none" w:sz="0" w:space="0" w:color="auto"/>
      </w:divBdr>
    </w:div>
    <w:div w:id="1656372025">
      <w:bodyDiv w:val="1"/>
      <w:marLeft w:val="0"/>
      <w:marRight w:val="0"/>
      <w:marTop w:val="0"/>
      <w:marBottom w:val="0"/>
      <w:divBdr>
        <w:top w:val="none" w:sz="0" w:space="0" w:color="auto"/>
        <w:left w:val="none" w:sz="0" w:space="0" w:color="auto"/>
        <w:bottom w:val="none" w:sz="0" w:space="0" w:color="auto"/>
        <w:right w:val="none" w:sz="0" w:space="0" w:color="auto"/>
      </w:divBdr>
    </w:div>
    <w:div w:id="1661229968">
      <w:bodyDiv w:val="1"/>
      <w:marLeft w:val="0"/>
      <w:marRight w:val="0"/>
      <w:marTop w:val="0"/>
      <w:marBottom w:val="0"/>
      <w:divBdr>
        <w:top w:val="none" w:sz="0" w:space="0" w:color="auto"/>
        <w:left w:val="none" w:sz="0" w:space="0" w:color="auto"/>
        <w:bottom w:val="none" w:sz="0" w:space="0" w:color="auto"/>
        <w:right w:val="none" w:sz="0" w:space="0" w:color="auto"/>
      </w:divBdr>
    </w:div>
    <w:div w:id="1678652497">
      <w:bodyDiv w:val="1"/>
      <w:marLeft w:val="0"/>
      <w:marRight w:val="0"/>
      <w:marTop w:val="0"/>
      <w:marBottom w:val="0"/>
      <w:divBdr>
        <w:top w:val="none" w:sz="0" w:space="0" w:color="auto"/>
        <w:left w:val="none" w:sz="0" w:space="0" w:color="auto"/>
        <w:bottom w:val="none" w:sz="0" w:space="0" w:color="auto"/>
        <w:right w:val="none" w:sz="0" w:space="0" w:color="auto"/>
      </w:divBdr>
    </w:div>
    <w:div w:id="1680161149">
      <w:bodyDiv w:val="1"/>
      <w:marLeft w:val="0"/>
      <w:marRight w:val="0"/>
      <w:marTop w:val="0"/>
      <w:marBottom w:val="0"/>
      <w:divBdr>
        <w:top w:val="none" w:sz="0" w:space="0" w:color="auto"/>
        <w:left w:val="none" w:sz="0" w:space="0" w:color="auto"/>
        <w:bottom w:val="none" w:sz="0" w:space="0" w:color="auto"/>
        <w:right w:val="none" w:sz="0" w:space="0" w:color="auto"/>
      </w:divBdr>
    </w:div>
    <w:div w:id="1696728877">
      <w:bodyDiv w:val="1"/>
      <w:marLeft w:val="0"/>
      <w:marRight w:val="0"/>
      <w:marTop w:val="0"/>
      <w:marBottom w:val="0"/>
      <w:divBdr>
        <w:top w:val="none" w:sz="0" w:space="0" w:color="auto"/>
        <w:left w:val="none" w:sz="0" w:space="0" w:color="auto"/>
        <w:bottom w:val="none" w:sz="0" w:space="0" w:color="auto"/>
        <w:right w:val="none" w:sz="0" w:space="0" w:color="auto"/>
      </w:divBdr>
    </w:div>
    <w:div w:id="1745492137">
      <w:bodyDiv w:val="1"/>
      <w:marLeft w:val="0"/>
      <w:marRight w:val="0"/>
      <w:marTop w:val="0"/>
      <w:marBottom w:val="0"/>
      <w:divBdr>
        <w:top w:val="none" w:sz="0" w:space="0" w:color="auto"/>
        <w:left w:val="none" w:sz="0" w:space="0" w:color="auto"/>
        <w:bottom w:val="none" w:sz="0" w:space="0" w:color="auto"/>
        <w:right w:val="none" w:sz="0" w:space="0" w:color="auto"/>
      </w:divBdr>
    </w:div>
    <w:div w:id="1748529513">
      <w:bodyDiv w:val="1"/>
      <w:marLeft w:val="0"/>
      <w:marRight w:val="0"/>
      <w:marTop w:val="0"/>
      <w:marBottom w:val="0"/>
      <w:divBdr>
        <w:top w:val="none" w:sz="0" w:space="0" w:color="auto"/>
        <w:left w:val="none" w:sz="0" w:space="0" w:color="auto"/>
        <w:bottom w:val="none" w:sz="0" w:space="0" w:color="auto"/>
        <w:right w:val="none" w:sz="0" w:space="0" w:color="auto"/>
      </w:divBdr>
    </w:div>
    <w:div w:id="1755937414">
      <w:bodyDiv w:val="1"/>
      <w:marLeft w:val="0"/>
      <w:marRight w:val="0"/>
      <w:marTop w:val="0"/>
      <w:marBottom w:val="0"/>
      <w:divBdr>
        <w:top w:val="none" w:sz="0" w:space="0" w:color="auto"/>
        <w:left w:val="none" w:sz="0" w:space="0" w:color="auto"/>
        <w:bottom w:val="none" w:sz="0" w:space="0" w:color="auto"/>
        <w:right w:val="none" w:sz="0" w:space="0" w:color="auto"/>
      </w:divBdr>
    </w:div>
    <w:div w:id="1760368687">
      <w:bodyDiv w:val="1"/>
      <w:marLeft w:val="0"/>
      <w:marRight w:val="0"/>
      <w:marTop w:val="0"/>
      <w:marBottom w:val="0"/>
      <w:divBdr>
        <w:top w:val="none" w:sz="0" w:space="0" w:color="auto"/>
        <w:left w:val="none" w:sz="0" w:space="0" w:color="auto"/>
        <w:bottom w:val="none" w:sz="0" w:space="0" w:color="auto"/>
        <w:right w:val="none" w:sz="0" w:space="0" w:color="auto"/>
      </w:divBdr>
    </w:div>
    <w:div w:id="1765178673">
      <w:bodyDiv w:val="1"/>
      <w:marLeft w:val="0"/>
      <w:marRight w:val="0"/>
      <w:marTop w:val="0"/>
      <w:marBottom w:val="0"/>
      <w:divBdr>
        <w:top w:val="none" w:sz="0" w:space="0" w:color="auto"/>
        <w:left w:val="none" w:sz="0" w:space="0" w:color="auto"/>
        <w:bottom w:val="none" w:sz="0" w:space="0" w:color="auto"/>
        <w:right w:val="none" w:sz="0" w:space="0" w:color="auto"/>
      </w:divBdr>
    </w:div>
    <w:div w:id="1803763132">
      <w:bodyDiv w:val="1"/>
      <w:marLeft w:val="0"/>
      <w:marRight w:val="0"/>
      <w:marTop w:val="0"/>
      <w:marBottom w:val="0"/>
      <w:divBdr>
        <w:top w:val="none" w:sz="0" w:space="0" w:color="auto"/>
        <w:left w:val="none" w:sz="0" w:space="0" w:color="auto"/>
        <w:bottom w:val="none" w:sz="0" w:space="0" w:color="auto"/>
        <w:right w:val="none" w:sz="0" w:space="0" w:color="auto"/>
      </w:divBdr>
    </w:div>
    <w:div w:id="1820924872">
      <w:bodyDiv w:val="1"/>
      <w:marLeft w:val="0"/>
      <w:marRight w:val="0"/>
      <w:marTop w:val="0"/>
      <w:marBottom w:val="0"/>
      <w:divBdr>
        <w:top w:val="none" w:sz="0" w:space="0" w:color="auto"/>
        <w:left w:val="none" w:sz="0" w:space="0" w:color="auto"/>
        <w:bottom w:val="none" w:sz="0" w:space="0" w:color="auto"/>
        <w:right w:val="none" w:sz="0" w:space="0" w:color="auto"/>
      </w:divBdr>
    </w:div>
    <w:div w:id="1837190327">
      <w:bodyDiv w:val="1"/>
      <w:marLeft w:val="0"/>
      <w:marRight w:val="0"/>
      <w:marTop w:val="0"/>
      <w:marBottom w:val="0"/>
      <w:divBdr>
        <w:top w:val="none" w:sz="0" w:space="0" w:color="auto"/>
        <w:left w:val="none" w:sz="0" w:space="0" w:color="auto"/>
        <w:bottom w:val="none" w:sz="0" w:space="0" w:color="auto"/>
        <w:right w:val="none" w:sz="0" w:space="0" w:color="auto"/>
      </w:divBdr>
    </w:div>
    <w:div w:id="1865970959">
      <w:bodyDiv w:val="1"/>
      <w:marLeft w:val="0"/>
      <w:marRight w:val="0"/>
      <w:marTop w:val="0"/>
      <w:marBottom w:val="0"/>
      <w:divBdr>
        <w:top w:val="none" w:sz="0" w:space="0" w:color="auto"/>
        <w:left w:val="none" w:sz="0" w:space="0" w:color="auto"/>
        <w:bottom w:val="none" w:sz="0" w:space="0" w:color="auto"/>
        <w:right w:val="none" w:sz="0" w:space="0" w:color="auto"/>
      </w:divBdr>
    </w:div>
    <w:div w:id="1884822791">
      <w:bodyDiv w:val="1"/>
      <w:marLeft w:val="0"/>
      <w:marRight w:val="0"/>
      <w:marTop w:val="0"/>
      <w:marBottom w:val="0"/>
      <w:divBdr>
        <w:top w:val="none" w:sz="0" w:space="0" w:color="auto"/>
        <w:left w:val="none" w:sz="0" w:space="0" w:color="auto"/>
        <w:bottom w:val="none" w:sz="0" w:space="0" w:color="auto"/>
        <w:right w:val="none" w:sz="0" w:space="0" w:color="auto"/>
      </w:divBdr>
    </w:div>
    <w:div w:id="1910336607">
      <w:bodyDiv w:val="1"/>
      <w:marLeft w:val="0"/>
      <w:marRight w:val="0"/>
      <w:marTop w:val="0"/>
      <w:marBottom w:val="0"/>
      <w:divBdr>
        <w:top w:val="none" w:sz="0" w:space="0" w:color="auto"/>
        <w:left w:val="none" w:sz="0" w:space="0" w:color="auto"/>
        <w:bottom w:val="none" w:sz="0" w:space="0" w:color="auto"/>
        <w:right w:val="none" w:sz="0" w:space="0" w:color="auto"/>
      </w:divBdr>
    </w:div>
    <w:div w:id="1933472595">
      <w:bodyDiv w:val="1"/>
      <w:marLeft w:val="0"/>
      <w:marRight w:val="0"/>
      <w:marTop w:val="0"/>
      <w:marBottom w:val="0"/>
      <w:divBdr>
        <w:top w:val="none" w:sz="0" w:space="0" w:color="auto"/>
        <w:left w:val="none" w:sz="0" w:space="0" w:color="auto"/>
        <w:bottom w:val="none" w:sz="0" w:space="0" w:color="auto"/>
        <w:right w:val="none" w:sz="0" w:space="0" w:color="auto"/>
      </w:divBdr>
    </w:div>
    <w:div w:id="1954706562">
      <w:bodyDiv w:val="1"/>
      <w:marLeft w:val="0"/>
      <w:marRight w:val="0"/>
      <w:marTop w:val="0"/>
      <w:marBottom w:val="0"/>
      <w:divBdr>
        <w:top w:val="none" w:sz="0" w:space="0" w:color="auto"/>
        <w:left w:val="none" w:sz="0" w:space="0" w:color="auto"/>
        <w:bottom w:val="none" w:sz="0" w:space="0" w:color="auto"/>
        <w:right w:val="none" w:sz="0" w:space="0" w:color="auto"/>
      </w:divBdr>
    </w:div>
    <w:div w:id="1956019454">
      <w:bodyDiv w:val="1"/>
      <w:marLeft w:val="0"/>
      <w:marRight w:val="0"/>
      <w:marTop w:val="0"/>
      <w:marBottom w:val="0"/>
      <w:divBdr>
        <w:top w:val="none" w:sz="0" w:space="0" w:color="auto"/>
        <w:left w:val="none" w:sz="0" w:space="0" w:color="auto"/>
        <w:bottom w:val="none" w:sz="0" w:space="0" w:color="auto"/>
        <w:right w:val="none" w:sz="0" w:space="0" w:color="auto"/>
      </w:divBdr>
    </w:div>
    <w:div w:id="1957905402">
      <w:bodyDiv w:val="1"/>
      <w:marLeft w:val="0"/>
      <w:marRight w:val="0"/>
      <w:marTop w:val="0"/>
      <w:marBottom w:val="0"/>
      <w:divBdr>
        <w:top w:val="none" w:sz="0" w:space="0" w:color="auto"/>
        <w:left w:val="none" w:sz="0" w:space="0" w:color="auto"/>
        <w:bottom w:val="none" w:sz="0" w:space="0" w:color="auto"/>
        <w:right w:val="none" w:sz="0" w:space="0" w:color="auto"/>
      </w:divBdr>
    </w:div>
    <w:div w:id="1960137130">
      <w:bodyDiv w:val="1"/>
      <w:marLeft w:val="0"/>
      <w:marRight w:val="0"/>
      <w:marTop w:val="0"/>
      <w:marBottom w:val="0"/>
      <w:divBdr>
        <w:top w:val="none" w:sz="0" w:space="0" w:color="auto"/>
        <w:left w:val="none" w:sz="0" w:space="0" w:color="auto"/>
        <w:bottom w:val="none" w:sz="0" w:space="0" w:color="auto"/>
        <w:right w:val="none" w:sz="0" w:space="0" w:color="auto"/>
      </w:divBdr>
      <w:divsChild>
        <w:div w:id="527448217">
          <w:marLeft w:val="0"/>
          <w:marRight w:val="0"/>
          <w:marTop w:val="0"/>
          <w:marBottom w:val="0"/>
          <w:divBdr>
            <w:top w:val="none" w:sz="0" w:space="0" w:color="auto"/>
            <w:left w:val="none" w:sz="0" w:space="0" w:color="auto"/>
            <w:bottom w:val="none" w:sz="0" w:space="0" w:color="auto"/>
            <w:right w:val="none" w:sz="0" w:space="0" w:color="auto"/>
          </w:divBdr>
          <w:divsChild>
            <w:div w:id="168495135">
              <w:marLeft w:val="0"/>
              <w:marRight w:val="0"/>
              <w:marTop w:val="0"/>
              <w:marBottom w:val="0"/>
              <w:divBdr>
                <w:top w:val="none" w:sz="0" w:space="0" w:color="auto"/>
                <w:left w:val="none" w:sz="0" w:space="0" w:color="auto"/>
                <w:bottom w:val="none" w:sz="0" w:space="0" w:color="auto"/>
                <w:right w:val="none" w:sz="0" w:space="0" w:color="auto"/>
              </w:divBdr>
            </w:div>
          </w:divsChild>
        </w:div>
        <w:div w:id="552927802">
          <w:marLeft w:val="0"/>
          <w:marRight w:val="0"/>
          <w:marTop w:val="0"/>
          <w:marBottom w:val="0"/>
          <w:divBdr>
            <w:top w:val="none" w:sz="0" w:space="0" w:color="auto"/>
            <w:left w:val="none" w:sz="0" w:space="0" w:color="auto"/>
            <w:bottom w:val="none" w:sz="0" w:space="0" w:color="auto"/>
            <w:right w:val="none" w:sz="0" w:space="0" w:color="auto"/>
          </w:divBdr>
          <w:divsChild>
            <w:div w:id="822351280">
              <w:marLeft w:val="0"/>
              <w:marRight w:val="0"/>
              <w:marTop w:val="0"/>
              <w:marBottom w:val="0"/>
              <w:divBdr>
                <w:top w:val="none" w:sz="0" w:space="0" w:color="auto"/>
                <w:left w:val="none" w:sz="0" w:space="0" w:color="auto"/>
                <w:bottom w:val="none" w:sz="0" w:space="0" w:color="auto"/>
                <w:right w:val="none" w:sz="0" w:space="0" w:color="auto"/>
              </w:divBdr>
            </w:div>
          </w:divsChild>
        </w:div>
        <w:div w:id="557861971">
          <w:marLeft w:val="0"/>
          <w:marRight w:val="0"/>
          <w:marTop w:val="0"/>
          <w:marBottom w:val="0"/>
          <w:divBdr>
            <w:top w:val="none" w:sz="0" w:space="0" w:color="auto"/>
            <w:left w:val="none" w:sz="0" w:space="0" w:color="auto"/>
            <w:bottom w:val="none" w:sz="0" w:space="0" w:color="auto"/>
            <w:right w:val="none" w:sz="0" w:space="0" w:color="auto"/>
          </w:divBdr>
          <w:divsChild>
            <w:div w:id="701126112">
              <w:marLeft w:val="0"/>
              <w:marRight w:val="0"/>
              <w:marTop w:val="0"/>
              <w:marBottom w:val="0"/>
              <w:divBdr>
                <w:top w:val="none" w:sz="0" w:space="0" w:color="auto"/>
                <w:left w:val="none" w:sz="0" w:space="0" w:color="auto"/>
                <w:bottom w:val="none" w:sz="0" w:space="0" w:color="auto"/>
                <w:right w:val="none" w:sz="0" w:space="0" w:color="auto"/>
              </w:divBdr>
            </w:div>
          </w:divsChild>
        </w:div>
        <w:div w:id="1169637106">
          <w:marLeft w:val="0"/>
          <w:marRight w:val="0"/>
          <w:marTop w:val="0"/>
          <w:marBottom w:val="0"/>
          <w:divBdr>
            <w:top w:val="none" w:sz="0" w:space="0" w:color="auto"/>
            <w:left w:val="none" w:sz="0" w:space="0" w:color="auto"/>
            <w:bottom w:val="none" w:sz="0" w:space="0" w:color="auto"/>
            <w:right w:val="none" w:sz="0" w:space="0" w:color="auto"/>
          </w:divBdr>
          <w:divsChild>
            <w:div w:id="1795368821">
              <w:marLeft w:val="0"/>
              <w:marRight w:val="0"/>
              <w:marTop w:val="0"/>
              <w:marBottom w:val="0"/>
              <w:divBdr>
                <w:top w:val="none" w:sz="0" w:space="0" w:color="auto"/>
                <w:left w:val="none" w:sz="0" w:space="0" w:color="auto"/>
                <w:bottom w:val="none" w:sz="0" w:space="0" w:color="auto"/>
                <w:right w:val="none" w:sz="0" w:space="0" w:color="auto"/>
              </w:divBdr>
            </w:div>
          </w:divsChild>
        </w:div>
        <w:div w:id="1176385637">
          <w:marLeft w:val="0"/>
          <w:marRight w:val="0"/>
          <w:marTop w:val="0"/>
          <w:marBottom w:val="0"/>
          <w:divBdr>
            <w:top w:val="none" w:sz="0" w:space="0" w:color="auto"/>
            <w:left w:val="none" w:sz="0" w:space="0" w:color="auto"/>
            <w:bottom w:val="none" w:sz="0" w:space="0" w:color="auto"/>
            <w:right w:val="none" w:sz="0" w:space="0" w:color="auto"/>
          </w:divBdr>
          <w:divsChild>
            <w:div w:id="164826825">
              <w:marLeft w:val="0"/>
              <w:marRight w:val="0"/>
              <w:marTop w:val="0"/>
              <w:marBottom w:val="0"/>
              <w:divBdr>
                <w:top w:val="none" w:sz="0" w:space="0" w:color="auto"/>
                <w:left w:val="none" w:sz="0" w:space="0" w:color="auto"/>
                <w:bottom w:val="none" w:sz="0" w:space="0" w:color="auto"/>
                <w:right w:val="none" w:sz="0" w:space="0" w:color="auto"/>
              </w:divBdr>
            </w:div>
          </w:divsChild>
        </w:div>
        <w:div w:id="1575504789">
          <w:marLeft w:val="0"/>
          <w:marRight w:val="0"/>
          <w:marTop w:val="0"/>
          <w:marBottom w:val="0"/>
          <w:divBdr>
            <w:top w:val="none" w:sz="0" w:space="0" w:color="auto"/>
            <w:left w:val="none" w:sz="0" w:space="0" w:color="auto"/>
            <w:bottom w:val="none" w:sz="0" w:space="0" w:color="auto"/>
            <w:right w:val="none" w:sz="0" w:space="0" w:color="auto"/>
          </w:divBdr>
          <w:divsChild>
            <w:div w:id="55473783">
              <w:marLeft w:val="0"/>
              <w:marRight w:val="0"/>
              <w:marTop w:val="0"/>
              <w:marBottom w:val="0"/>
              <w:divBdr>
                <w:top w:val="none" w:sz="0" w:space="0" w:color="auto"/>
                <w:left w:val="none" w:sz="0" w:space="0" w:color="auto"/>
                <w:bottom w:val="none" w:sz="0" w:space="0" w:color="auto"/>
                <w:right w:val="none" w:sz="0" w:space="0" w:color="auto"/>
              </w:divBdr>
            </w:div>
          </w:divsChild>
        </w:div>
        <w:div w:id="2112234675">
          <w:marLeft w:val="0"/>
          <w:marRight w:val="0"/>
          <w:marTop w:val="0"/>
          <w:marBottom w:val="0"/>
          <w:divBdr>
            <w:top w:val="none" w:sz="0" w:space="0" w:color="auto"/>
            <w:left w:val="none" w:sz="0" w:space="0" w:color="auto"/>
            <w:bottom w:val="none" w:sz="0" w:space="0" w:color="auto"/>
            <w:right w:val="none" w:sz="0" w:space="0" w:color="auto"/>
          </w:divBdr>
          <w:divsChild>
            <w:div w:id="189458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996022">
      <w:bodyDiv w:val="1"/>
      <w:marLeft w:val="0"/>
      <w:marRight w:val="0"/>
      <w:marTop w:val="0"/>
      <w:marBottom w:val="0"/>
      <w:divBdr>
        <w:top w:val="none" w:sz="0" w:space="0" w:color="auto"/>
        <w:left w:val="none" w:sz="0" w:space="0" w:color="auto"/>
        <w:bottom w:val="none" w:sz="0" w:space="0" w:color="auto"/>
        <w:right w:val="none" w:sz="0" w:space="0" w:color="auto"/>
      </w:divBdr>
    </w:div>
    <w:div w:id="1974671835">
      <w:bodyDiv w:val="1"/>
      <w:marLeft w:val="0"/>
      <w:marRight w:val="0"/>
      <w:marTop w:val="0"/>
      <w:marBottom w:val="0"/>
      <w:divBdr>
        <w:top w:val="none" w:sz="0" w:space="0" w:color="auto"/>
        <w:left w:val="none" w:sz="0" w:space="0" w:color="auto"/>
        <w:bottom w:val="none" w:sz="0" w:space="0" w:color="auto"/>
        <w:right w:val="none" w:sz="0" w:space="0" w:color="auto"/>
      </w:divBdr>
    </w:div>
    <w:div w:id="1978951311">
      <w:bodyDiv w:val="1"/>
      <w:marLeft w:val="0"/>
      <w:marRight w:val="0"/>
      <w:marTop w:val="0"/>
      <w:marBottom w:val="0"/>
      <w:divBdr>
        <w:top w:val="none" w:sz="0" w:space="0" w:color="auto"/>
        <w:left w:val="none" w:sz="0" w:space="0" w:color="auto"/>
        <w:bottom w:val="none" w:sz="0" w:space="0" w:color="auto"/>
        <w:right w:val="none" w:sz="0" w:space="0" w:color="auto"/>
      </w:divBdr>
    </w:div>
    <w:div w:id="1999721228">
      <w:bodyDiv w:val="1"/>
      <w:marLeft w:val="0"/>
      <w:marRight w:val="0"/>
      <w:marTop w:val="0"/>
      <w:marBottom w:val="0"/>
      <w:divBdr>
        <w:top w:val="none" w:sz="0" w:space="0" w:color="auto"/>
        <w:left w:val="none" w:sz="0" w:space="0" w:color="auto"/>
        <w:bottom w:val="none" w:sz="0" w:space="0" w:color="auto"/>
        <w:right w:val="none" w:sz="0" w:space="0" w:color="auto"/>
      </w:divBdr>
    </w:div>
    <w:div w:id="2009752500">
      <w:bodyDiv w:val="1"/>
      <w:marLeft w:val="0"/>
      <w:marRight w:val="0"/>
      <w:marTop w:val="0"/>
      <w:marBottom w:val="0"/>
      <w:divBdr>
        <w:top w:val="none" w:sz="0" w:space="0" w:color="auto"/>
        <w:left w:val="none" w:sz="0" w:space="0" w:color="auto"/>
        <w:bottom w:val="none" w:sz="0" w:space="0" w:color="auto"/>
        <w:right w:val="none" w:sz="0" w:space="0" w:color="auto"/>
      </w:divBdr>
    </w:div>
    <w:div w:id="2017804389">
      <w:bodyDiv w:val="1"/>
      <w:marLeft w:val="0"/>
      <w:marRight w:val="0"/>
      <w:marTop w:val="0"/>
      <w:marBottom w:val="0"/>
      <w:divBdr>
        <w:top w:val="none" w:sz="0" w:space="0" w:color="auto"/>
        <w:left w:val="none" w:sz="0" w:space="0" w:color="auto"/>
        <w:bottom w:val="none" w:sz="0" w:space="0" w:color="auto"/>
        <w:right w:val="none" w:sz="0" w:space="0" w:color="auto"/>
      </w:divBdr>
    </w:div>
    <w:div w:id="2038043468">
      <w:bodyDiv w:val="1"/>
      <w:marLeft w:val="0"/>
      <w:marRight w:val="0"/>
      <w:marTop w:val="0"/>
      <w:marBottom w:val="0"/>
      <w:divBdr>
        <w:top w:val="none" w:sz="0" w:space="0" w:color="auto"/>
        <w:left w:val="none" w:sz="0" w:space="0" w:color="auto"/>
        <w:bottom w:val="none" w:sz="0" w:space="0" w:color="auto"/>
        <w:right w:val="none" w:sz="0" w:space="0" w:color="auto"/>
      </w:divBdr>
    </w:div>
    <w:div w:id="2049523037">
      <w:bodyDiv w:val="1"/>
      <w:marLeft w:val="0"/>
      <w:marRight w:val="0"/>
      <w:marTop w:val="0"/>
      <w:marBottom w:val="0"/>
      <w:divBdr>
        <w:top w:val="none" w:sz="0" w:space="0" w:color="auto"/>
        <w:left w:val="none" w:sz="0" w:space="0" w:color="auto"/>
        <w:bottom w:val="none" w:sz="0" w:space="0" w:color="auto"/>
        <w:right w:val="none" w:sz="0" w:space="0" w:color="auto"/>
      </w:divBdr>
    </w:div>
    <w:div w:id="2052268099">
      <w:bodyDiv w:val="1"/>
      <w:marLeft w:val="0"/>
      <w:marRight w:val="0"/>
      <w:marTop w:val="0"/>
      <w:marBottom w:val="0"/>
      <w:divBdr>
        <w:top w:val="none" w:sz="0" w:space="0" w:color="auto"/>
        <w:left w:val="none" w:sz="0" w:space="0" w:color="auto"/>
        <w:bottom w:val="none" w:sz="0" w:space="0" w:color="auto"/>
        <w:right w:val="none" w:sz="0" w:space="0" w:color="auto"/>
      </w:divBdr>
    </w:div>
    <w:div w:id="2062289298">
      <w:bodyDiv w:val="1"/>
      <w:marLeft w:val="0"/>
      <w:marRight w:val="0"/>
      <w:marTop w:val="0"/>
      <w:marBottom w:val="0"/>
      <w:divBdr>
        <w:top w:val="none" w:sz="0" w:space="0" w:color="auto"/>
        <w:left w:val="none" w:sz="0" w:space="0" w:color="auto"/>
        <w:bottom w:val="none" w:sz="0" w:space="0" w:color="auto"/>
        <w:right w:val="none" w:sz="0" w:space="0" w:color="auto"/>
      </w:divBdr>
    </w:div>
    <w:div w:id="2063597735">
      <w:bodyDiv w:val="1"/>
      <w:marLeft w:val="0"/>
      <w:marRight w:val="0"/>
      <w:marTop w:val="0"/>
      <w:marBottom w:val="0"/>
      <w:divBdr>
        <w:top w:val="none" w:sz="0" w:space="0" w:color="auto"/>
        <w:left w:val="none" w:sz="0" w:space="0" w:color="auto"/>
        <w:bottom w:val="none" w:sz="0" w:space="0" w:color="auto"/>
        <w:right w:val="none" w:sz="0" w:space="0" w:color="auto"/>
      </w:divBdr>
    </w:div>
    <w:div w:id="2079008628">
      <w:bodyDiv w:val="1"/>
      <w:marLeft w:val="0"/>
      <w:marRight w:val="0"/>
      <w:marTop w:val="0"/>
      <w:marBottom w:val="0"/>
      <w:divBdr>
        <w:top w:val="none" w:sz="0" w:space="0" w:color="auto"/>
        <w:left w:val="none" w:sz="0" w:space="0" w:color="auto"/>
        <w:bottom w:val="none" w:sz="0" w:space="0" w:color="auto"/>
        <w:right w:val="none" w:sz="0" w:space="0" w:color="auto"/>
      </w:divBdr>
    </w:div>
    <w:div w:id="2093695451">
      <w:bodyDiv w:val="1"/>
      <w:marLeft w:val="0"/>
      <w:marRight w:val="0"/>
      <w:marTop w:val="0"/>
      <w:marBottom w:val="0"/>
      <w:divBdr>
        <w:top w:val="none" w:sz="0" w:space="0" w:color="auto"/>
        <w:left w:val="none" w:sz="0" w:space="0" w:color="auto"/>
        <w:bottom w:val="none" w:sz="0" w:space="0" w:color="auto"/>
        <w:right w:val="none" w:sz="0" w:space="0" w:color="auto"/>
      </w:divBdr>
    </w:div>
    <w:div w:id="2101215891">
      <w:bodyDiv w:val="1"/>
      <w:marLeft w:val="0"/>
      <w:marRight w:val="0"/>
      <w:marTop w:val="0"/>
      <w:marBottom w:val="0"/>
      <w:divBdr>
        <w:top w:val="none" w:sz="0" w:space="0" w:color="auto"/>
        <w:left w:val="none" w:sz="0" w:space="0" w:color="auto"/>
        <w:bottom w:val="none" w:sz="0" w:space="0" w:color="auto"/>
        <w:right w:val="none" w:sz="0" w:space="0" w:color="auto"/>
      </w:divBdr>
    </w:div>
    <w:div w:id="2120879072">
      <w:bodyDiv w:val="1"/>
      <w:marLeft w:val="0"/>
      <w:marRight w:val="0"/>
      <w:marTop w:val="0"/>
      <w:marBottom w:val="0"/>
      <w:divBdr>
        <w:top w:val="none" w:sz="0" w:space="0" w:color="auto"/>
        <w:left w:val="none" w:sz="0" w:space="0" w:color="auto"/>
        <w:bottom w:val="none" w:sz="0" w:space="0" w:color="auto"/>
        <w:right w:val="none" w:sz="0" w:space="0" w:color="auto"/>
      </w:divBdr>
    </w:div>
    <w:div w:id="2121802478">
      <w:bodyDiv w:val="1"/>
      <w:marLeft w:val="0"/>
      <w:marRight w:val="0"/>
      <w:marTop w:val="0"/>
      <w:marBottom w:val="0"/>
      <w:divBdr>
        <w:top w:val="none" w:sz="0" w:space="0" w:color="auto"/>
        <w:left w:val="none" w:sz="0" w:space="0" w:color="auto"/>
        <w:bottom w:val="none" w:sz="0" w:space="0" w:color="auto"/>
        <w:right w:val="none" w:sz="0" w:space="0" w:color="auto"/>
      </w:divBdr>
    </w:div>
    <w:div w:id="2135707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21" Type="http://schemas.openxmlformats.org/officeDocument/2006/relationships/chart" Target="charts/chart5.xml"/><Relationship Id="rId42" Type="http://schemas.openxmlformats.org/officeDocument/2006/relationships/chart" Target="charts/chart26.xml"/><Relationship Id="rId47" Type="http://schemas.openxmlformats.org/officeDocument/2006/relationships/oleObject" Target="embeddings/oleObject2.bin"/><Relationship Id="rId63" Type="http://schemas.openxmlformats.org/officeDocument/2006/relationships/oleObject" Target="embeddings/oleObject8.bin"/><Relationship Id="rId68" Type="http://schemas.openxmlformats.org/officeDocument/2006/relationships/image" Target="media/image17.emf"/><Relationship Id="rId84" Type="http://schemas.openxmlformats.org/officeDocument/2006/relationships/image" Target="media/image25.emf"/><Relationship Id="rId89" Type="http://schemas.openxmlformats.org/officeDocument/2006/relationships/oleObject" Target="embeddings/Microsoft_Word_97_-_2003_Document2.doc"/><Relationship Id="rId16" Type="http://schemas.openxmlformats.org/officeDocument/2006/relationships/hyperlink" Target="http://intranet/gestionhumana/index.php/manual-perfiles" TargetMode="External"/><Relationship Id="rId11" Type="http://schemas.openxmlformats.org/officeDocument/2006/relationships/image" Target="media/image1.png"/><Relationship Id="rId32" Type="http://schemas.openxmlformats.org/officeDocument/2006/relationships/chart" Target="charts/chart16.xml"/><Relationship Id="rId37" Type="http://schemas.openxmlformats.org/officeDocument/2006/relationships/chart" Target="charts/chart21.xml"/><Relationship Id="rId53" Type="http://schemas.openxmlformats.org/officeDocument/2006/relationships/oleObject" Target="embeddings/oleObject4.bin"/><Relationship Id="rId58" Type="http://schemas.openxmlformats.org/officeDocument/2006/relationships/image" Target="media/image12.emf"/><Relationship Id="rId74" Type="http://schemas.openxmlformats.org/officeDocument/2006/relationships/image" Target="media/image20.emf"/><Relationship Id="rId79" Type="http://schemas.openxmlformats.org/officeDocument/2006/relationships/oleObject" Target="embeddings/oleObject16.bin"/><Relationship Id="rId5" Type="http://schemas.openxmlformats.org/officeDocument/2006/relationships/numbering" Target="numbering.xml"/><Relationship Id="rId90" Type="http://schemas.openxmlformats.org/officeDocument/2006/relationships/image" Target="media/image28.emf"/><Relationship Id="rId95" Type="http://schemas.openxmlformats.org/officeDocument/2006/relationships/package" Target="embeddings/Microsoft_Word_Document8.docx"/><Relationship Id="rId22" Type="http://schemas.openxmlformats.org/officeDocument/2006/relationships/chart" Target="charts/chart6.xml"/><Relationship Id="rId27" Type="http://schemas.openxmlformats.org/officeDocument/2006/relationships/chart" Target="charts/chart11.xml"/><Relationship Id="rId43" Type="http://schemas.openxmlformats.org/officeDocument/2006/relationships/chart" Target="charts/chart27.xml"/><Relationship Id="rId48" Type="http://schemas.openxmlformats.org/officeDocument/2006/relationships/image" Target="media/image7.emf"/><Relationship Id="rId64" Type="http://schemas.openxmlformats.org/officeDocument/2006/relationships/image" Target="media/image15.emf"/><Relationship Id="rId69" Type="http://schemas.openxmlformats.org/officeDocument/2006/relationships/oleObject" Target="embeddings/oleObject11.bin"/><Relationship Id="rId80" Type="http://schemas.openxmlformats.org/officeDocument/2006/relationships/image" Target="media/image23.emf"/><Relationship Id="rId85" Type="http://schemas.openxmlformats.org/officeDocument/2006/relationships/oleObject" Target="embeddings/Microsoft_Word_97_-_2003_Document1.doc"/><Relationship Id="rId12" Type="http://schemas.openxmlformats.org/officeDocument/2006/relationships/image" Target="media/image2.png"/><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chart" Target="charts/chart17.xml"/><Relationship Id="rId38" Type="http://schemas.openxmlformats.org/officeDocument/2006/relationships/chart" Target="charts/chart22.xml"/><Relationship Id="rId46" Type="http://schemas.openxmlformats.org/officeDocument/2006/relationships/image" Target="media/image6.emf"/><Relationship Id="rId59" Type="http://schemas.openxmlformats.org/officeDocument/2006/relationships/oleObject" Target="embeddings/oleObject7.bin"/><Relationship Id="rId67" Type="http://schemas.openxmlformats.org/officeDocument/2006/relationships/oleObject" Target="embeddings/oleObject10.bin"/><Relationship Id="rId20" Type="http://schemas.openxmlformats.org/officeDocument/2006/relationships/chart" Target="charts/chart4.xml"/><Relationship Id="rId41" Type="http://schemas.openxmlformats.org/officeDocument/2006/relationships/chart" Target="charts/chart25.xml"/><Relationship Id="rId54" Type="http://schemas.openxmlformats.org/officeDocument/2006/relationships/image" Target="media/image10.emf"/><Relationship Id="rId62" Type="http://schemas.openxmlformats.org/officeDocument/2006/relationships/image" Target="media/image14.emf"/><Relationship Id="rId70" Type="http://schemas.openxmlformats.org/officeDocument/2006/relationships/image" Target="media/image18.emf"/><Relationship Id="rId75" Type="http://schemas.openxmlformats.org/officeDocument/2006/relationships/oleObject" Target="embeddings/oleObject14.bin"/><Relationship Id="rId83" Type="http://schemas.openxmlformats.org/officeDocument/2006/relationships/package" Target="embeddings/Microsoft_Word_Document5.docx"/><Relationship Id="rId88" Type="http://schemas.openxmlformats.org/officeDocument/2006/relationships/image" Target="media/image27.emf"/><Relationship Id="rId91" Type="http://schemas.openxmlformats.org/officeDocument/2006/relationships/oleObject" Target="embeddings/oleObject17.bin"/><Relationship Id="rId96" Type="http://schemas.openxmlformats.org/officeDocument/2006/relationships/image" Target="media/image31.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oleObject" Target="embeddings/oleObject1.bin"/><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oleObject" Target="embeddings/oleObject3.bin"/><Relationship Id="rId57" Type="http://schemas.openxmlformats.org/officeDocument/2006/relationships/oleObject" Target="embeddings/oleObject6.bin"/><Relationship Id="rId10" Type="http://schemas.openxmlformats.org/officeDocument/2006/relationships/endnotes" Target="endnotes.xml"/><Relationship Id="rId31" Type="http://schemas.openxmlformats.org/officeDocument/2006/relationships/chart" Target="charts/chart15.xml"/><Relationship Id="rId44" Type="http://schemas.openxmlformats.org/officeDocument/2006/relationships/header" Target="header1.xml"/><Relationship Id="rId52" Type="http://schemas.openxmlformats.org/officeDocument/2006/relationships/image" Target="media/image9.emf"/><Relationship Id="rId60" Type="http://schemas.openxmlformats.org/officeDocument/2006/relationships/image" Target="media/image13.emf"/><Relationship Id="rId65" Type="http://schemas.openxmlformats.org/officeDocument/2006/relationships/oleObject" Target="embeddings/oleObject9.bin"/><Relationship Id="rId73" Type="http://schemas.openxmlformats.org/officeDocument/2006/relationships/oleObject" Target="embeddings/oleObject13.bin"/><Relationship Id="rId78" Type="http://schemas.openxmlformats.org/officeDocument/2006/relationships/image" Target="media/image22.emf"/><Relationship Id="rId81" Type="http://schemas.openxmlformats.org/officeDocument/2006/relationships/package" Target="embeddings/Microsoft_Word_Document4.docx"/><Relationship Id="rId86" Type="http://schemas.openxmlformats.org/officeDocument/2006/relationships/image" Target="media/image26.emf"/><Relationship Id="rId94" Type="http://schemas.openxmlformats.org/officeDocument/2006/relationships/image" Target="media/image30.emf"/><Relationship Id="rId99" Type="http://schemas.openxmlformats.org/officeDocument/2006/relationships/oleObject" Target="embeddings/oleObject18.bin"/><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chart" Target="charts/chart2.xml"/><Relationship Id="rId39" Type="http://schemas.openxmlformats.org/officeDocument/2006/relationships/chart" Target="charts/chart23.xml"/><Relationship Id="rId34" Type="http://schemas.openxmlformats.org/officeDocument/2006/relationships/chart" Target="charts/chart18.xml"/><Relationship Id="rId50" Type="http://schemas.openxmlformats.org/officeDocument/2006/relationships/image" Target="media/image8.emf"/><Relationship Id="rId55" Type="http://schemas.openxmlformats.org/officeDocument/2006/relationships/oleObject" Target="embeddings/oleObject5.bin"/><Relationship Id="rId76" Type="http://schemas.openxmlformats.org/officeDocument/2006/relationships/image" Target="media/image21.emf"/><Relationship Id="rId97" Type="http://schemas.openxmlformats.org/officeDocument/2006/relationships/oleObject" Target="embeddings/Microsoft_Word_97_-_2003_Document3.doc"/><Relationship Id="rId7" Type="http://schemas.openxmlformats.org/officeDocument/2006/relationships/settings" Target="settings.xml"/><Relationship Id="rId71" Type="http://schemas.openxmlformats.org/officeDocument/2006/relationships/oleObject" Target="embeddings/oleObject12.bin"/><Relationship Id="rId92" Type="http://schemas.openxmlformats.org/officeDocument/2006/relationships/image" Target="media/image29.emf"/><Relationship Id="rId2" Type="http://schemas.openxmlformats.org/officeDocument/2006/relationships/customXml" Target="../customXml/item2.xml"/><Relationship Id="rId29" Type="http://schemas.openxmlformats.org/officeDocument/2006/relationships/chart" Target="charts/chart13.xml"/><Relationship Id="rId24" Type="http://schemas.openxmlformats.org/officeDocument/2006/relationships/chart" Target="charts/chart8.xml"/><Relationship Id="rId40" Type="http://schemas.openxmlformats.org/officeDocument/2006/relationships/chart" Target="charts/chart24.xml"/><Relationship Id="rId45" Type="http://schemas.openxmlformats.org/officeDocument/2006/relationships/footer" Target="footer1.xml"/><Relationship Id="rId66" Type="http://schemas.openxmlformats.org/officeDocument/2006/relationships/image" Target="media/image16.emf"/><Relationship Id="rId87" Type="http://schemas.openxmlformats.org/officeDocument/2006/relationships/package" Target="embeddings/Microsoft_Word_Document6.docx"/><Relationship Id="rId61" Type="http://schemas.openxmlformats.org/officeDocument/2006/relationships/oleObject" Target="embeddings/Microsoft_Word_97_-_2003_Document.doc"/><Relationship Id="rId82" Type="http://schemas.openxmlformats.org/officeDocument/2006/relationships/image" Target="media/image24.emf"/><Relationship Id="rId19" Type="http://schemas.openxmlformats.org/officeDocument/2006/relationships/chart" Target="charts/chart3.xml"/><Relationship Id="rId14" Type="http://schemas.openxmlformats.org/officeDocument/2006/relationships/image" Target="media/image4.emf"/><Relationship Id="rId30" Type="http://schemas.openxmlformats.org/officeDocument/2006/relationships/chart" Target="charts/chart14.xml"/><Relationship Id="rId35" Type="http://schemas.openxmlformats.org/officeDocument/2006/relationships/chart" Target="charts/chart19.xml"/><Relationship Id="rId56" Type="http://schemas.openxmlformats.org/officeDocument/2006/relationships/image" Target="media/image11.emf"/><Relationship Id="rId77" Type="http://schemas.openxmlformats.org/officeDocument/2006/relationships/oleObject" Target="embeddings/oleObject15.bin"/><Relationship Id="rId100"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package" Target="embeddings/Microsoft_Word_Document.docx"/><Relationship Id="rId72" Type="http://schemas.openxmlformats.org/officeDocument/2006/relationships/image" Target="media/image19.emf"/><Relationship Id="rId93" Type="http://schemas.openxmlformats.org/officeDocument/2006/relationships/package" Target="embeddings/Microsoft_Word_Document7.docx"/><Relationship Id="rId98" Type="http://schemas.openxmlformats.org/officeDocument/2006/relationships/image" Target="media/image32.emf"/><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openxmlformats.org/officeDocument/2006/relationships/hyperlink" Target="mailto:planificacion@poder-judicial.go.cr" TargetMode="External"/><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gomeza\AppData\Local\Microsoft\Windows\INetCache\Content.Outlook\5A9CW34D\Control%20de%20cambios%20y%20calculos%20de%20los%20cuadros%20Agrario%202022%20(VERO).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xlsx"/></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3.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msanchezcal\Desktop\Actualizaci&#243;n%20Materia%20Agraria\Control%20de%20cambios%20y%20calculos%20de%20los%20cuadros%20Agrario%202022%20(VER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76382364286123"/>
          <c:y val="0.11930838858968829"/>
          <c:w val="0.81083231466818684"/>
          <c:h val="0.73570285348975573"/>
        </c:manualLayout>
      </c:layout>
      <c:barChart>
        <c:barDir val="bar"/>
        <c:grouping val="clustered"/>
        <c:varyColors val="0"/>
        <c:ser>
          <c:idx val="1"/>
          <c:order val="0"/>
          <c:tx>
            <c:v>2022</c:v>
          </c:tx>
          <c:spPr>
            <a:solidFill>
              <a:srgbClr val="99FF66"/>
            </a:solidFill>
            <a:ln>
              <a:noFill/>
            </a:ln>
            <a:effectLst>
              <a:outerShdw blurRad="57150" dist="19050" dir="5400000" algn="ctr" rotWithShape="0">
                <a:srgbClr val="000000">
                  <a:alpha val="63000"/>
                </a:srgbClr>
              </a:outerShdw>
            </a:effectLst>
          </c:spPr>
          <c:invertIfNegative val="0"/>
          <c:dLbls>
            <c:dLbl>
              <c:idx val="0"/>
              <c:layout>
                <c:manualLayout>
                  <c:x val="-2.26372342219377E-3"/>
                  <c:y val="8.839775929081222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D25-48F9-A4BC-CF1E7CECC3E9}"/>
                </c:ext>
              </c:extLst>
            </c:dLbl>
            <c:dLbl>
              <c:idx val="1"/>
              <c:layout>
                <c:manualLayout>
                  <c:x val="-4.5274468443874567E-3"/>
                  <c:y val="5.893183952720779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D25-48F9-A4BC-CF1E7CECC3E9}"/>
                </c:ext>
              </c:extLst>
            </c:dLbl>
            <c:dLbl>
              <c:idx val="3"/>
              <c:layout>
                <c:manualLayout>
                  <c:x val="0"/>
                  <c:y val="8.83977592908133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D25-48F9-A4BC-CF1E7CECC3E9}"/>
                </c:ext>
              </c:extLst>
            </c:dLbl>
            <c:dLbl>
              <c:idx val="4"/>
              <c:layout>
                <c:manualLayout>
                  <c:x val="-1.3106787465574632E-16"/>
                  <c:y val="1.53550808027878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D25-48F9-A4BC-CF1E7CECC3E9}"/>
                </c:ext>
              </c:extLst>
            </c:dLbl>
            <c:dLbl>
              <c:idx val="9"/>
              <c:layout>
                <c:manualLayout>
                  <c:x val="-1.7873098467685693E-3"/>
                  <c:y val="9.213048481672684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D25-48F9-A4BC-CF1E7CECC3E9}"/>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1'!$D$3:$D$14</c:f>
              <c:numCache>
                <c:formatCode>0</c:formatCode>
                <c:ptCount val="12"/>
                <c:pt idx="0">
                  <c:v>23</c:v>
                </c:pt>
                <c:pt idx="1">
                  <c:v>31.666666666666668</c:v>
                </c:pt>
                <c:pt idx="2">
                  <c:v>41.666666666666664</c:v>
                </c:pt>
                <c:pt idx="3">
                  <c:v>23.25</c:v>
                </c:pt>
                <c:pt idx="4">
                  <c:v>45.083333333333336</c:v>
                </c:pt>
                <c:pt idx="5">
                  <c:v>44.583333333333336</c:v>
                </c:pt>
                <c:pt idx="6">
                  <c:v>55.333333333333336</c:v>
                </c:pt>
                <c:pt idx="7">
                  <c:v>19.333333333333332</c:v>
                </c:pt>
                <c:pt idx="8">
                  <c:v>25.75</c:v>
                </c:pt>
                <c:pt idx="9">
                  <c:v>34.166666666666664</c:v>
                </c:pt>
                <c:pt idx="10">
                  <c:v>37.583333333333336</c:v>
                </c:pt>
                <c:pt idx="11">
                  <c:v>23.416666666666668</c:v>
                </c:pt>
              </c:numCache>
            </c:numRef>
          </c:val>
          <c:extLst>
            <c:ext xmlns:c16="http://schemas.microsoft.com/office/drawing/2014/chart" uri="{C3380CC4-5D6E-409C-BE32-E72D297353CC}">
              <c16:uniqueId val="{00000005-3D25-48F9-A4BC-CF1E7CECC3E9}"/>
            </c:ext>
          </c:extLst>
        </c:ser>
        <c:ser>
          <c:idx val="0"/>
          <c:order val="1"/>
          <c:tx>
            <c:v>2021</c:v>
          </c:tx>
          <c:spPr>
            <a:solidFill>
              <a:schemeClr val="tx2">
                <a:lumMod val="60000"/>
                <a:lumOff val="40000"/>
              </a:schemeClr>
            </a:solidFill>
            <a:ln>
              <a:solidFill>
                <a:schemeClr val="tx2">
                  <a:lumMod val="60000"/>
                  <a:lumOff val="40000"/>
                </a:schemeClr>
              </a:solidFill>
            </a:ln>
            <a:effectLst>
              <a:outerShdw blurRad="57150" dist="19050" dir="5400000" algn="ctr" rotWithShape="0">
                <a:srgbClr val="000000">
                  <a:alpha val="63000"/>
                </a:srgbClr>
              </a:outerShdw>
            </a:effectLst>
          </c:spPr>
          <c:invertIfNegative val="0"/>
          <c:dLbls>
            <c:dLbl>
              <c:idx val="2"/>
              <c:layout>
                <c:manualLayout>
                  <c:x val="-8.3002233298219936E-17"/>
                  <c:y val="-8.83977592908133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D25-48F9-A4BC-CF1E7CECC3E9}"/>
                </c:ext>
              </c:extLst>
            </c:dLbl>
            <c:dLbl>
              <c:idx val="5"/>
              <c:layout>
                <c:manualLayout>
                  <c:x val="0"/>
                  <c:y val="-5.893183952720941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D25-48F9-A4BC-CF1E7CECC3E9}"/>
                </c:ext>
              </c:extLst>
            </c:dLbl>
            <c:dLbl>
              <c:idx val="6"/>
              <c:layout>
                <c:manualLayout>
                  <c:x val="-2.2637234221936039E-3"/>
                  <c:y val="-8.83977592908138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D25-48F9-A4BC-CF1E7CECC3E9}"/>
                </c:ext>
              </c:extLst>
            </c:dLbl>
            <c:dLbl>
              <c:idx val="7"/>
              <c:layout>
                <c:manualLayout>
                  <c:x val="-2.2637234221936872E-3"/>
                  <c:y val="-8.83977592908138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D25-48F9-A4BC-CF1E7CECC3E9}"/>
                </c:ext>
              </c:extLst>
            </c:dLbl>
            <c:dLbl>
              <c:idx val="8"/>
              <c:layout>
                <c:manualLayout>
                  <c:x val="0"/>
                  <c:y val="-5.89318395272088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D25-48F9-A4BC-CF1E7CECC3E9}"/>
                </c:ext>
              </c:extLst>
            </c:dLbl>
            <c:dLbl>
              <c:idx val="10"/>
              <c:layout>
                <c:manualLayout>
                  <c:x val="-8.3002233298219936E-17"/>
                  <c:y val="-8.83977592908133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D25-48F9-A4BC-CF1E7CECC3E9}"/>
                </c:ext>
              </c:extLst>
            </c:dLbl>
            <c:dLbl>
              <c:idx val="11"/>
              <c:layout>
                <c:manualLayout>
                  <c:x val="-5.3619295403053149E-3"/>
                  <c:y val="-1.4981722617598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D25-48F9-A4BC-CF1E7CECC3E9}"/>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1'!$C$3:$C$14</c:f>
              <c:numCache>
                <c:formatCode>0</c:formatCode>
                <c:ptCount val="12"/>
                <c:pt idx="0">
                  <c:v>37</c:v>
                </c:pt>
                <c:pt idx="1">
                  <c:v>34</c:v>
                </c:pt>
                <c:pt idx="2">
                  <c:v>41</c:v>
                </c:pt>
                <c:pt idx="3">
                  <c:v>25</c:v>
                </c:pt>
                <c:pt idx="4">
                  <c:v>62</c:v>
                </c:pt>
                <c:pt idx="5">
                  <c:v>33</c:v>
                </c:pt>
                <c:pt idx="6">
                  <c:v>47</c:v>
                </c:pt>
                <c:pt idx="7">
                  <c:v>19</c:v>
                </c:pt>
                <c:pt idx="8">
                  <c:v>26</c:v>
                </c:pt>
                <c:pt idx="9">
                  <c:v>41</c:v>
                </c:pt>
                <c:pt idx="10">
                  <c:v>35</c:v>
                </c:pt>
                <c:pt idx="11">
                  <c:v>24</c:v>
                </c:pt>
              </c:numCache>
            </c:numRef>
          </c:val>
          <c:extLst>
            <c:ext xmlns:c16="http://schemas.microsoft.com/office/drawing/2014/chart" uri="{C3380CC4-5D6E-409C-BE32-E72D297353CC}">
              <c16:uniqueId val="{0000000D-3D25-48F9-A4BC-CF1E7CECC3E9}"/>
            </c:ext>
          </c:extLst>
        </c:ser>
        <c:dLbls>
          <c:dLblPos val="outEnd"/>
          <c:showLegendKey val="0"/>
          <c:showVal val="1"/>
          <c:showCatName val="0"/>
          <c:showSerName val="0"/>
          <c:showPercent val="0"/>
          <c:showBubbleSize val="0"/>
        </c:dLbls>
        <c:gapWidth val="115"/>
        <c:overlap val="-20"/>
        <c:axId val="1747477215"/>
        <c:axId val="1747473887"/>
      </c:barChart>
      <c:catAx>
        <c:axId val="1747477215"/>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747473887"/>
        <c:crosses val="autoZero"/>
        <c:auto val="1"/>
        <c:lblAlgn val="ctr"/>
        <c:lblOffset val="100"/>
        <c:noMultiLvlLbl val="0"/>
      </c:catAx>
      <c:valAx>
        <c:axId val="1747473887"/>
        <c:scaling>
          <c:orientation val="minMax"/>
        </c:scaling>
        <c:delete val="1"/>
        <c:axPos val="b"/>
        <c:numFmt formatCode="0" sourceLinked="1"/>
        <c:majorTickMark val="none"/>
        <c:minorTickMark val="none"/>
        <c:tickLblPos val="nextTo"/>
        <c:crossAx val="17474772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2"/>
          </a:solidFill>
          <a:latin typeface="Book Antiqua" panose="02040602050305030304" pitchFamily="18" charset="0"/>
        </a:defRPr>
      </a:pPr>
      <a:endParaRPr lang="es-C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1"/>
              <c:layout>
                <c:manualLayout>
                  <c:x val="-4.3885389700894767E-17"/>
                  <c:y val="9.535157326341886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1F4-4290-B7B9-947C4BD25147}"/>
                </c:ext>
              </c:extLst>
            </c:dLbl>
            <c:dLbl>
              <c:idx val="3"/>
              <c:layout>
                <c:manualLayout>
                  <c:x val="-2.3937761819269898E-3"/>
                  <c:y val="6.356771550894590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1F4-4290-B7B9-947C4BD25147}"/>
                </c:ext>
              </c:extLst>
            </c:dLbl>
            <c:dLbl>
              <c:idx val="4"/>
              <c:layout>
                <c:manualLayout>
                  <c:x val="2.393776181926946E-3"/>
                  <c:y val="6.356771550894590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1F4-4290-B7B9-947C4BD25147}"/>
                </c:ext>
              </c:extLst>
            </c:dLbl>
            <c:dLbl>
              <c:idx val="6"/>
              <c:layout>
                <c:manualLayout>
                  <c:x val="0"/>
                  <c:y val="9.535157326341827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1F4-4290-B7B9-947C4BD25147}"/>
                </c:ext>
              </c:extLst>
            </c:dLbl>
            <c:dLbl>
              <c:idx val="9"/>
              <c:layout>
                <c:manualLayout>
                  <c:x val="7.1813285457809697E-3"/>
                  <c:y val="-2.91348663731376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1F4-4290-B7B9-947C4BD25147}"/>
                </c:ext>
              </c:extLst>
            </c:dLbl>
            <c:dLbl>
              <c:idx val="11"/>
              <c:layout>
                <c:manualLayout>
                  <c:x val="-4.7875523638539795E-3"/>
                  <c:y val="2.117505672918104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1F4-4290-B7B9-947C4BD25147}"/>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10'!$B$3:$B$14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10'!$D$3:$D$14</c:f>
              <c:numCache>
                <c:formatCode>0</c:formatCode>
                <c:ptCount val="12"/>
                <c:pt idx="0">
                  <c:v>44</c:v>
                </c:pt>
                <c:pt idx="1">
                  <c:v>65</c:v>
                </c:pt>
                <c:pt idx="2">
                  <c:v>103</c:v>
                </c:pt>
                <c:pt idx="3">
                  <c:v>45</c:v>
                </c:pt>
                <c:pt idx="4">
                  <c:v>43</c:v>
                </c:pt>
                <c:pt idx="5">
                  <c:v>92</c:v>
                </c:pt>
                <c:pt idx="6">
                  <c:v>598</c:v>
                </c:pt>
                <c:pt idx="7">
                  <c:v>76</c:v>
                </c:pt>
                <c:pt idx="8">
                  <c:v>70</c:v>
                </c:pt>
                <c:pt idx="9">
                  <c:v>44.5</c:v>
                </c:pt>
                <c:pt idx="10">
                  <c:v>44</c:v>
                </c:pt>
                <c:pt idx="11">
                  <c:v>47</c:v>
                </c:pt>
              </c:numCache>
            </c:numRef>
          </c:val>
          <c:extLst>
            <c:ext xmlns:c16="http://schemas.microsoft.com/office/drawing/2014/chart" uri="{C3380CC4-5D6E-409C-BE32-E72D297353CC}">
              <c16:uniqueId val="{00000006-01F4-4290-B7B9-947C4BD25147}"/>
            </c:ext>
          </c:extLst>
        </c:ser>
        <c:ser>
          <c:idx val="0"/>
          <c:order val="1"/>
          <c:tx>
            <c:v>2021</c:v>
          </c:tx>
          <c:spPr>
            <a:solidFill>
              <a:srgbClr val="558ED5"/>
            </a:solidFill>
            <a:ln>
              <a:noFill/>
            </a:ln>
            <a:effectLst>
              <a:outerShdw blurRad="50800" dist="38100" dir="2700000" algn="tl" rotWithShape="0">
                <a:prstClr val="black">
                  <a:alpha val="40000"/>
                </a:prstClr>
              </a:outerShdw>
            </a:effectLst>
          </c:spPr>
          <c:invertIfNegative val="0"/>
          <c:dLbls>
            <c:dLbl>
              <c:idx val="0"/>
              <c:layout>
                <c:manualLayout>
                  <c:x val="0"/>
                  <c:y val="-6.356771550894707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1F4-4290-B7B9-947C4BD25147}"/>
                </c:ext>
              </c:extLst>
            </c:dLbl>
            <c:dLbl>
              <c:idx val="2"/>
              <c:layout>
                <c:manualLayout>
                  <c:x val="-4.3885389700894767E-17"/>
                  <c:y val="-9.535157326342002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1F4-4290-B7B9-947C4BD25147}"/>
                </c:ext>
              </c:extLst>
            </c:dLbl>
            <c:dLbl>
              <c:idx val="3"/>
              <c:layout>
                <c:manualLayout>
                  <c:x val="9.5751047277079157E-3"/>
                  <c:y val="-1.1653946549255076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1F4-4290-B7B9-947C4BD25147}"/>
                </c:ext>
              </c:extLst>
            </c:dLbl>
            <c:dLbl>
              <c:idx val="4"/>
              <c:layout>
                <c:manualLayout>
                  <c:x val="-4.7875523638539795E-3"/>
                  <c:y val="-6.356771550894590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1F4-4290-B7B9-947C4BD25147}"/>
                </c:ext>
              </c:extLst>
            </c:dLbl>
            <c:dLbl>
              <c:idx val="5"/>
              <c:layout>
                <c:manualLayout>
                  <c:x val="-4.7875523638539795E-3"/>
                  <c:y val="-3.178385775447353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1F4-4290-B7B9-947C4BD25147}"/>
                </c:ext>
              </c:extLst>
            </c:dLbl>
            <c:dLbl>
              <c:idx val="6"/>
              <c:layout>
                <c:manualLayout>
                  <c:x val="-2.3937761819270778E-3"/>
                  <c:y val="-9.535157326341943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1F4-4290-B7B9-947C4BD25147}"/>
                </c:ext>
              </c:extLst>
            </c:dLbl>
            <c:dLbl>
              <c:idx val="7"/>
              <c:layout>
                <c:manualLayout>
                  <c:x val="-4.7875523638539795E-3"/>
                  <c:y val="-6.356771550894590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1F4-4290-B7B9-947C4BD25147}"/>
                </c:ext>
              </c:extLst>
            </c:dLbl>
            <c:dLbl>
              <c:idx val="8"/>
              <c:layout>
                <c:manualLayout>
                  <c:x val="0"/>
                  <c:y val="-6.356771550894590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1F4-4290-B7B9-947C4BD25147}"/>
                </c:ext>
              </c:extLst>
            </c:dLbl>
            <c:dLbl>
              <c:idx val="9"/>
              <c:layout>
                <c:manualLayout>
                  <c:x val="-4.7875523638539795E-3"/>
                  <c:y val="-6.356771550894619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1F4-4290-B7B9-947C4BD25147}"/>
                </c:ext>
              </c:extLst>
            </c:dLbl>
            <c:dLbl>
              <c:idx val="11"/>
              <c:layout>
                <c:manualLayout>
                  <c:x val="0"/>
                  <c:y val="-9.535157326341886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1F4-4290-B7B9-947C4BD25147}"/>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10'!$B$3:$B$14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10'!$C$3:$C$14</c:f>
              <c:numCache>
                <c:formatCode>0</c:formatCode>
                <c:ptCount val="12"/>
                <c:pt idx="0">
                  <c:v>29</c:v>
                </c:pt>
                <c:pt idx="1">
                  <c:v>96</c:v>
                </c:pt>
                <c:pt idx="2">
                  <c:v>111</c:v>
                </c:pt>
                <c:pt idx="3">
                  <c:v>35</c:v>
                </c:pt>
                <c:pt idx="4">
                  <c:v>35</c:v>
                </c:pt>
                <c:pt idx="5">
                  <c:v>70</c:v>
                </c:pt>
                <c:pt idx="6">
                  <c:v>364</c:v>
                </c:pt>
                <c:pt idx="7">
                  <c:v>56</c:v>
                </c:pt>
                <c:pt idx="8">
                  <c:v>48</c:v>
                </c:pt>
                <c:pt idx="9">
                  <c:v>57</c:v>
                </c:pt>
                <c:pt idx="10">
                  <c:v>257</c:v>
                </c:pt>
                <c:pt idx="11">
                  <c:v>35</c:v>
                </c:pt>
              </c:numCache>
            </c:numRef>
          </c:val>
          <c:extLst>
            <c:ext xmlns:c16="http://schemas.microsoft.com/office/drawing/2014/chart" uri="{C3380CC4-5D6E-409C-BE32-E72D297353CC}">
              <c16:uniqueId val="{00000011-01F4-4290-B7B9-947C4BD25147}"/>
            </c:ext>
          </c:extLst>
        </c:ser>
        <c:dLbls>
          <c:dLblPos val="outEnd"/>
          <c:showLegendKey val="0"/>
          <c:showVal val="1"/>
          <c:showCatName val="0"/>
          <c:showSerName val="0"/>
          <c:showPercent val="0"/>
          <c:showBubbleSize val="0"/>
        </c:dLbls>
        <c:gapWidth val="100"/>
        <c:overlap val="-5"/>
        <c:axId val="1086505999"/>
        <c:axId val="1086506415"/>
      </c:barChart>
      <c:catAx>
        <c:axId val="10865059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086506415"/>
        <c:crosses val="autoZero"/>
        <c:auto val="1"/>
        <c:lblAlgn val="ctr"/>
        <c:lblOffset val="100"/>
        <c:noMultiLvlLbl val="0"/>
      </c:catAx>
      <c:valAx>
        <c:axId val="1086506415"/>
        <c:scaling>
          <c:orientation val="minMax"/>
        </c:scaling>
        <c:delete val="1"/>
        <c:axPos val="b"/>
        <c:numFmt formatCode="0" sourceLinked="1"/>
        <c:majorTickMark val="none"/>
        <c:minorTickMark val="none"/>
        <c:tickLblPos val="nextTo"/>
        <c:crossAx val="108650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3"/>
              <c:layout>
                <c:manualLayout>
                  <c:x val="-9.69696969696969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78-4971-82F9-20B26F6022F9}"/>
                </c:ext>
              </c:extLst>
            </c:dLbl>
            <c:dLbl>
              <c:idx val="8"/>
              <c:layout>
                <c:manualLayout>
                  <c:x val="-4.44439310243607E-17"/>
                  <c:y val="7.417708698986392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78-4971-82F9-20B26F6022F9}"/>
                </c:ext>
              </c:extLst>
            </c:dLbl>
            <c:dLbl>
              <c:idx val="11"/>
              <c:layout>
                <c:manualLayout>
                  <c:x val="2.42424242424238E-3"/>
                  <c:y val="7.4177086989864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478-4971-82F9-20B26F6022F9}"/>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11'!$B$3:$B$14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11'!$D$3:$D$14</c:f>
              <c:numCache>
                <c:formatCode>0</c:formatCode>
                <c:ptCount val="12"/>
                <c:pt idx="0">
                  <c:v>72</c:v>
                </c:pt>
                <c:pt idx="1">
                  <c:v>32</c:v>
                </c:pt>
                <c:pt idx="2">
                  <c:v>47</c:v>
                </c:pt>
                <c:pt idx="3">
                  <c:v>32</c:v>
                </c:pt>
                <c:pt idx="4">
                  <c:v>12</c:v>
                </c:pt>
                <c:pt idx="5">
                  <c:v>69</c:v>
                </c:pt>
                <c:pt idx="6">
                  <c:v>72</c:v>
                </c:pt>
                <c:pt idx="7">
                  <c:v>12</c:v>
                </c:pt>
                <c:pt idx="8">
                  <c:v>3</c:v>
                </c:pt>
                <c:pt idx="9">
                  <c:v>26</c:v>
                </c:pt>
                <c:pt idx="10">
                  <c:v>72</c:v>
                </c:pt>
                <c:pt idx="11">
                  <c:v>21</c:v>
                </c:pt>
              </c:numCache>
            </c:numRef>
          </c:val>
          <c:extLst>
            <c:ext xmlns:c16="http://schemas.microsoft.com/office/drawing/2014/chart" uri="{C3380CC4-5D6E-409C-BE32-E72D297353CC}">
              <c16:uniqueId val="{00000003-5478-4971-82F9-20B26F6022F9}"/>
            </c:ext>
          </c:extLst>
        </c:ser>
        <c:ser>
          <c:idx val="0"/>
          <c:order val="1"/>
          <c:tx>
            <c:v>2021</c:v>
          </c:tx>
          <c:spPr>
            <a:solidFill>
              <a:srgbClr val="558ED5"/>
            </a:solidFill>
            <a:ln>
              <a:noFill/>
            </a:ln>
            <a:effectLst>
              <a:outerShdw blurRad="50800" dist="38100" dir="2700000" algn="tl" rotWithShape="0">
                <a:prstClr val="black">
                  <a:alpha val="40000"/>
                </a:prstClr>
              </a:outerShdw>
            </a:effectLst>
          </c:spPr>
          <c:invertIfNegative val="0"/>
          <c:dLbls>
            <c:dLbl>
              <c:idx val="0"/>
              <c:layout>
                <c:manualLayout>
                  <c:x val="-8.8887862048721399E-17"/>
                  <c:y val="-1.11265630484796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478-4971-82F9-20B26F6022F9}"/>
                </c:ext>
              </c:extLst>
            </c:dLbl>
            <c:dLbl>
              <c:idx val="1"/>
              <c:layout>
                <c:manualLayout>
                  <c:x val="0"/>
                  <c:y val="-7.417708698986596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478-4971-82F9-20B26F6022F9}"/>
                </c:ext>
              </c:extLst>
            </c:dLbl>
            <c:dLbl>
              <c:idx val="2"/>
              <c:layout>
                <c:manualLayout>
                  <c:x val="-4.848484848484937E-3"/>
                  <c:y val="-3.708854349493230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478-4971-82F9-20B26F6022F9}"/>
                </c:ext>
              </c:extLst>
            </c:dLbl>
            <c:dLbl>
              <c:idx val="3"/>
              <c:layout>
                <c:manualLayout>
                  <c:x val="0"/>
                  <c:y val="-1.11265630484797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478-4971-82F9-20B26F6022F9}"/>
                </c:ext>
              </c:extLst>
            </c:dLbl>
            <c:dLbl>
              <c:idx val="4"/>
              <c:layout>
                <c:manualLayout>
                  <c:x val="-4.44439310243607E-17"/>
                  <c:y val="-7.4177086989864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478-4971-82F9-20B26F6022F9}"/>
                </c:ext>
              </c:extLst>
            </c:dLbl>
            <c:dLbl>
              <c:idx val="5"/>
              <c:layout>
                <c:manualLayout>
                  <c:x val="0"/>
                  <c:y val="-7.4177086989864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478-4971-82F9-20B26F6022F9}"/>
                </c:ext>
              </c:extLst>
            </c:dLbl>
            <c:dLbl>
              <c:idx val="6"/>
              <c:layout>
                <c:manualLayout>
                  <c:x val="0"/>
                  <c:y val="-1.11265630484797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478-4971-82F9-20B26F6022F9}"/>
                </c:ext>
              </c:extLst>
            </c:dLbl>
            <c:dLbl>
              <c:idx val="7"/>
              <c:layout>
                <c:manualLayout>
                  <c:x val="2.4242424242424242E-3"/>
                  <c:y val="-1.11265630484796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478-4971-82F9-20B26F6022F9}"/>
                </c:ext>
              </c:extLst>
            </c:dLbl>
            <c:dLbl>
              <c:idx val="9"/>
              <c:layout>
                <c:manualLayout>
                  <c:x val="0"/>
                  <c:y val="-7.4177086989864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478-4971-82F9-20B26F6022F9}"/>
                </c:ext>
              </c:extLst>
            </c:dLbl>
            <c:dLbl>
              <c:idx val="10"/>
              <c:layout>
                <c:manualLayout>
                  <c:x val="0"/>
                  <c:y val="-7.4177086989864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478-4971-82F9-20B26F6022F9}"/>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11'!$B$3:$B$14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11'!$C$3:$C$14</c:f>
              <c:numCache>
                <c:formatCode>General</c:formatCode>
                <c:ptCount val="12"/>
                <c:pt idx="0">
                  <c:v>47</c:v>
                </c:pt>
                <c:pt idx="1">
                  <c:v>20</c:v>
                </c:pt>
                <c:pt idx="2">
                  <c:v>31</c:v>
                </c:pt>
                <c:pt idx="3">
                  <c:v>31</c:v>
                </c:pt>
                <c:pt idx="4">
                  <c:v>7</c:v>
                </c:pt>
                <c:pt idx="5">
                  <c:v>33</c:v>
                </c:pt>
                <c:pt idx="6">
                  <c:v>29</c:v>
                </c:pt>
                <c:pt idx="7">
                  <c:v>9</c:v>
                </c:pt>
                <c:pt idx="8">
                  <c:v>8</c:v>
                </c:pt>
                <c:pt idx="9">
                  <c:v>10</c:v>
                </c:pt>
                <c:pt idx="10">
                  <c:v>41</c:v>
                </c:pt>
                <c:pt idx="11">
                  <c:v>34</c:v>
                </c:pt>
              </c:numCache>
            </c:numRef>
          </c:val>
          <c:extLst>
            <c:ext xmlns:c16="http://schemas.microsoft.com/office/drawing/2014/chart" uri="{C3380CC4-5D6E-409C-BE32-E72D297353CC}">
              <c16:uniqueId val="{0000000E-5478-4971-82F9-20B26F6022F9}"/>
            </c:ext>
          </c:extLst>
        </c:ser>
        <c:dLbls>
          <c:dLblPos val="outEnd"/>
          <c:showLegendKey val="0"/>
          <c:showVal val="1"/>
          <c:showCatName val="0"/>
          <c:showSerName val="0"/>
          <c:showPercent val="0"/>
          <c:showBubbleSize val="0"/>
        </c:dLbls>
        <c:gapWidth val="100"/>
        <c:overlap val="-5"/>
        <c:axId val="1086505999"/>
        <c:axId val="1086506415"/>
      </c:barChart>
      <c:catAx>
        <c:axId val="10865059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086506415"/>
        <c:crosses val="autoZero"/>
        <c:auto val="1"/>
        <c:lblAlgn val="ctr"/>
        <c:lblOffset val="100"/>
        <c:noMultiLvlLbl val="0"/>
      </c:catAx>
      <c:valAx>
        <c:axId val="1086506415"/>
        <c:scaling>
          <c:orientation val="minMax"/>
        </c:scaling>
        <c:delete val="1"/>
        <c:axPos val="b"/>
        <c:numFmt formatCode="0" sourceLinked="1"/>
        <c:majorTickMark val="none"/>
        <c:minorTickMark val="none"/>
        <c:tickLblPos val="nextTo"/>
        <c:crossAx val="108650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558ED5"/>
            </a:solidFill>
            <a:ln>
              <a:noFill/>
            </a:ln>
            <a:effectLst/>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12'!$B$3:$B$14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12'!$C$3:$C$14</c:f>
              <c:numCache>
                <c:formatCode>0</c:formatCode>
                <c:ptCount val="12"/>
                <c:pt idx="0">
                  <c:v>75</c:v>
                </c:pt>
                <c:pt idx="1">
                  <c:v>55</c:v>
                </c:pt>
                <c:pt idx="2">
                  <c:v>89</c:v>
                </c:pt>
                <c:pt idx="3">
                  <c:v>29</c:v>
                </c:pt>
                <c:pt idx="4">
                  <c:v>9</c:v>
                </c:pt>
                <c:pt idx="5">
                  <c:v>72</c:v>
                </c:pt>
                <c:pt idx="6">
                  <c:v>68</c:v>
                </c:pt>
                <c:pt idx="7">
                  <c:v>14</c:v>
                </c:pt>
                <c:pt idx="8">
                  <c:v>4</c:v>
                </c:pt>
                <c:pt idx="9">
                  <c:v>37</c:v>
                </c:pt>
                <c:pt idx="10">
                  <c:v>75</c:v>
                </c:pt>
                <c:pt idx="11">
                  <c:v>18</c:v>
                </c:pt>
              </c:numCache>
            </c:numRef>
          </c:val>
          <c:extLst>
            <c:ext xmlns:c16="http://schemas.microsoft.com/office/drawing/2014/chart" uri="{C3380CC4-5D6E-409C-BE32-E72D297353CC}">
              <c16:uniqueId val="{00000000-B319-4ED5-86DC-D2131EFF27A4}"/>
            </c:ext>
          </c:extLst>
        </c:ser>
        <c:dLbls>
          <c:showLegendKey val="0"/>
          <c:showVal val="1"/>
          <c:showCatName val="0"/>
          <c:showSerName val="0"/>
          <c:showPercent val="0"/>
          <c:showBubbleSize val="0"/>
        </c:dLbls>
        <c:gapWidth val="100"/>
        <c:shape val="box"/>
        <c:axId val="1116510303"/>
        <c:axId val="1116522367"/>
        <c:axId val="0"/>
      </c:bar3DChart>
      <c:catAx>
        <c:axId val="111651030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116522367"/>
        <c:crosses val="autoZero"/>
        <c:auto val="1"/>
        <c:lblAlgn val="ctr"/>
        <c:lblOffset val="100"/>
        <c:noMultiLvlLbl val="0"/>
      </c:catAx>
      <c:valAx>
        <c:axId val="1116522367"/>
        <c:scaling>
          <c:orientation val="minMax"/>
        </c:scaling>
        <c:delete val="1"/>
        <c:axPos val="l"/>
        <c:numFmt formatCode="0" sourceLinked="1"/>
        <c:majorTickMark val="none"/>
        <c:minorTickMark val="none"/>
        <c:tickLblPos val="nextTo"/>
        <c:crossAx val="1116510303"/>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0"/>
              <c:layout>
                <c:manualLayout>
                  <c:x val="0"/>
                  <c:y val="8.620687704613954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60-4F14-B1F8-1FABDD89F3AE}"/>
                </c:ext>
              </c:extLst>
            </c:dLbl>
            <c:dLbl>
              <c:idx val="2"/>
              <c:layout>
                <c:manualLayout>
                  <c:x val="-4.2000270883025992E-17"/>
                  <c:y val="5.747125136409267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60-4F14-B1F8-1FABDD89F3AE}"/>
                </c:ext>
              </c:extLst>
            </c:dLbl>
            <c:dLbl>
              <c:idx val="4"/>
              <c:layout>
                <c:manualLayout>
                  <c:x val="0"/>
                  <c:y val="8.62068770461405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060-4F14-B1F8-1FABDD89F3AE}"/>
                </c:ext>
              </c:extLst>
            </c:dLbl>
            <c:dLbl>
              <c:idx val="8"/>
              <c:layout>
                <c:manualLayout>
                  <c:x val="0"/>
                  <c:y val="5.7471251364093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060-4F14-B1F8-1FABDD89F3AE}"/>
                </c:ext>
              </c:extLst>
            </c:dLbl>
            <c:dLbl>
              <c:idx val="10"/>
              <c:layout>
                <c:manualLayout>
                  <c:x val="0"/>
                  <c:y val="5.7471251364093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060-4F14-B1F8-1FABDD89F3AE}"/>
                </c:ext>
              </c:extLst>
            </c:dLbl>
            <c:dLbl>
              <c:idx val="11"/>
              <c:layout>
                <c:manualLayout>
                  <c:x val="0"/>
                  <c:y val="4.633449942653194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060-4F14-B1F8-1FABDD89F3AE}"/>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13'!$B$3:$B$14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13'!$D$3:$D$14</c:f>
              <c:numCache>
                <c:formatCode>0</c:formatCode>
                <c:ptCount val="12"/>
                <c:pt idx="0">
                  <c:v>16.579999999999998</c:v>
                </c:pt>
                <c:pt idx="1">
                  <c:v>160</c:v>
                </c:pt>
                <c:pt idx="2">
                  <c:v>107</c:v>
                </c:pt>
                <c:pt idx="3">
                  <c:v>148</c:v>
                </c:pt>
                <c:pt idx="4">
                  <c:v>756</c:v>
                </c:pt>
                <c:pt idx="5">
                  <c:v>90</c:v>
                </c:pt>
                <c:pt idx="6">
                  <c:v>159</c:v>
                </c:pt>
                <c:pt idx="7">
                  <c:v>148</c:v>
                </c:pt>
                <c:pt idx="8">
                  <c:v>188</c:v>
                </c:pt>
                <c:pt idx="9">
                  <c:v>95</c:v>
                </c:pt>
                <c:pt idx="10">
                  <c:v>16.579999999999998</c:v>
                </c:pt>
                <c:pt idx="11">
                  <c:v>21</c:v>
                </c:pt>
              </c:numCache>
            </c:numRef>
          </c:val>
          <c:extLst>
            <c:ext xmlns:c16="http://schemas.microsoft.com/office/drawing/2014/chart" uri="{C3380CC4-5D6E-409C-BE32-E72D297353CC}">
              <c16:uniqueId val="{00000006-5060-4F14-B1F8-1FABDD89F3AE}"/>
            </c:ext>
          </c:extLst>
        </c:ser>
        <c:ser>
          <c:idx val="1"/>
          <c:order val="1"/>
          <c:tx>
            <c:v>2021</c:v>
          </c:tx>
          <c:spPr>
            <a:solidFill>
              <a:srgbClr val="558ED5"/>
            </a:solidFill>
            <a:ln>
              <a:noFill/>
            </a:ln>
            <a:effectLst>
              <a:outerShdw blurRad="50800" dist="38100" dir="2700000" algn="tl" rotWithShape="0">
                <a:prstClr val="black">
                  <a:alpha val="40000"/>
                </a:prstClr>
              </a:outerShdw>
            </a:effectLst>
          </c:spPr>
          <c:invertIfNegative val="0"/>
          <c:dLbls>
            <c:dLbl>
              <c:idx val="1"/>
              <c:layout>
                <c:manualLayout>
                  <c:x val="-2.2909503312948686E-3"/>
                  <c:y val="-5.7471251364093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060-4F14-B1F8-1FABDD89F3AE}"/>
                </c:ext>
              </c:extLst>
            </c:dLbl>
            <c:dLbl>
              <c:idx val="3"/>
              <c:layout>
                <c:manualLayout>
                  <c:x val="-4.2000270883025992E-17"/>
                  <c:y val="-5.74712513640947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060-4F14-B1F8-1FABDD89F3AE}"/>
                </c:ext>
              </c:extLst>
            </c:dLbl>
            <c:dLbl>
              <c:idx val="4"/>
              <c:layout>
                <c:manualLayout>
                  <c:x val="0"/>
                  <c:y val="-5.7471251364093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060-4F14-B1F8-1FABDD89F3AE}"/>
                </c:ext>
              </c:extLst>
            </c:dLbl>
            <c:dLbl>
              <c:idx val="5"/>
              <c:layout>
                <c:manualLayout>
                  <c:x val="-2.2909503312949107E-3"/>
                  <c:y val="-5.7471251364093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060-4F14-B1F8-1FABDD89F3AE}"/>
                </c:ext>
              </c:extLst>
            </c:dLbl>
            <c:dLbl>
              <c:idx val="6"/>
              <c:layout>
                <c:manualLayout>
                  <c:x val="-2.2909503312949107E-3"/>
                  <c:y val="-8.62068770461405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060-4F14-B1F8-1FABDD89F3AE}"/>
                </c:ext>
              </c:extLst>
            </c:dLbl>
            <c:dLbl>
              <c:idx val="7"/>
              <c:layout>
                <c:manualLayout>
                  <c:x val="0"/>
                  <c:y val="-8.6206877046141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060-4F14-B1F8-1FABDD89F3AE}"/>
                </c:ext>
              </c:extLst>
            </c:dLbl>
            <c:dLbl>
              <c:idx val="8"/>
              <c:layout>
                <c:manualLayout>
                  <c:x val="0"/>
                  <c:y val="-8.62068770461405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060-4F14-B1F8-1FABDD89F3AE}"/>
                </c:ext>
              </c:extLst>
            </c:dLbl>
            <c:dLbl>
              <c:idx val="9"/>
              <c:layout>
                <c:manualLayout>
                  <c:x val="-4.2000270883025992E-17"/>
                  <c:y val="-8.62068770461405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060-4F14-B1F8-1FABDD89F3AE}"/>
                </c:ext>
              </c:extLst>
            </c:dLbl>
            <c:dLbl>
              <c:idx val="10"/>
              <c:layout>
                <c:manualLayout>
                  <c:x val="4.5819006625896948E-3"/>
                  <c:y val="-3.152094499028305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060-4F14-B1F8-1FABDD89F3AE}"/>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13'!$B$3:$B$14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13'!$C$3:$C$14</c:f>
              <c:numCache>
                <c:formatCode>0</c:formatCode>
                <c:ptCount val="12"/>
                <c:pt idx="0">
                  <c:v>15</c:v>
                </c:pt>
                <c:pt idx="1">
                  <c:v>101</c:v>
                </c:pt>
                <c:pt idx="2">
                  <c:v>119</c:v>
                </c:pt>
                <c:pt idx="3">
                  <c:v>163</c:v>
                </c:pt>
                <c:pt idx="4">
                  <c:v>793</c:v>
                </c:pt>
                <c:pt idx="5">
                  <c:v>50</c:v>
                </c:pt>
                <c:pt idx="6">
                  <c:v>83</c:v>
                </c:pt>
                <c:pt idx="7">
                  <c:v>69</c:v>
                </c:pt>
                <c:pt idx="8">
                  <c:v>201</c:v>
                </c:pt>
                <c:pt idx="9">
                  <c:v>59</c:v>
                </c:pt>
                <c:pt idx="10">
                  <c:v>29</c:v>
                </c:pt>
                <c:pt idx="11">
                  <c:v>57</c:v>
                </c:pt>
              </c:numCache>
            </c:numRef>
          </c:val>
          <c:extLst>
            <c:ext xmlns:c16="http://schemas.microsoft.com/office/drawing/2014/chart" uri="{C3380CC4-5D6E-409C-BE32-E72D297353CC}">
              <c16:uniqueId val="{00000010-5060-4F14-B1F8-1FABDD89F3AE}"/>
            </c:ext>
          </c:extLst>
        </c:ser>
        <c:dLbls>
          <c:dLblPos val="outEnd"/>
          <c:showLegendKey val="0"/>
          <c:showVal val="1"/>
          <c:showCatName val="0"/>
          <c:showSerName val="0"/>
          <c:showPercent val="0"/>
          <c:showBubbleSize val="0"/>
        </c:dLbls>
        <c:gapWidth val="100"/>
        <c:overlap val="-5"/>
        <c:axId val="1086505999"/>
        <c:axId val="1086506415"/>
      </c:barChart>
      <c:catAx>
        <c:axId val="10865059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086506415"/>
        <c:crosses val="autoZero"/>
        <c:auto val="1"/>
        <c:lblAlgn val="ctr"/>
        <c:lblOffset val="100"/>
        <c:noMultiLvlLbl val="0"/>
      </c:catAx>
      <c:valAx>
        <c:axId val="1086506415"/>
        <c:scaling>
          <c:orientation val="minMax"/>
        </c:scaling>
        <c:delete val="1"/>
        <c:axPos val="b"/>
        <c:numFmt formatCode="0" sourceLinked="1"/>
        <c:majorTickMark val="none"/>
        <c:minorTickMark val="none"/>
        <c:tickLblPos val="nextTo"/>
        <c:crossAx val="108650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1"/>
              <c:layout>
                <c:manualLayout>
                  <c:x val="0"/>
                  <c:y val="9.153318077803203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654-449C-8F1D-87158C883F41}"/>
                </c:ext>
              </c:extLst>
            </c:dLbl>
            <c:dLbl>
              <c:idx val="4"/>
              <c:layout>
                <c:manualLayout>
                  <c:x val="-1.7063987478812137E-16"/>
                  <c:y val="1.83066361556062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654-449C-8F1D-87158C883F41}"/>
                </c:ext>
              </c:extLst>
            </c:dLbl>
            <c:dLbl>
              <c:idx val="11"/>
              <c:layout>
                <c:manualLayout>
                  <c:x val="-4.44439310243607E-17"/>
                  <c:y val="-7.4177086989864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654-449C-8F1D-87158C883F41}"/>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14'!$B$3:$B$14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14'!$D$3:$D$14</c:f>
              <c:numCache>
                <c:formatCode>0</c:formatCode>
                <c:ptCount val="12"/>
                <c:pt idx="0">
                  <c:v>0.41</c:v>
                </c:pt>
                <c:pt idx="1">
                  <c:v>2</c:v>
                </c:pt>
                <c:pt idx="2">
                  <c:v>2</c:v>
                </c:pt>
                <c:pt idx="3">
                  <c:v>1</c:v>
                </c:pt>
                <c:pt idx="4">
                  <c:v>6</c:v>
                </c:pt>
                <c:pt idx="5">
                  <c:v>6</c:v>
                </c:pt>
                <c:pt idx="6">
                  <c:v>5</c:v>
                </c:pt>
                <c:pt idx="7">
                  <c:v>5</c:v>
                </c:pt>
                <c:pt idx="8">
                  <c:v>2</c:v>
                </c:pt>
                <c:pt idx="9">
                  <c:v>4.83</c:v>
                </c:pt>
                <c:pt idx="10">
                  <c:v>0.41599999999999998</c:v>
                </c:pt>
                <c:pt idx="11">
                  <c:v>0</c:v>
                </c:pt>
              </c:numCache>
            </c:numRef>
          </c:val>
          <c:extLst>
            <c:ext xmlns:c16="http://schemas.microsoft.com/office/drawing/2014/chart" uri="{C3380CC4-5D6E-409C-BE32-E72D297353CC}">
              <c16:uniqueId val="{00000003-3654-449C-8F1D-87158C883F41}"/>
            </c:ext>
          </c:extLst>
        </c:ser>
        <c:ser>
          <c:idx val="0"/>
          <c:order val="1"/>
          <c:tx>
            <c:v>2021</c:v>
          </c:tx>
          <c:spPr>
            <a:solidFill>
              <a:srgbClr val="558ED5"/>
            </a:solidFill>
            <a:ln>
              <a:noFill/>
            </a:ln>
            <a:effectLst>
              <a:outerShdw blurRad="50800" dist="38100" dir="2700000" algn="tl" rotWithShape="0">
                <a:prstClr val="black">
                  <a:alpha val="40000"/>
                </a:prstClr>
              </a:outerShdw>
            </a:effectLst>
          </c:spPr>
          <c:invertIfNegative val="0"/>
          <c:dLbls>
            <c:dLbl>
              <c:idx val="7"/>
              <c:layout>
                <c:manualLayout>
                  <c:x val="-8.5319937394060687E-17"/>
                  <c:y val="-1.83066361556064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654-449C-8F1D-87158C883F41}"/>
                </c:ext>
              </c:extLst>
            </c:dLbl>
            <c:dLbl>
              <c:idx val="8"/>
              <c:layout>
                <c:manualLayout>
                  <c:x val="0"/>
                  <c:y val="-9.153318077803203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654-449C-8F1D-87158C883F41}"/>
                </c:ext>
              </c:extLst>
            </c:dLbl>
            <c:dLbl>
              <c:idx val="11"/>
              <c:layout>
                <c:manualLayout>
                  <c:x val="0"/>
                  <c:y val="-1.22044241037376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654-449C-8F1D-87158C883F41}"/>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14'!$B$3:$B$14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14'!$C$3:$C$14</c:f>
              <c:numCache>
                <c:formatCode>0</c:formatCode>
                <c:ptCount val="12"/>
                <c:pt idx="0">
                  <c:v>1</c:v>
                </c:pt>
                <c:pt idx="1">
                  <c:v>2</c:v>
                </c:pt>
                <c:pt idx="2">
                  <c:v>3</c:v>
                </c:pt>
                <c:pt idx="3">
                  <c:v>3</c:v>
                </c:pt>
                <c:pt idx="4">
                  <c:v>6</c:v>
                </c:pt>
                <c:pt idx="5">
                  <c:v>3</c:v>
                </c:pt>
                <c:pt idx="6">
                  <c:v>2</c:v>
                </c:pt>
                <c:pt idx="7">
                  <c:v>5</c:v>
                </c:pt>
                <c:pt idx="8">
                  <c:v>2</c:v>
                </c:pt>
                <c:pt idx="9">
                  <c:v>3</c:v>
                </c:pt>
                <c:pt idx="10">
                  <c:v>3</c:v>
                </c:pt>
                <c:pt idx="11">
                  <c:v>0</c:v>
                </c:pt>
              </c:numCache>
            </c:numRef>
          </c:val>
          <c:extLst>
            <c:ext xmlns:c16="http://schemas.microsoft.com/office/drawing/2014/chart" uri="{C3380CC4-5D6E-409C-BE32-E72D297353CC}">
              <c16:uniqueId val="{00000007-3654-449C-8F1D-87158C883F41}"/>
            </c:ext>
          </c:extLst>
        </c:ser>
        <c:dLbls>
          <c:dLblPos val="outEnd"/>
          <c:showLegendKey val="0"/>
          <c:showVal val="1"/>
          <c:showCatName val="0"/>
          <c:showSerName val="0"/>
          <c:showPercent val="0"/>
          <c:showBubbleSize val="0"/>
        </c:dLbls>
        <c:gapWidth val="100"/>
        <c:overlap val="-5"/>
        <c:axId val="1086505999"/>
        <c:axId val="1086506415"/>
      </c:barChart>
      <c:catAx>
        <c:axId val="10865059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086506415"/>
        <c:crosses val="autoZero"/>
        <c:auto val="1"/>
        <c:lblAlgn val="ctr"/>
        <c:lblOffset val="100"/>
        <c:noMultiLvlLbl val="0"/>
      </c:catAx>
      <c:valAx>
        <c:axId val="1086506415"/>
        <c:scaling>
          <c:orientation val="minMax"/>
        </c:scaling>
        <c:delete val="1"/>
        <c:axPos val="b"/>
        <c:numFmt formatCode="0" sourceLinked="1"/>
        <c:majorTickMark val="none"/>
        <c:minorTickMark val="none"/>
        <c:tickLblPos val="nextTo"/>
        <c:crossAx val="108650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11"/>
              <c:layout>
                <c:manualLayout>
                  <c:x val="-4.44439310243607E-17"/>
                  <c:y val="-7.4177086989864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F6D-4978-874A-2B44B7C867CE}"/>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15'!$B$3:$B$14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15'!$D$3:$D$14</c:f>
              <c:numCache>
                <c:formatCode>0</c:formatCode>
                <c:ptCount val="12"/>
                <c:pt idx="0">
                  <c:v>198</c:v>
                </c:pt>
                <c:pt idx="1">
                  <c:v>276</c:v>
                </c:pt>
                <c:pt idx="2">
                  <c:v>362</c:v>
                </c:pt>
                <c:pt idx="3">
                  <c:v>170</c:v>
                </c:pt>
                <c:pt idx="4">
                  <c:v>395</c:v>
                </c:pt>
                <c:pt idx="5">
                  <c:v>317</c:v>
                </c:pt>
                <c:pt idx="6">
                  <c:v>565</c:v>
                </c:pt>
                <c:pt idx="7">
                  <c:v>191</c:v>
                </c:pt>
                <c:pt idx="8">
                  <c:v>258</c:v>
                </c:pt>
                <c:pt idx="9">
                  <c:v>323.58</c:v>
                </c:pt>
                <c:pt idx="10">
                  <c:v>198</c:v>
                </c:pt>
                <c:pt idx="11">
                  <c:v>261</c:v>
                </c:pt>
              </c:numCache>
            </c:numRef>
          </c:val>
          <c:extLst>
            <c:ext xmlns:c16="http://schemas.microsoft.com/office/drawing/2014/chart" uri="{C3380CC4-5D6E-409C-BE32-E72D297353CC}">
              <c16:uniqueId val="{00000001-6F6D-4978-874A-2B44B7C867CE}"/>
            </c:ext>
          </c:extLst>
        </c:ser>
        <c:ser>
          <c:idx val="1"/>
          <c:order val="1"/>
          <c:tx>
            <c:v>2021</c:v>
          </c:tx>
          <c:spPr>
            <a:solidFill>
              <a:srgbClr val="558ED5"/>
            </a:solidFill>
            <a:ln>
              <a:noFill/>
            </a:ln>
            <a:effectLst>
              <a:outerShdw blurRad="50800" dist="38100" dir="2700000" algn="tl" rotWithShape="0">
                <a:prstClr val="black">
                  <a:alpha val="40000"/>
                </a:prstClr>
              </a:outerShdw>
            </a:effectLst>
          </c:spPr>
          <c:invertIfNegative val="0"/>
          <c:dLbls>
            <c:dLbl>
              <c:idx val="0"/>
              <c:layout>
                <c:manualLayout>
                  <c:x val="-8.4145136190700127E-17"/>
                  <c:y val="-6.27450980392156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F6D-4978-874A-2B44B7C867CE}"/>
                </c:ext>
              </c:extLst>
            </c:dLbl>
            <c:dLbl>
              <c:idx val="1"/>
              <c:layout>
                <c:manualLayout>
                  <c:x val="-4.2072568095350064E-17"/>
                  <c:y val="-6.27450980392156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F6D-4978-874A-2B44B7C867CE}"/>
                </c:ext>
              </c:extLst>
            </c:dLbl>
            <c:dLbl>
              <c:idx val="2"/>
              <c:layout>
                <c:manualLayout>
                  <c:x val="-4.2072568095350064E-17"/>
                  <c:y val="-6.274509803921683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F6D-4978-874A-2B44B7C867CE}"/>
                </c:ext>
              </c:extLst>
            </c:dLbl>
            <c:dLbl>
              <c:idx val="3"/>
              <c:layout>
                <c:manualLayout>
                  <c:x val="-4.2072568095350064E-17"/>
                  <c:y val="-6.27450980392156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F6D-4978-874A-2B44B7C867CE}"/>
                </c:ext>
              </c:extLst>
            </c:dLbl>
            <c:dLbl>
              <c:idx val="4"/>
              <c:layout>
                <c:manualLayout>
                  <c:x val="2.2948938611588791E-3"/>
                  <c:y val="-9.41176470588235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F6D-4978-874A-2B44B7C867CE}"/>
                </c:ext>
              </c:extLst>
            </c:dLbl>
            <c:dLbl>
              <c:idx val="6"/>
              <c:layout>
                <c:manualLayout>
                  <c:x val="0"/>
                  <c:y val="-6.27450980392156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F6D-4978-874A-2B44B7C867CE}"/>
                </c:ext>
              </c:extLst>
            </c:dLbl>
            <c:dLbl>
              <c:idx val="7"/>
              <c:layout>
                <c:manualLayout>
                  <c:x val="2.2948938611588791E-3"/>
                  <c:y val="-6.27450980392156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F6D-4978-874A-2B44B7C867CE}"/>
                </c:ext>
              </c:extLst>
            </c:dLbl>
            <c:dLbl>
              <c:idx val="8"/>
              <c:layout>
                <c:manualLayout>
                  <c:x val="0"/>
                  <c:y val="-9.41176470588235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F6D-4978-874A-2B44B7C867CE}"/>
                </c:ext>
              </c:extLst>
            </c:dLbl>
            <c:dLbl>
              <c:idx val="9"/>
              <c:layout>
                <c:manualLayout>
                  <c:x val="-4.2072568095350064E-17"/>
                  <c:y val="-1.56862745098039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F6D-4978-874A-2B44B7C867CE}"/>
                </c:ext>
              </c:extLst>
            </c:dLbl>
            <c:dLbl>
              <c:idx val="10"/>
              <c:layout>
                <c:manualLayout>
                  <c:x val="0"/>
                  <c:y val="-6.27450980392156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F6D-4978-874A-2B44B7C867CE}"/>
                </c:ext>
              </c:extLst>
            </c:dLbl>
            <c:dLbl>
              <c:idx val="11"/>
              <c:layout>
                <c:manualLayout>
                  <c:x val="0"/>
                  <c:y val="-9.411764705882367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F6D-4978-874A-2B44B7C867CE}"/>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15'!$B$3:$B$14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15'!$C$3:$C$14</c:f>
              <c:numCache>
                <c:formatCode>0</c:formatCode>
                <c:ptCount val="12"/>
                <c:pt idx="0">
                  <c:v>101</c:v>
                </c:pt>
                <c:pt idx="1">
                  <c:v>98</c:v>
                </c:pt>
                <c:pt idx="2">
                  <c:v>84</c:v>
                </c:pt>
                <c:pt idx="3">
                  <c:v>60</c:v>
                </c:pt>
                <c:pt idx="4">
                  <c:v>75</c:v>
                </c:pt>
                <c:pt idx="5">
                  <c:v>108</c:v>
                </c:pt>
                <c:pt idx="6">
                  <c:v>119</c:v>
                </c:pt>
                <c:pt idx="7">
                  <c:v>69</c:v>
                </c:pt>
                <c:pt idx="8">
                  <c:v>50</c:v>
                </c:pt>
                <c:pt idx="9">
                  <c:v>87</c:v>
                </c:pt>
                <c:pt idx="10">
                  <c:v>154</c:v>
                </c:pt>
                <c:pt idx="11">
                  <c:v>49</c:v>
                </c:pt>
              </c:numCache>
            </c:numRef>
          </c:val>
          <c:extLst>
            <c:ext xmlns:c16="http://schemas.microsoft.com/office/drawing/2014/chart" uri="{C3380CC4-5D6E-409C-BE32-E72D297353CC}">
              <c16:uniqueId val="{0000000D-6F6D-4978-874A-2B44B7C867CE}"/>
            </c:ext>
          </c:extLst>
        </c:ser>
        <c:dLbls>
          <c:dLblPos val="outEnd"/>
          <c:showLegendKey val="0"/>
          <c:showVal val="1"/>
          <c:showCatName val="0"/>
          <c:showSerName val="0"/>
          <c:showPercent val="0"/>
          <c:showBubbleSize val="0"/>
        </c:dLbls>
        <c:gapWidth val="100"/>
        <c:overlap val="-5"/>
        <c:axId val="1086505999"/>
        <c:axId val="1086506415"/>
      </c:barChart>
      <c:catAx>
        <c:axId val="10865059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crossAx val="1086506415"/>
        <c:crosses val="autoZero"/>
        <c:auto val="1"/>
        <c:lblAlgn val="ctr"/>
        <c:lblOffset val="100"/>
        <c:noMultiLvlLbl val="0"/>
      </c:catAx>
      <c:valAx>
        <c:axId val="1086506415"/>
        <c:scaling>
          <c:orientation val="minMax"/>
        </c:scaling>
        <c:delete val="1"/>
        <c:axPos val="b"/>
        <c:numFmt formatCode="0" sourceLinked="1"/>
        <c:majorTickMark val="none"/>
        <c:minorTickMark val="none"/>
        <c:tickLblPos val="nextTo"/>
        <c:crossAx val="1086505999"/>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11"/>
              <c:layout>
                <c:manualLayout>
                  <c:x val="-4.44439310243607E-17"/>
                  <c:y val="-7.4177086989864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500-48DF-AD53-9B4ED6D802CD}"/>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16'!$B$3:$B$14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16'!$D$3:$D$14</c:f>
              <c:numCache>
                <c:formatCode>0</c:formatCode>
                <c:ptCount val="12"/>
                <c:pt idx="0">
                  <c:v>20.25</c:v>
                </c:pt>
                <c:pt idx="1">
                  <c:v>23</c:v>
                </c:pt>
                <c:pt idx="2">
                  <c:v>27</c:v>
                </c:pt>
                <c:pt idx="3">
                  <c:v>17</c:v>
                </c:pt>
                <c:pt idx="4">
                  <c:v>22</c:v>
                </c:pt>
                <c:pt idx="5">
                  <c:v>24</c:v>
                </c:pt>
                <c:pt idx="6">
                  <c:v>24</c:v>
                </c:pt>
                <c:pt idx="7">
                  <c:v>13</c:v>
                </c:pt>
                <c:pt idx="8">
                  <c:v>19</c:v>
                </c:pt>
                <c:pt idx="9">
                  <c:v>21.33</c:v>
                </c:pt>
                <c:pt idx="10">
                  <c:v>20.25</c:v>
                </c:pt>
                <c:pt idx="11">
                  <c:v>20</c:v>
                </c:pt>
              </c:numCache>
            </c:numRef>
          </c:val>
          <c:extLst>
            <c:ext xmlns:c16="http://schemas.microsoft.com/office/drawing/2014/chart" uri="{C3380CC4-5D6E-409C-BE32-E72D297353CC}">
              <c16:uniqueId val="{00000001-2500-48DF-AD53-9B4ED6D802CD}"/>
            </c:ext>
          </c:extLst>
        </c:ser>
        <c:ser>
          <c:idx val="0"/>
          <c:order val="1"/>
          <c:tx>
            <c:v>2021</c:v>
          </c:tx>
          <c:spPr>
            <a:solidFill>
              <a:srgbClr val="558ED5"/>
            </a:solidFill>
            <a:ln>
              <a:noFill/>
            </a:ln>
            <a:effectLst>
              <a:outerShdw blurRad="50800" dist="38100" dir="2700000" algn="tl" rotWithShape="0">
                <a:prstClr val="black">
                  <a:alpha val="40000"/>
                </a:prstClr>
              </a:outerShdw>
            </a:effectLst>
          </c:spPr>
          <c:invertIfNegative val="0"/>
          <c:dLbls>
            <c:dLbl>
              <c:idx val="0"/>
              <c:layout>
                <c:manualLayout>
                  <c:x val="-8.4145136190700127E-17"/>
                  <c:y val="-1.25490196078431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500-48DF-AD53-9B4ED6D802CD}"/>
                </c:ext>
              </c:extLst>
            </c:dLbl>
            <c:dLbl>
              <c:idx val="1"/>
              <c:layout>
                <c:manualLayout>
                  <c:x val="-8.4145136190700127E-17"/>
                  <c:y val="-9.41176470588235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500-48DF-AD53-9B4ED6D802CD}"/>
                </c:ext>
              </c:extLst>
            </c:dLbl>
            <c:dLbl>
              <c:idx val="3"/>
              <c:layout>
                <c:manualLayout>
                  <c:x val="-8.4145136190700127E-17"/>
                  <c:y val="-6.27450980392156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500-48DF-AD53-9B4ED6D802CD}"/>
                </c:ext>
              </c:extLst>
            </c:dLbl>
            <c:dLbl>
              <c:idx val="4"/>
              <c:layout>
                <c:manualLayout>
                  <c:x val="-8.4145136190700127E-17"/>
                  <c:y val="-9.41176470588235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500-48DF-AD53-9B4ED6D802CD}"/>
                </c:ext>
              </c:extLst>
            </c:dLbl>
            <c:dLbl>
              <c:idx val="5"/>
              <c:layout>
                <c:manualLayout>
                  <c:x val="-8.4145136190700127E-17"/>
                  <c:y val="-9.41176470588241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500-48DF-AD53-9B4ED6D802CD}"/>
                </c:ext>
              </c:extLst>
            </c:dLbl>
            <c:dLbl>
              <c:idx val="7"/>
              <c:layout>
                <c:manualLayout>
                  <c:x val="-8.4145136190700127E-17"/>
                  <c:y val="-1.25490196078431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500-48DF-AD53-9B4ED6D802CD}"/>
                </c:ext>
              </c:extLst>
            </c:dLbl>
            <c:dLbl>
              <c:idx val="8"/>
              <c:layout>
                <c:manualLayout>
                  <c:x val="2.2948938611589212E-3"/>
                  <c:y val="-1.5686274509803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500-48DF-AD53-9B4ED6D802CD}"/>
                </c:ext>
              </c:extLst>
            </c:dLbl>
            <c:dLbl>
              <c:idx val="9"/>
              <c:layout>
                <c:manualLayout>
                  <c:x val="-8.4145136190700127E-17"/>
                  <c:y val="-1.25490196078431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500-48DF-AD53-9B4ED6D802CD}"/>
                </c:ext>
              </c:extLst>
            </c:dLbl>
            <c:dLbl>
              <c:idx val="10"/>
              <c:layout>
                <c:manualLayout>
                  <c:x val="-8.4145136190700127E-17"/>
                  <c:y val="-6.27450980392156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500-48DF-AD53-9B4ED6D802CD}"/>
                </c:ext>
              </c:extLst>
            </c:dLbl>
            <c:dLbl>
              <c:idx val="11"/>
              <c:layout>
                <c:manualLayout>
                  <c:x val="0"/>
                  <c:y val="-9.411764705882367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500-48DF-AD53-9B4ED6D802CD}"/>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16'!$B$3:$B$14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16'!$C$3:$C$14</c:f>
              <c:numCache>
                <c:formatCode>0</c:formatCode>
                <c:ptCount val="12"/>
                <c:pt idx="0">
                  <c:v>13</c:v>
                </c:pt>
                <c:pt idx="1">
                  <c:v>12</c:v>
                </c:pt>
                <c:pt idx="2">
                  <c:v>15</c:v>
                </c:pt>
                <c:pt idx="3">
                  <c:v>15</c:v>
                </c:pt>
                <c:pt idx="4">
                  <c:v>12</c:v>
                </c:pt>
                <c:pt idx="5">
                  <c:v>8</c:v>
                </c:pt>
                <c:pt idx="6">
                  <c:v>9</c:v>
                </c:pt>
                <c:pt idx="7">
                  <c:v>12</c:v>
                </c:pt>
                <c:pt idx="8">
                  <c:v>8</c:v>
                </c:pt>
                <c:pt idx="9">
                  <c:v>13</c:v>
                </c:pt>
                <c:pt idx="10">
                  <c:v>13</c:v>
                </c:pt>
                <c:pt idx="11">
                  <c:v>9</c:v>
                </c:pt>
              </c:numCache>
            </c:numRef>
          </c:val>
          <c:extLst>
            <c:ext xmlns:c16="http://schemas.microsoft.com/office/drawing/2014/chart" uri="{C3380CC4-5D6E-409C-BE32-E72D297353CC}">
              <c16:uniqueId val="{0000000C-2500-48DF-AD53-9B4ED6D802CD}"/>
            </c:ext>
          </c:extLst>
        </c:ser>
        <c:dLbls>
          <c:dLblPos val="outEnd"/>
          <c:showLegendKey val="0"/>
          <c:showVal val="1"/>
          <c:showCatName val="0"/>
          <c:showSerName val="0"/>
          <c:showPercent val="0"/>
          <c:showBubbleSize val="0"/>
        </c:dLbls>
        <c:gapWidth val="100"/>
        <c:overlap val="-5"/>
        <c:axId val="1086505999"/>
        <c:axId val="1086506415"/>
      </c:barChart>
      <c:catAx>
        <c:axId val="10865059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086506415"/>
        <c:crosses val="autoZero"/>
        <c:auto val="1"/>
        <c:lblAlgn val="ctr"/>
        <c:lblOffset val="100"/>
        <c:noMultiLvlLbl val="0"/>
      </c:catAx>
      <c:valAx>
        <c:axId val="1086506415"/>
        <c:scaling>
          <c:orientation val="minMax"/>
        </c:scaling>
        <c:delete val="1"/>
        <c:axPos val="b"/>
        <c:numFmt formatCode="0" sourceLinked="1"/>
        <c:majorTickMark val="none"/>
        <c:minorTickMark val="none"/>
        <c:tickLblPos val="nextTo"/>
        <c:crossAx val="1086505999"/>
        <c:crosses val="autoZero"/>
        <c:crossBetween val="between"/>
      </c:valAx>
      <c:spPr>
        <a:noFill/>
        <a:ln w="25400">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Entry>
      <c:legendEntry>
        <c:idx val="1"/>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2"/>
              <c:layout>
                <c:manualLayout>
                  <c:x val="-8.4145136190700127E-17"/>
                  <c:y val="9.41176470588235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5D0-4D17-8C00-813955E5730C}"/>
                </c:ext>
              </c:extLst>
            </c:dLbl>
            <c:dLbl>
              <c:idx val="7"/>
              <c:layout>
                <c:manualLayout>
                  <c:x val="0"/>
                  <c:y val="9.41176470588235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5D0-4D17-8C00-813955E5730C}"/>
                </c:ext>
              </c:extLst>
            </c:dLbl>
            <c:dLbl>
              <c:idx val="11"/>
              <c:layout>
                <c:manualLayout>
                  <c:x val="-4.44439310243607E-17"/>
                  <c:y val="-7.4177086989864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5D0-4D17-8C00-813955E5730C}"/>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17'!$B$3:$B$14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17'!$D$3:$D$14</c:f>
              <c:numCache>
                <c:formatCode>0</c:formatCode>
                <c:ptCount val="12"/>
                <c:pt idx="0">
                  <c:v>216.91</c:v>
                </c:pt>
                <c:pt idx="1">
                  <c:v>372</c:v>
                </c:pt>
                <c:pt idx="2">
                  <c:v>185</c:v>
                </c:pt>
                <c:pt idx="3">
                  <c:v>200</c:v>
                </c:pt>
                <c:pt idx="4">
                  <c:v>382</c:v>
                </c:pt>
                <c:pt idx="5">
                  <c:v>327</c:v>
                </c:pt>
                <c:pt idx="6">
                  <c:v>549</c:v>
                </c:pt>
                <c:pt idx="7">
                  <c:v>189</c:v>
                </c:pt>
                <c:pt idx="8">
                  <c:v>278.83</c:v>
                </c:pt>
                <c:pt idx="9">
                  <c:v>264.58</c:v>
                </c:pt>
                <c:pt idx="10">
                  <c:v>216.91</c:v>
                </c:pt>
                <c:pt idx="11">
                  <c:v>235</c:v>
                </c:pt>
              </c:numCache>
            </c:numRef>
          </c:val>
          <c:extLst>
            <c:ext xmlns:c16="http://schemas.microsoft.com/office/drawing/2014/chart" uri="{C3380CC4-5D6E-409C-BE32-E72D297353CC}">
              <c16:uniqueId val="{00000003-05D0-4D17-8C00-813955E5730C}"/>
            </c:ext>
          </c:extLst>
        </c:ser>
        <c:ser>
          <c:idx val="1"/>
          <c:order val="1"/>
          <c:tx>
            <c:v>2021</c:v>
          </c:tx>
          <c:spPr>
            <a:solidFill>
              <a:srgbClr val="558ED5"/>
            </a:solidFill>
            <a:ln>
              <a:noFill/>
            </a:ln>
            <a:effectLst>
              <a:outerShdw blurRad="50800" dist="38100" dir="2700000" algn="tl" rotWithShape="0">
                <a:prstClr val="black">
                  <a:alpha val="40000"/>
                </a:prstClr>
              </a:outerShdw>
            </a:effectLst>
          </c:spPr>
          <c:invertIfNegative val="0"/>
          <c:dLbls>
            <c:dLbl>
              <c:idx val="2"/>
              <c:layout>
                <c:manualLayout>
                  <c:x val="0"/>
                  <c:y val="-6.274509803921683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5D0-4D17-8C00-813955E5730C}"/>
                </c:ext>
              </c:extLst>
            </c:dLbl>
            <c:dLbl>
              <c:idx val="6"/>
              <c:layout>
                <c:manualLayout>
                  <c:x val="0"/>
                  <c:y val="-9.41176470588235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5D0-4D17-8C00-813955E5730C}"/>
                </c:ext>
              </c:extLst>
            </c:dLbl>
            <c:dLbl>
              <c:idx val="7"/>
              <c:layout>
                <c:manualLayout>
                  <c:x val="0"/>
                  <c:y val="-9.41176470588235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5D0-4D17-8C00-813955E5730C}"/>
                </c:ext>
              </c:extLst>
            </c:dLbl>
            <c:dLbl>
              <c:idx val="11"/>
              <c:layout>
                <c:manualLayout>
                  <c:x val="-4.2072568095350064E-17"/>
                  <c:y val="-6.274509803921583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5D0-4D17-8C00-813955E5730C}"/>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17'!$B$3:$B$14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17'!$C$3:$C$14</c:f>
              <c:numCache>
                <c:formatCode>0</c:formatCode>
                <c:ptCount val="12"/>
                <c:pt idx="0">
                  <c:v>108</c:v>
                </c:pt>
                <c:pt idx="1">
                  <c:v>202</c:v>
                </c:pt>
                <c:pt idx="2">
                  <c:v>189</c:v>
                </c:pt>
                <c:pt idx="3">
                  <c:v>105</c:v>
                </c:pt>
                <c:pt idx="4">
                  <c:v>181</c:v>
                </c:pt>
                <c:pt idx="5">
                  <c:v>163</c:v>
                </c:pt>
                <c:pt idx="6">
                  <c:v>246</c:v>
                </c:pt>
                <c:pt idx="7">
                  <c:v>208</c:v>
                </c:pt>
                <c:pt idx="8">
                  <c:v>110</c:v>
                </c:pt>
                <c:pt idx="9">
                  <c:v>139</c:v>
                </c:pt>
                <c:pt idx="10">
                  <c:v>153</c:v>
                </c:pt>
                <c:pt idx="11">
                  <c:v>83</c:v>
                </c:pt>
              </c:numCache>
            </c:numRef>
          </c:val>
          <c:extLst>
            <c:ext xmlns:c16="http://schemas.microsoft.com/office/drawing/2014/chart" uri="{C3380CC4-5D6E-409C-BE32-E72D297353CC}">
              <c16:uniqueId val="{00000008-05D0-4D17-8C00-813955E5730C}"/>
            </c:ext>
          </c:extLst>
        </c:ser>
        <c:dLbls>
          <c:dLblPos val="outEnd"/>
          <c:showLegendKey val="0"/>
          <c:showVal val="1"/>
          <c:showCatName val="0"/>
          <c:showSerName val="0"/>
          <c:showPercent val="0"/>
          <c:showBubbleSize val="0"/>
        </c:dLbls>
        <c:gapWidth val="100"/>
        <c:overlap val="-5"/>
        <c:axId val="1086505999"/>
        <c:axId val="1086506415"/>
      </c:barChart>
      <c:catAx>
        <c:axId val="10865059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086506415"/>
        <c:crosses val="autoZero"/>
        <c:auto val="1"/>
        <c:lblAlgn val="ctr"/>
        <c:lblOffset val="100"/>
        <c:noMultiLvlLbl val="0"/>
      </c:catAx>
      <c:valAx>
        <c:axId val="1086506415"/>
        <c:scaling>
          <c:orientation val="minMax"/>
        </c:scaling>
        <c:delete val="1"/>
        <c:axPos val="b"/>
        <c:numFmt formatCode="0" sourceLinked="1"/>
        <c:majorTickMark val="none"/>
        <c:minorTickMark val="none"/>
        <c:tickLblPos val="nextTo"/>
        <c:crossAx val="108650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0"/>
              <c:layout>
                <c:manualLayout>
                  <c:x val="2.2948938611589212E-3"/>
                  <c:y val="9.411764705882237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DA-479E-84F4-115D216B234E}"/>
                </c:ext>
              </c:extLst>
            </c:dLbl>
            <c:dLbl>
              <c:idx val="11"/>
              <c:layout>
                <c:manualLayout>
                  <c:x val="-4.44439310243607E-17"/>
                  <c:y val="-7.4177086989864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DA-479E-84F4-115D216B234E}"/>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18'!$B$3:$B$14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18'!$D$3:$D$14</c:f>
              <c:numCache>
                <c:formatCode>0</c:formatCode>
                <c:ptCount val="12"/>
                <c:pt idx="0">
                  <c:v>4.33</c:v>
                </c:pt>
                <c:pt idx="1">
                  <c:v>30</c:v>
                </c:pt>
                <c:pt idx="2">
                  <c:v>13</c:v>
                </c:pt>
                <c:pt idx="3">
                  <c:v>21</c:v>
                </c:pt>
                <c:pt idx="4">
                  <c:v>5</c:v>
                </c:pt>
                <c:pt idx="5">
                  <c:v>15</c:v>
                </c:pt>
                <c:pt idx="6">
                  <c:v>11</c:v>
                </c:pt>
                <c:pt idx="7">
                  <c:v>6</c:v>
                </c:pt>
                <c:pt idx="8">
                  <c:v>4</c:v>
                </c:pt>
                <c:pt idx="9">
                  <c:v>8.75</c:v>
                </c:pt>
                <c:pt idx="10">
                  <c:v>4.33</c:v>
                </c:pt>
                <c:pt idx="11">
                  <c:v>21</c:v>
                </c:pt>
              </c:numCache>
            </c:numRef>
          </c:val>
          <c:extLst>
            <c:ext xmlns:c16="http://schemas.microsoft.com/office/drawing/2014/chart" uri="{C3380CC4-5D6E-409C-BE32-E72D297353CC}">
              <c16:uniqueId val="{00000002-50DA-479E-84F4-115D216B234E}"/>
            </c:ext>
          </c:extLst>
        </c:ser>
        <c:ser>
          <c:idx val="0"/>
          <c:order val="1"/>
          <c:tx>
            <c:v>2021</c:v>
          </c:tx>
          <c:spPr>
            <a:solidFill>
              <a:srgbClr val="558ED5"/>
            </a:solidFill>
            <a:ln>
              <a:noFill/>
            </a:ln>
            <a:effectLst>
              <a:outerShdw blurRad="50800" dist="38100" dir="2700000" algn="tl" rotWithShape="0">
                <a:prstClr val="black">
                  <a:alpha val="40000"/>
                </a:prstClr>
              </a:outerShdw>
            </a:effectLst>
          </c:spPr>
          <c:invertIfNegative val="0"/>
          <c:dLbls>
            <c:dLbl>
              <c:idx val="4"/>
              <c:layout>
                <c:manualLayout>
                  <c:x val="-4.2072568095350064E-17"/>
                  <c:y val="-9.41176470588235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0DA-479E-84F4-115D216B234E}"/>
                </c:ext>
              </c:extLst>
            </c:dLbl>
            <c:dLbl>
              <c:idx val="5"/>
              <c:layout>
                <c:manualLayout>
                  <c:x val="-8.4145136190700127E-17"/>
                  <c:y val="-6.274509803921626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0DA-479E-84F4-115D216B234E}"/>
                </c:ext>
              </c:extLst>
            </c:dLbl>
            <c:dLbl>
              <c:idx val="6"/>
              <c:layout>
                <c:manualLayout>
                  <c:x val="0"/>
                  <c:y val="-2.50980392156863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0DA-479E-84F4-115D216B234E}"/>
                </c:ext>
              </c:extLst>
            </c:dLbl>
            <c:dLbl>
              <c:idx val="8"/>
              <c:layout>
                <c:manualLayout>
                  <c:x val="0"/>
                  <c:y val="-1.25490196078431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0DA-479E-84F4-115D216B234E}"/>
                </c:ext>
              </c:extLst>
            </c:dLbl>
            <c:dLbl>
              <c:idx val="9"/>
              <c:layout>
                <c:manualLayout>
                  <c:x val="0"/>
                  <c:y val="-9.41176470588241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0DA-479E-84F4-115D216B234E}"/>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18'!$B$3:$B$14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18'!$C$3:$C$14</c:f>
              <c:numCache>
                <c:formatCode>0</c:formatCode>
                <c:ptCount val="12"/>
                <c:pt idx="0">
                  <c:v>5</c:v>
                </c:pt>
                <c:pt idx="1">
                  <c:v>13</c:v>
                </c:pt>
                <c:pt idx="2">
                  <c:v>7</c:v>
                </c:pt>
                <c:pt idx="3">
                  <c:v>24</c:v>
                </c:pt>
                <c:pt idx="4">
                  <c:v>5</c:v>
                </c:pt>
                <c:pt idx="5">
                  <c:v>15</c:v>
                </c:pt>
                <c:pt idx="6">
                  <c:v>11</c:v>
                </c:pt>
                <c:pt idx="7">
                  <c:v>7</c:v>
                </c:pt>
                <c:pt idx="8">
                  <c:v>3</c:v>
                </c:pt>
                <c:pt idx="9">
                  <c:v>7</c:v>
                </c:pt>
                <c:pt idx="10">
                  <c:v>9</c:v>
                </c:pt>
                <c:pt idx="11">
                  <c:v>1</c:v>
                </c:pt>
              </c:numCache>
            </c:numRef>
          </c:val>
          <c:extLst>
            <c:ext xmlns:c16="http://schemas.microsoft.com/office/drawing/2014/chart" uri="{C3380CC4-5D6E-409C-BE32-E72D297353CC}">
              <c16:uniqueId val="{00000008-50DA-479E-84F4-115D216B234E}"/>
            </c:ext>
          </c:extLst>
        </c:ser>
        <c:dLbls>
          <c:dLblPos val="outEnd"/>
          <c:showLegendKey val="0"/>
          <c:showVal val="1"/>
          <c:showCatName val="0"/>
          <c:showSerName val="0"/>
          <c:showPercent val="0"/>
          <c:showBubbleSize val="0"/>
        </c:dLbls>
        <c:gapWidth val="100"/>
        <c:overlap val="-5"/>
        <c:axId val="1086505999"/>
        <c:axId val="1086506415"/>
      </c:barChart>
      <c:catAx>
        <c:axId val="10865059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086506415"/>
        <c:crosses val="autoZero"/>
        <c:auto val="1"/>
        <c:lblAlgn val="ctr"/>
        <c:lblOffset val="100"/>
        <c:noMultiLvlLbl val="0"/>
      </c:catAx>
      <c:valAx>
        <c:axId val="1086506415"/>
        <c:scaling>
          <c:orientation val="minMax"/>
        </c:scaling>
        <c:delete val="1"/>
        <c:axPos val="b"/>
        <c:numFmt formatCode="0" sourceLinked="1"/>
        <c:majorTickMark val="none"/>
        <c:minorTickMark val="none"/>
        <c:tickLblPos val="nextTo"/>
        <c:crossAx val="1086505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'Gráfico 19'!$B$3</c:f>
              <c:strCache>
                <c:ptCount val="1"/>
                <c:pt idx="0">
                  <c:v>Casos Entrados Total</c:v>
                </c:pt>
              </c:strCache>
            </c:strRef>
          </c:tx>
          <c:spPr>
            <a:solidFill>
              <a:srgbClr val="558ED5"/>
            </a:solidFill>
            <a:ln>
              <a:noFill/>
            </a:ln>
            <a:effectLst/>
          </c:spPr>
          <c:invertIfNegative val="0"/>
          <c:dLbls>
            <c:dLbl>
              <c:idx val="2"/>
              <c:layout>
                <c:manualLayout>
                  <c:x val="2.119766825649178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48F-4CF6-8DD7-57787BA07A66}"/>
                </c:ext>
              </c:extLst>
            </c:dLbl>
            <c:dLbl>
              <c:idx val="5"/>
              <c:layout>
                <c:manualLayout>
                  <c:x val="-1.9129605942167737E-3"/>
                  <c:y val="4.42967884828349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48F-4CF6-8DD7-57787BA07A66}"/>
                </c:ext>
              </c:extLst>
            </c:dLbl>
            <c:dLbl>
              <c:idx val="7"/>
              <c:layout>
                <c:manualLayout>
                  <c:x val="0"/>
                  <c:y val="9.913258983890954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48F-4CF6-8DD7-57787BA07A66}"/>
                </c:ext>
              </c:extLst>
            </c:dLbl>
            <c:dLbl>
              <c:idx val="10"/>
              <c:layout>
                <c:manualLayout>
                  <c:x val="0"/>
                  <c:y val="-9.91325898389099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48F-4CF6-8DD7-57787BA07A66}"/>
                </c:ext>
              </c:extLst>
            </c:dLbl>
            <c:dLbl>
              <c:idx val="11"/>
              <c:layout>
                <c:manualLayout>
                  <c:x val="0"/>
                  <c:y val="1.4869888475836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48F-4CF6-8DD7-57787BA07A66}"/>
                </c:ext>
              </c:extLst>
            </c:dLbl>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19'!$A$4:$A$15</c:f>
              <c:numCache>
                <c:formatCode>mmm\-yy</c:formatCode>
                <c:ptCount val="12"/>
                <c:pt idx="0">
                  <c:v>44562</c:v>
                </c:pt>
                <c:pt idx="1">
                  <c:v>44593</c:v>
                </c:pt>
                <c:pt idx="2">
                  <c:v>44621</c:v>
                </c:pt>
                <c:pt idx="3">
                  <c:v>44652</c:v>
                </c:pt>
                <c:pt idx="4">
                  <c:v>44682</c:v>
                </c:pt>
                <c:pt idx="5">
                  <c:v>44713</c:v>
                </c:pt>
                <c:pt idx="6">
                  <c:v>44743</c:v>
                </c:pt>
                <c:pt idx="7">
                  <c:v>44774</c:v>
                </c:pt>
                <c:pt idx="8">
                  <c:v>44805</c:v>
                </c:pt>
                <c:pt idx="9">
                  <c:v>44835</c:v>
                </c:pt>
                <c:pt idx="10">
                  <c:v>44866</c:v>
                </c:pt>
                <c:pt idx="11">
                  <c:v>44896</c:v>
                </c:pt>
              </c:numCache>
            </c:numRef>
          </c:cat>
          <c:val>
            <c:numRef>
              <c:f>'Gráfico 19'!$B$4:$B$15</c:f>
              <c:numCache>
                <c:formatCode>General</c:formatCode>
                <c:ptCount val="12"/>
                <c:pt idx="0">
                  <c:v>99</c:v>
                </c:pt>
                <c:pt idx="1">
                  <c:v>95</c:v>
                </c:pt>
                <c:pt idx="2">
                  <c:v>128</c:v>
                </c:pt>
                <c:pt idx="3">
                  <c:v>70</c:v>
                </c:pt>
                <c:pt idx="4">
                  <c:v>98</c:v>
                </c:pt>
                <c:pt idx="5">
                  <c:v>105</c:v>
                </c:pt>
                <c:pt idx="6">
                  <c:v>107</c:v>
                </c:pt>
                <c:pt idx="7">
                  <c:v>90</c:v>
                </c:pt>
                <c:pt idx="8">
                  <c:v>75</c:v>
                </c:pt>
                <c:pt idx="9">
                  <c:v>127</c:v>
                </c:pt>
                <c:pt idx="10">
                  <c:v>117</c:v>
                </c:pt>
                <c:pt idx="11">
                  <c:v>76</c:v>
                </c:pt>
              </c:numCache>
            </c:numRef>
          </c:val>
          <c:extLst>
            <c:ext xmlns:c16="http://schemas.microsoft.com/office/drawing/2014/chart" uri="{C3380CC4-5D6E-409C-BE32-E72D297353CC}">
              <c16:uniqueId val="{00000001-E48F-4CF6-8DD7-57787BA07A66}"/>
            </c:ext>
          </c:extLst>
        </c:ser>
        <c:ser>
          <c:idx val="1"/>
          <c:order val="1"/>
          <c:tx>
            <c:strRef>
              <c:f>'Gráfico 19'!$C$3</c:f>
              <c:strCache>
                <c:ptCount val="1"/>
                <c:pt idx="0">
                  <c:v>Casos Terminados Total</c:v>
                </c:pt>
              </c:strCache>
            </c:strRef>
          </c:tx>
          <c:spPr>
            <a:solidFill>
              <a:srgbClr val="FF5050"/>
            </a:solidFill>
            <a:ln>
              <a:noFill/>
            </a:ln>
            <a:effectLst/>
          </c:spPr>
          <c:invertIfNegative val="0"/>
          <c:dLbls>
            <c:dLbl>
              <c:idx val="2"/>
              <c:layout>
                <c:manualLayout>
                  <c:x val="0"/>
                  <c:y val="9.913258983890864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48F-4CF6-8DD7-57787BA07A66}"/>
                </c:ext>
              </c:extLst>
            </c:dLbl>
            <c:dLbl>
              <c:idx val="5"/>
              <c:layout>
                <c:manualLayout>
                  <c:x val="0"/>
                  <c:y val="-2.81591195152651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48F-4CF6-8DD7-57787BA07A66}"/>
                </c:ext>
              </c:extLst>
            </c:dLbl>
            <c:dLbl>
              <c:idx val="6"/>
              <c:layout>
                <c:manualLayout>
                  <c:x val="0"/>
                  <c:y val="1.98265179677819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48F-4CF6-8DD7-57787BA07A66}"/>
                </c:ext>
              </c:extLst>
            </c:dLbl>
            <c:dLbl>
              <c:idx val="7"/>
              <c:layout>
                <c:manualLayout>
                  <c:x val="7.7723885734176105E-17"/>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48F-4CF6-8DD7-57787BA07A66}"/>
                </c:ext>
              </c:extLst>
            </c:dLbl>
            <c:dLbl>
              <c:idx val="10"/>
              <c:layout>
                <c:manualLayout>
                  <c:x val="0"/>
                  <c:y val="9.913258983890954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48F-4CF6-8DD7-57787BA07A66}"/>
                </c:ext>
              </c:extLst>
            </c:dLbl>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19'!$A$4:$A$15</c:f>
              <c:numCache>
                <c:formatCode>mmm\-yy</c:formatCode>
                <c:ptCount val="12"/>
                <c:pt idx="0">
                  <c:v>44562</c:v>
                </c:pt>
                <c:pt idx="1">
                  <c:v>44593</c:v>
                </c:pt>
                <c:pt idx="2">
                  <c:v>44621</c:v>
                </c:pt>
                <c:pt idx="3">
                  <c:v>44652</c:v>
                </c:pt>
                <c:pt idx="4">
                  <c:v>44682</c:v>
                </c:pt>
                <c:pt idx="5">
                  <c:v>44713</c:v>
                </c:pt>
                <c:pt idx="6">
                  <c:v>44743</c:v>
                </c:pt>
                <c:pt idx="7">
                  <c:v>44774</c:v>
                </c:pt>
                <c:pt idx="8">
                  <c:v>44805</c:v>
                </c:pt>
                <c:pt idx="9">
                  <c:v>44835</c:v>
                </c:pt>
                <c:pt idx="10">
                  <c:v>44866</c:v>
                </c:pt>
                <c:pt idx="11">
                  <c:v>44896</c:v>
                </c:pt>
              </c:numCache>
            </c:numRef>
          </c:cat>
          <c:val>
            <c:numRef>
              <c:f>'Gráfico 19'!$C$4:$C$15</c:f>
              <c:numCache>
                <c:formatCode>General</c:formatCode>
                <c:ptCount val="12"/>
                <c:pt idx="0">
                  <c:v>115</c:v>
                </c:pt>
                <c:pt idx="1">
                  <c:v>113</c:v>
                </c:pt>
                <c:pt idx="2">
                  <c:v>115</c:v>
                </c:pt>
                <c:pt idx="3">
                  <c:v>79</c:v>
                </c:pt>
                <c:pt idx="4">
                  <c:v>109</c:v>
                </c:pt>
                <c:pt idx="5">
                  <c:v>106</c:v>
                </c:pt>
                <c:pt idx="6">
                  <c:v>101</c:v>
                </c:pt>
                <c:pt idx="7">
                  <c:v>101</c:v>
                </c:pt>
                <c:pt idx="8">
                  <c:v>99</c:v>
                </c:pt>
                <c:pt idx="9">
                  <c:v>106</c:v>
                </c:pt>
                <c:pt idx="10">
                  <c:v>107</c:v>
                </c:pt>
                <c:pt idx="11">
                  <c:v>71</c:v>
                </c:pt>
              </c:numCache>
            </c:numRef>
          </c:val>
          <c:extLst>
            <c:ext xmlns:c16="http://schemas.microsoft.com/office/drawing/2014/chart" uri="{C3380CC4-5D6E-409C-BE32-E72D297353CC}">
              <c16:uniqueId val="{00000003-E48F-4CF6-8DD7-57787BA07A66}"/>
            </c:ext>
          </c:extLst>
        </c:ser>
        <c:ser>
          <c:idx val="2"/>
          <c:order val="2"/>
          <c:tx>
            <c:strRef>
              <c:f>'Gráfico 19'!$D$3</c:f>
              <c:strCache>
                <c:ptCount val="1"/>
                <c:pt idx="0">
                  <c:v>Circulante Final</c:v>
                </c:pt>
              </c:strCache>
            </c:strRef>
          </c:tx>
          <c:spPr>
            <a:solidFill>
              <a:srgbClr val="99FF66"/>
            </a:solidFill>
            <a:ln w="12700">
              <a:noFill/>
            </a:ln>
            <a:effectLst>
              <a:outerShdw blurRad="50800" dist="38100" dir="5400000" algn="t" rotWithShape="0">
                <a:prstClr val="black">
                  <a:alpha val="40000"/>
                </a:prstClr>
              </a:outerShdw>
            </a:effectLst>
          </c:spPr>
          <c:invertIfNegative val="0"/>
          <c:dLbls>
            <c:dLbl>
              <c:idx val="8"/>
              <c:layout>
                <c:manualLayout>
                  <c:x val="-3.8259211884335473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48F-4CF6-8DD7-57787BA07A66}"/>
                </c:ext>
              </c:extLst>
            </c:dLbl>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19'!$A$4:$A$15</c:f>
              <c:numCache>
                <c:formatCode>mmm\-yy</c:formatCode>
                <c:ptCount val="12"/>
                <c:pt idx="0">
                  <c:v>44562</c:v>
                </c:pt>
                <c:pt idx="1">
                  <c:v>44593</c:v>
                </c:pt>
                <c:pt idx="2">
                  <c:v>44621</c:v>
                </c:pt>
                <c:pt idx="3">
                  <c:v>44652</c:v>
                </c:pt>
                <c:pt idx="4">
                  <c:v>44682</c:v>
                </c:pt>
                <c:pt idx="5">
                  <c:v>44713</c:v>
                </c:pt>
                <c:pt idx="6">
                  <c:v>44743</c:v>
                </c:pt>
                <c:pt idx="7">
                  <c:v>44774</c:v>
                </c:pt>
                <c:pt idx="8">
                  <c:v>44805</c:v>
                </c:pt>
                <c:pt idx="9">
                  <c:v>44835</c:v>
                </c:pt>
                <c:pt idx="10">
                  <c:v>44866</c:v>
                </c:pt>
                <c:pt idx="11">
                  <c:v>44896</c:v>
                </c:pt>
              </c:numCache>
            </c:numRef>
          </c:cat>
          <c:val>
            <c:numRef>
              <c:f>'Gráfico 19'!$D$4:$D$15</c:f>
              <c:numCache>
                <c:formatCode>General</c:formatCode>
                <c:ptCount val="12"/>
                <c:pt idx="0">
                  <c:v>193</c:v>
                </c:pt>
                <c:pt idx="1">
                  <c:v>175</c:v>
                </c:pt>
                <c:pt idx="2">
                  <c:v>188</c:v>
                </c:pt>
                <c:pt idx="3">
                  <c:v>177</c:v>
                </c:pt>
                <c:pt idx="4">
                  <c:v>166</c:v>
                </c:pt>
                <c:pt idx="5">
                  <c:v>165</c:v>
                </c:pt>
                <c:pt idx="6">
                  <c:v>171</c:v>
                </c:pt>
                <c:pt idx="7">
                  <c:v>160</c:v>
                </c:pt>
                <c:pt idx="8">
                  <c:v>136</c:v>
                </c:pt>
                <c:pt idx="9">
                  <c:v>157</c:v>
                </c:pt>
                <c:pt idx="10">
                  <c:v>167</c:v>
                </c:pt>
                <c:pt idx="11">
                  <c:v>171</c:v>
                </c:pt>
              </c:numCache>
            </c:numRef>
          </c:val>
          <c:extLst>
            <c:ext xmlns:c16="http://schemas.microsoft.com/office/drawing/2014/chart" uri="{C3380CC4-5D6E-409C-BE32-E72D297353CC}">
              <c16:uniqueId val="{00000005-E48F-4CF6-8DD7-57787BA07A66}"/>
            </c:ext>
          </c:extLst>
        </c:ser>
        <c:dLbls>
          <c:dLblPos val="outEnd"/>
          <c:showLegendKey val="0"/>
          <c:showVal val="1"/>
          <c:showCatName val="0"/>
          <c:showSerName val="0"/>
          <c:showPercent val="0"/>
          <c:showBubbleSize val="0"/>
        </c:dLbls>
        <c:gapWidth val="30"/>
        <c:overlap val="-27"/>
        <c:axId val="1761150960"/>
        <c:axId val="1761149296"/>
      </c:barChart>
      <c:dateAx>
        <c:axId val="17611509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761149296"/>
        <c:crosses val="autoZero"/>
        <c:auto val="1"/>
        <c:lblOffset val="100"/>
        <c:baseTimeUnit val="months"/>
      </c:dateAx>
      <c:valAx>
        <c:axId val="1761149296"/>
        <c:scaling>
          <c:orientation val="minMax"/>
        </c:scaling>
        <c:delete val="1"/>
        <c:axPos val="l"/>
        <c:numFmt formatCode="General" sourceLinked="1"/>
        <c:majorTickMark val="none"/>
        <c:minorTickMark val="none"/>
        <c:tickLblPos val="nextTo"/>
        <c:crossAx val="1761150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3"/>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0"/>
              <c:layout>
                <c:manualLayout>
                  <c:x val="0"/>
                  <c:y val="6.371960963460683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AB6-4598-959E-4BE0E8E36081}"/>
                </c:ext>
              </c:extLst>
            </c:dLbl>
            <c:dLbl>
              <c:idx val="1"/>
              <c:layout>
                <c:manualLayout>
                  <c:x val="0"/>
                  <c:y val="9.55794144519084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AB6-4598-959E-4BE0E8E36081}"/>
                </c:ext>
              </c:extLst>
            </c:dLbl>
            <c:dLbl>
              <c:idx val="2"/>
              <c:layout>
                <c:manualLayout>
                  <c:x val="0"/>
                  <c:y val="9.55794144519084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AB6-4598-959E-4BE0E8E36081}"/>
                </c:ext>
              </c:extLst>
            </c:dLbl>
            <c:dLbl>
              <c:idx val="3"/>
              <c:layout>
                <c:manualLayout>
                  <c:x val="-7.362698252549675E-17"/>
                  <c:y val="6.371960963460449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AB6-4598-959E-4BE0E8E36081}"/>
                </c:ext>
              </c:extLst>
            </c:dLbl>
            <c:dLbl>
              <c:idx val="4"/>
              <c:layout>
                <c:manualLayout>
                  <c:x val="0"/>
                  <c:y val="6.371960963460566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AB6-4598-959E-4BE0E8E36081}"/>
                </c:ext>
              </c:extLst>
            </c:dLbl>
            <c:dLbl>
              <c:idx val="7"/>
              <c:layout>
                <c:manualLayout>
                  <c:x val="-2.0080318110185925E-3"/>
                  <c:y val="9.55794144519079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AB6-4598-959E-4BE0E8E36081}"/>
                </c:ext>
              </c:extLst>
            </c:dLbl>
            <c:dLbl>
              <c:idx val="8"/>
              <c:layout>
                <c:manualLayout>
                  <c:x val="6.0240954330557771E-3"/>
                  <c:y val="6.371960963460566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AB6-4598-959E-4BE0E8E36081}"/>
                </c:ext>
              </c:extLst>
            </c:dLbl>
            <c:dLbl>
              <c:idx val="9"/>
              <c:layout>
                <c:manualLayout>
                  <c:x val="-6.0240954330557771E-3"/>
                  <c:y val="6.371960963460566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AB6-4598-959E-4BE0E8E36081}"/>
                </c:ext>
              </c:extLst>
            </c:dLbl>
            <c:dLbl>
              <c:idx val="11"/>
              <c:layout>
                <c:manualLayout>
                  <c:x val="-7.362698252549675E-17"/>
                  <c:y val="6.371960963460566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AB6-4598-959E-4BE0E8E3608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2'!$B$3:$B$14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2'!$F$3:$F$14</c:f>
              <c:numCache>
                <c:formatCode>0</c:formatCode>
                <c:ptCount val="12"/>
                <c:pt idx="0">
                  <c:v>19.333333333333332</c:v>
                </c:pt>
                <c:pt idx="1">
                  <c:v>16.666666666666668</c:v>
                </c:pt>
                <c:pt idx="2">
                  <c:v>28.666666666666668</c:v>
                </c:pt>
                <c:pt idx="3">
                  <c:v>20.666666666666668</c:v>
                </c:pt>
                <c:pt idx="4">
                  <c:v>31.333333333333332</c:v>
                </c:pt>
                <c:pt idx="5">
                  <c:v>28.416666666666668</c:v>
                </c:pt>
                <c:pt idx="6">
                  <c:v>32.916666666666664</c:v>
                </c:pt>
                <c:pt idx="7">
                  <c:v>12.833333333333334</c:v>
                </c:pt>
                <c:pt idx="8">
                  <c:v>19.416666666666668</c:v>
                </c:pt>
                <c:pt idx="9">
                  <c:v>21.333333333333332</c:v>
                </c:pt>
                <c:pt idx="10">
                  <c:v>35.666666666666664</c:v>
                </c:pt>
                <c:pt idx="11">
                  <c:v>19.666666666666668</c:v>
                </c:pt>
              </c:numCache>
            </c:numRef>
          </c:val>
          <c:extLst>
            <c:ext xmlns:c16="http://schemas.microsoft.com/office/drawing/2014/chart" uri="{C3380CC4-5D6E-409C-BE32-E72D297353CC}">
              <c16:uniqueId val="{00000009-EAB6-4598-959E-4BE0E8E36081}"/>
            </c:ext>
          </c:extLst>
        </c:ser>
        <c:ser>
          <c:idx val="0"/>
          <c:order val="1"/>
          <c:spPr>
            <a:solidFill>
              <a:schemeClr val="accent1"/>
            </a:solidFill>
            <a:ln>
              <a:noFill/>
            </a:ln>
            <a:effectLst/>
          </c:spPr>
          <c:invertIfNegative val="0"/>
          <c:cat>
            <c:strRef>
              <c:f>'Gráfico 2'!$B$3:$B$14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2'!$C$3:$C$14</c:f>
            </c:numRef>
          </c:val>
          <c:extLst>
            <c:ext xmlns:c16="http://schemas.microsoft.com/office/drawing/2014/chart" uri="{C3380CC4-5D6E-409C-BE32-E72D297353CC}">
              <c16:uniqueId val="{0000000A-EAB6-4598-959E-4BE0E8E36081}"/>
            </c:ext>
          </c:extLst>
        </c:ser>
        <c:ser>
          <c:idx val="1"/>
          <c:order val="2"/>
          <c:spPr>
            <a:solidFill>
              <a:schemeClr val="accent2"/>
            </a:solidFill>
            <a:ln>
              <a:noFill/>
            </a:ln>
            <a:effectLst/>
          </c:spPr>
          <c:invertIfNegative val="0"/>
          <c:cat>
            <c:strRef>
              <c:f>'Gráfico 2'!$B$3:$B$14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2'!$D$3:$D$14</c:f>
            </c:numRef>
          </c:val>
          <c:extLst>
            <c:ext xmlns:c16="http://schemas.microsoft.com/office/drawing/2014/chart" uri="{C3380CC4-5D6E-409C-BE32-E72D297353CC}">
              <c16:uniqueId val="{0000000B-EAB6-4598-959E-4BE0E8E36081}"/>
            </c:ext>
          </c:extLst>
        </c:ser>
        <c:ser>
          <c:idx val="2"/>
          <c:order val="3"/>
          <c:tx>
            <c:v>2021</c:v>
          </c:tx>
          <c:spPr>
            <a:solidFill>
              <a:srgbClr val="558ED5"/>
            </a:solidFill>
            <a:ln>
              <a:noFill/>
            </a:ln>
            <a:effectLst>
              <a:outerShdw blurRad="50800" dist="38100" dir="2700000" algn="tl" rotWithShape="0">
                <a:prstClr val="black">
                  <a:alpha val="40000"/>
                </a:prstClr>
              </a:outerShdw>
            </a:effectLst>
          </c:spPr>
          <c:invertIfNegative val="0"/>
          <c:dLbls>
            <c:dLbl>
              <c:idx val="1"/>
              <c:layout>
                <c:manualLayout>
                  <c:x val="-2.0080318110185925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AB6-4598-959E-4BE0E8E36081}"/>
                </c:ext>
              </c:extLst>
            </c:dLbl>
            <c:dLbl>
              <c:idx val="5"/>
              <c:layout>
                <c:manualLayout>
                  <c:x val="0"/>
                  <c:y val="-1.27439219269211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AB6-4598-959E-4BE0E8E36081}"/>
                </c:ext>
              </c:extLst>
            </c:dLbl>
            <c:dLbl>
              <c:idx val="6"/>
              <c:layout>
                <c:manualLayout>
                  <c:x val="0"/>
                  <c:y val="-3.18598048173034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AB6-4598-959E-4BE0E8E36081}"/>
                </c:ext>
              </c:extLst>
            </c:dLbl>
            <c:dLbl>
              <c:idx val="7"/>
              <c:layout>
                <c:manualLayout>
                  <c:x val="-4.0160636220372215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AB6-4598-959E-4BE0E8E36081}"/>
                </c:ext>
              </c:extLst>
            </c:dLbl>
            <c:dLbl>
              <c:idx val="10"/>
              <c:layout>
                <c:manualLayout>
                  <c:x val="-7.362698252549675E-17"/>
                  <c:y val="-3.185980481730283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AB6-4598-959E-4BE0E8E3608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2'!$B$3:$B$14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2'!$E$3:$E$14</c:f>
              <c:numCache>
                <c:formatCode>0</c:formatCode>
                <c:ptCount val="12"/>
                <c:pt idx="0">
                  <c:v>28</c:v>
                </c:pt>
                <c:pt idx="1">
                  <c:v>30</c:v>
                </c:pt>
                <c:pt idx="2">
                  <c:v>39</c:v>
                </c:pt>
                <c:pt idx="3">
                  <c:v>24</c:v>
                </c:pt>
                <c:pt idx="4">
                  <c:v>69</c:v>
                </c:pt>
                <c:pt idx="5">
                  <c:v>26</c:v>
                </c:pt>
                <c:pt idx="6">
                  <c:v>23</c:v>
                </c:pt>
                <c:pt idx="7">
                  <c:v>13</c:v>
                </c:pt>
                <c:pt idx="8">
                  <c:v>20</c:v>
                </c:pt>
                <c:pt idx="9">
                  <c:v>33</c:v>
                </c:pt>
                <c:pt idx="10">
                  <c:v>31</c:v>
                </c:pt>
                <c:pt idx="11">
                  <c:v>24</c:v>
                </c:pt>
              </c:numCache>
            </c:numRef>
          </c:val>
          <c:extLst>
            <c:ext xmlns:c16="http://schemas.microsoft.com/office/drawing/2014/chart" uri="{C3380CC4-5D6E-409C-BE32-E72D297353CC}">
              <c16:uniqueId val="{00000011-EAB6-4598-959E-4BE0E8E36081}"/>
            </c:ext>
          </c:extLst>
        </c:ser>
        <c:dLbls>
          <c:showLegendKey val="0"/>
          <c:showVal val="0"/>
          <c:showCatName val="0"/>
          <c:showSerName val="0"/>
          <c:showPercent val="0"/>
          <c:showBubbleSize val="0"/>
        </c:dLbls>
        <c:gapWidth val="100"/>
        <c:axId val="1805137279"/>
        <c:axId val="1805138943"/>
      </c:barChart>
      <c:catAx>
        <c:axId val="18051372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crossAx val="1805138943"/>
        <c:crosses val="autoZero"/>
        <c:auto val="1"/>
        <c:lblAlgn val="ctr"/>
        <c:lblOffset val="100"/>
        <c:noMultiLvlLbl val="0"/>
      </c:catAx>
      <c:valAx>
        <c:axId val="1805138943"/>
        <c:scaling>
          <c:orientation val="minMax"/>
        </c:scaling>
        <c:delete val="1"/>
        <c:axPos val="b"/>
        <c:numFmt formatCode="0" sourceLinked="1"/>
        <c:majorTickMark val="none"/>
        <c:minorTickMark val="none"/>
        <c:tickLblPos val="nextTo"/>
        <c:crossAx val="18051372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'Gráfico 20'!$B$3</c:f>
              <c:strCache>
                <c:ptCount val="1"/>
                <c:pt idx="0">
                  <c:v>Plazo de Espera de Dictado de Sentencia</c:v>
                </c:pt>
              </c:strCache>
            </c:strRef>
          </c:tx>
          <c:spPr>
            <a:solidFill>
              <a:srgbClr val="558ED5"/>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20'!$A$4:$A$15</c:f>
              <c:numCache>
                <c:formatCode>mmm\-yy</c:formatCode>
                <c:ptCount val="12"/>
                <c:pt idx="0">
                  <c:v>44562</c:v>
                </c:pt>
                <c:pt idx="1">
                  <c:v>44593</c:v>
                </c:pt>
                <c:pt idx="2">
                  <c:v>44621</c:v>
                </c:pt>
                <c:pt idx="3">
                  <c:v>44652</c:v>
                </c:pt>
                <c:pt idx="4">
                  <c:v>44682</c:v>
                </c:pt>
                <c:pt idx="5">
                  <c:v>44713</c:v>
                </c:pt>
                <c:pt idx="6">
                  <c:v>44743</c:v>
                </c:pt>
                <c:pt idx="7">
                  <c:v>44774</c:v>
                </c:pt>
                <c:pt idx="8">
                  <c:v>44805</c:v>
                </c:pt>
                <c:pt idx="9">
                  <c:v>44835</c:v>
                </c:pt>
                <c:pt idx="10">
                  <c:v>44866</c:v>
                </c:pt>
                <c:pt idx="11">
                  <c:v>44896</c:v>
                </c:pt>
              </c:numCache>
            </c:numRef>
          </c:cat>
          <c:val>
            <c:numRef>
              <c:f>'Gráfico 20'!$B$4:$B$15</c:f>
              <c:numCache>
                <c:formatCode>General</c:formatCode>
                <c:ptCount val="12"/>
                <c:pt idx="0">
                  <c:v>279</c:v>
                </c:pt>
                <c:pt idx="1">
                  <c:v>307</c:v>
                </c:pt>
                <c:pt idx="2">
                  <c:v>316</c:v>
                </c:pt>
                <c:pt idx="3">
                  <c:v>298</c:v>
                </c:pt>
                <c:pt idx="4">
                  <c:v>327</c:v>
                </c:pt>
                <c:pt idx="5">
                  <c:v>348</c:v>
                </c:pt>
                <c:pt idx="6">
                  <c:v>355</c:v>
                </c:pt>
                <c:pt idx="7">
                  <c:v>390</c:v>
                </c:pt>
                <c:pt idx="8">
                  <c:v>418</c:v>
                </c:pt>
                <c:pt idx="9">
                  <c:v>434</c:v>
                </c:pt>
                <c:pt idx="10">
                  <c:v>463</c:v>
                </c:pt>
                <c:pt idx="11">
                  <c:v>364</c:v>
                </c:pt>
              </c:numCache>
            </c:numRef>
          </c:val>
          <c:extLst>
            <c:ext xmlns:c16="http://schemas.microsoft.com/office/drawing/2014/chart" uri="{C3380CC4-5D6E-409C-BE32-E72D297353CC}">
              <c16:uniqueId val="{00000000-B687-4632-BF69-E499CDA3FEDA}"/>
            </c:ext>
          </c:extLst>
        </c:ser>
        <c:ser>
          <c:idx val="1"/>
          <c:order val="1"/>
          <c:tx>
            <c:strRef>
              <c:f>'Gráfico 20'!$C$3</c:f>
              <c:strCache>
                <c:ptCount val="1"/>
                <c:pt idx="0">
                  <c:v>Plazo para Resolver Escritos</c:v>
                </c:pt>
              </c:strCache>
            </c:strRef>
          </c:tx>
          <c:spPr>
            <a:solidFill>
              <a:srgbClr val="FF8588"/>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20'!$A$4:$A$15</c:f>
              <c:numCache>
                <c:formatCode>mmm\-yy</c:formatCode>
                <c:ptCount val="12"/>
                <c:pt idx="0">
                  <c:v>44562</c:v>
                </c:pt>
                <c:pt idx="1">
                  <c:v>44593</c:v>
                </c:pt>
                <c:pt idx="2">
                  <c:v>44621</c:v>
                </c:pt>
                <c:pt idx="3">
                  <c:v>44652</c:v>
                </c:pt>
                <c:pt idx="4">
                  <c:v>44682</c:v>
                </c:pt>
                <c:pt idx="5">
                  <c:v>44713</c:v>
                </c:pt>
                <c:pt idx="6">
                  <c:v>44743</c:v>
                </c:pt>
                <c:pt idx="7">
                  <c:v>44774</c:v>
                </c:pt>
                <c:pt idx="8">
                  <c:v>44805</c:v>
                </c:pt>
                <c:pt idx="9">
                  <c:v>44835</c:v>
                </c:pt>
                <c:pt idx="10">
                  <c:v>44866</c:v>
                </c:pt>
                <c:pt idx="11">
                  <c:v>44896</c:v>
                </c:pt>
              </c:numCache>
            </c:numRef>
          </c:cat>
          <c:val>
            <c:numRef>
              <c:f>'Gráfico 20'!$C$4:$C$15</c:f>
              <c:numCache>
                <c:formatCode>General</c:formatCode>
                <c:ptCount val="12"/>
                <c:pt idx="0">
                  <c:v>12</c:v>
                </c:pt>
                <c:pt idx="1">
                  <c:v>12</c:v>
                </c:pt>
                <c:pt idx="2">
                  <c:v>15</c:v>
                </c:pt>
                <c:pt idx="3">
                  <c:v>7</c:v>
                </c:pt>
                <c:pt idx="4">
                  <c:v>11</c:v>
                </c:pt>
                <c:pt idx="5">
                  <c:v>10</c:v>
                </c:pt>
                <c:pt idx="6">
                  <c:v>1</c:v>
                </c:pt>
                <c:pt idx="7">
                  <c:v>5</c:v>
                </c:pt>
                <c:pt idx="8">
                  <c:v>12</c:v>
                </c:pt>
                <c:pt idx="9">
                  <c:v>11</c:v>
                </c:pt>
                <c:pt idx="10">
                  <c:v>10</c:v>
                </c:pt>
                <c:pt idx="11">
                  <c:v>25</c:v>
                </c:pt>
              </c:numCache>
            </c:numRef>
          </c:val>
          <c:extLst>
            <c:ext xmlns:c16="http://schemas.microsoft.com/office/drawing/2014/chart" uri="{C3380CC4-5D6E-409C-BE32-E72D297353CC}">
              <c16:uniqueId val="{00000001-B687-4632-BF69-E499CDA3FEDA}"/>
            </c:ext>
          </c:extLst>
        </c:ser>
        <c:ser>
          <c:idx val="2"/>
          <c:order val="2"/>
          <c:tx>
            <c:strRef>
              <c:f>'Gráfico 20'!$D$3</c:f>
              <c:strCache>
                <c:ptCount val="1"/>
                <c:pt idx="0">
                  <c:v>Plazo de espera de expediente votado más antiguo pendiente de firmar la sentencia (días)</c:v>
                </c:pt>
              </c:strCache>
            </c:strRef>
          </c:tx>
          <c:spPr>
            <a:solidFill>
              <a:srgbClr val="99FF66"/>
            </a:solidFill>
            <a:ln w="12700">
              <a:noFill/>
            </a:ln>
            <a:effectLst>
              <a:outerShdw blurRad="50800" dist="38100" dir="5400000" algn="t" rotWithShape="0">
                <a:prstClr val="black">
                  <a:alpha val="40000"/>
                </a:prstClr>
              </a:outerShdw>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20'!$A$4:$A$15</c:f>
              <c:numCache>
                <c:formatCode>mmm\-yy</c:formatCode>
                <c:ptCount val="12"/>
                <c:pt idx="0">
                  <c:v>44562</c:v>
                </c:pt>
                <c:pt idx="1">
                  <c:v>44593</c:v>
                </c:pt>
                <c:pt idx="2">
                  <c:v>44621</c:v>
                </c:pt>
                <c:pt idx="3">
                  <c:v>44652</c:v>
                </c:pt>
                <c:pt idx="4">
                  <c:v>44682</c:v>
                </c:pt>
                <c:pt idx="5">
                  <c:v>44713</c:v>
                </c:pt>
                <c:pt idx="6">
                  <c:v>44743</c:v>
                </c:pt>
                <c:pt idx="7">
                  <c:v>44774</c:v>
                </c:pt>
                <c:pt idx="8">
                  <c:v>44805</c:v>
                </c:pt>
                <c:pt idx="9">
                  <c:v>44835</c:v>
                </c:pt>
                <c:pt idx="10">
                  <c:v>44866</c:v>
                </c:pt>
                <c:pt idx="11">
                  <c:v>44896</c:v>
                </c:pt>
              </c:numCache>
            </c:numRef>
          </c:cat>
          <c:val>
            <c:numRef>
              <c:f>'Gráfico 20'!$D$4:$D$15</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2-B687-4632-BF69-E499CDA3FEDA}"/>
            </c:ext>
          </c:extLst>
        </c:ser>
        <c:dLbls>
          <c:dLblPos val="outEnd"/>
          <c:showLegendKey val="0"/>
          <c:showVal val="1"/>
          <c:showCatName val="0"/>
          <c:showSerName val="0"/>
          <c:showPercent val="0"/>
          <c:showBubbleSize val="0"/>
        </c:dLbls>
        <c:gapWidth val="30"/>
        <c:overlap val="-27"/>
        <c:axId val="1761150960"/>
        <c:axId val="1761149296"/>
      </c:barChart>
      <c:dateAx>
        <c:axId val="17611509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761149296"/>
        <c:crosses val="autoZero"/>
        <c:auto val="1"/>
        <c:lblOffset val="100"/>
        <c:baseTimeUnit val="months"/>
      </c:dateAx>
      <c:valAx>
        <c:axId val="1761149296"/>
        <c:scaling>
          <c:orientation val="minMax"/>
        </c:scaling>
        <c:delete val="1"/>
        <c:axPos val="l"/>
        <c:numFmt formatCode="General" sourceLinked="1"/>
        <c:majorTickMark val="none"/>
        <c:minorTickMark val="none"/>
        <c:tickLblPos val="nextTo"/>
        <c:crossAx val="17611509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2"/>
              </a:solidFill>
              <a:latin typeface="Book Antiqua" panose="02040602050305030304" pitchFamily="18" charset="0"/>
              <a:ea typeface="+mn-ea"/>
              <a:cs typeface="+mn-cs"/>
            </a:defRPr>
          </a:pPr>
          <a:endParaRPr lang="es-CR"/>
        </a:p>
      </c:txPr>
    </c:title>
    <c:autoTitleDeleted val="0"/>
    <c:plotArea>
      <c:layout/>
      <c:lineChart>
        <c:grouping val="standard"/>
        <c:varyColors val="0"/>
        <c:ser>
          <c:idx val="0"/>
          <c:order val="0"/>
          <c:tx>
            <c:strRef>
              <c:f>'Gráfico 21'!$B$3</c:f>
              <c:strCache>
                <c:ptCount val="1"/>
                <c:pt idx="0">
                  <c:v>Cantidad de Expedientes Pendientes de Fallo</c:v>
                </c:pt>
              </c:strCache>
            </c:strRef>
          </c:tx>
          <c:spPr>
            <a:ln w="34925" cap="rnd">
              <a:solidFill>
                <a:srgbClr val="558ED5"/>
              </a:solidFill>
              <a:round/>
            </a:ln>
            <a:effectLst>
              <a:outerShdw blurRad="50800" dist="38100" dir="5400000" algn="t" rotWithShape="0">
                <a:prstClr val="black">
                  <a:alpha val="40000"/>
                </a:prstClr>
              </a:outerShdw>
            </a:effectLst>
          </c:spPr>
          <c:marker>
            <c:symbol val="none"/>
          </c:marker>
          <c:dLbls>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21'!$A$4:$A$15</c:f>
              <c:numCache>
                <c:formatCode>mmm\-yy</c:formatCode>
                <c:ptCount val="12"/>
                <c:pt idx="0">
                  <c:v>44562</c:v>
                </c:pt>
                <c:pt idx="1">
                  <c:v>44593</c:v>
                </c:pt>
                <c:pt idx="2">
                  <c:v>44621</c:v>
                </c:pt>
                <c:pt idx="3">
                  <c:v>44652</c:v>
                </c:pt>
                <c:pt idx="4">
                  <c:v>44682</c:v>
                </c:pt>
                <c:pt idx="5">
                  <c:v>44713</c:v>
                </c:pt>
                <c:pt idx="6">
                  <c:v>44743</c:v>
                </c:pt>
                <c:pt idx="7">
                  <c:v>44774</c:v>
                </c:pt>
                <c:pt idx="8">
                  <c:v>44805</c:v>
                </c:pt>
                <c:pt idx="9">
                  <c:v>44835</c:v>
                </c:pt>
                <c:pt idx="10">
                  <c:v>44866</c:v>
                </c:pt>
                <c:pt idx="11">
                  <c:v>44896</c:v>
                </c:pt>
              </c:numCache>
            </c:numRef>
          </c:cat>
          <c:val>
            <c:numRef>
              <c:f>'Gráfico 21'!$B$4:$B$15</c:f>
              <c:numCache>
                <c:formatCode>General</c:formatCode>
                <c:ptCount val="12"/>
                <c:pt idx="0">
                  <c:v>164</c:v>
                </c:pt>
                <c:pt idx="1">
                  <c:v>150</c:v>
                </c:pt>
                <c:pt idx="2">
                  <c:v>166</c:v>
                </c:pt>
                <c:pt idx="3">
                  <c:v>188</c:v>
                </c:pt>
                <c:pt idx="4">
                  <c:v>139</c:v>
                </c:pt>
                <c:pt idx="5">
                  <c:v>169</c:v>
                </c:pt>
                <c:pt idx="6">
                  <c:v>138</c:v>
                </c:pt>
                <c:pt idx="7">
                  <c:v>135</c:v>
                </c:pt>
                <c:pt idx="8">
                  <c:v>154</c:v>
                </c:pt>
                <c:pt idx="9">
                  <c:v>106</c:v>
                </c:pt>
                <c:pt idx="10">
                  <c:v>134</c:v>
                </c:pt>
                <c:pt idx="11">
                  <c:v>165</c:v>
                </c:pt>
              </c:numCache>
            </c:numRef>
          </c:val>
          <c:smooth val="0"/>
          <c:extLst>
            <c:ext xmlns:c16="http://schemas.microsoft.com/office/drawing/2014/chart" uri="{C3380CC4-5D6E-409C-BE32-E72D297353CC}">
              <c16:uniqueId val="{00000000-1338-4DD4-81A5-1BAC4A19D24F}"/>
            </c:ext>
          </c:extLst>
        </c:ser>
        <c:dLbls>
          <c:dLblPos val="t"/>
          <c:showLegendKey val="0"/>
          <c:showVal val="1"/>
          <c:showCatName val="0"/>
          <c:showSerName val="0"/>
          <c:showPercent val="0"/>
          <c:showBubbleSize val="0"/>
        </c:dLbls>
        <c:smooth val="0"/>
        <c:axId val="1204177695"/>
        <c:axId val="1204178111"/>
      </c:lineChart>
      <c:dateAx>
        <c:axId val="1204177695"/>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204178111"/>
        <c:crosses val="autoZero"/>
        <c:auto val="1"/>
        <c:lblOffset val="100"/>
        <c:baseTimeUnit val="months"/>
      </c:dateAx>
      <c:valAx>
        <c:axId val="1204178111"/>
        <c:scaling>
          <c:orientation val="minMax"/>
        </c:scaling>
        <c:delete val="1"/>
        <c:axPos val="l"/>
        <c:numFmt formatCode="General" sourceLinked="1"/>
        <c:majorTickMark val="none"/>
        <c:minorTickMark val="none"/>
        <c:tickLblPos val="nextTo"/>
        <c:crossAx val="12041776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22'!$B$3</c:f>
              <c:strCache>
                <c:ptCount val="1"/>
                <c:pt idx="0">
                  <c:v>Cantidad de escritos pendientes de resolver</c:v>
                </c:pt>
              </c:strCache>
            </c:strRef>
          </c:tx>
          <c:spPr>
            <a:ln w="34925" cap="rnd">
              <a:solidFill>
                <a:srgbClr val="558ED5"/>
              </a:solidFill>
              <a:round/>
            </a:ln>
            <a:effectLst>
              <a:outerShdw blurRad="50800" dist="38100" dir="5400000" algn="t" rotWithShape="0">
                <a:prstClr val="black">
                  <a:alpha val="40000"/>
                </a:prstClr>
              </a:outerShdw>
            </a:effectLst>
          </c:spPr>
          <c:marker>
            <c:symbol val="none"/>
          </c:marker>
          <c:dLbls>
            <c:dLbl>
              <c:idx val="3"/>
              <c:layout>
                <c:manualLayout>
                  <c:x val="-2.4293785310734506E-2"/>
                  <c:y val="-5.19329597906843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AF9-4B99-B2CD-407B7E9D4F02}"/>
                </c:ext>
              </c:extLst>
            </c:dLbl>
            <c:dLbl>
              <c:idx val="5"/>
              <c:layout>
                <c:manualLayout>
                  <c:x val="-2.9378531073446328E-2"/>
                  <c:y val="-4.35735031553658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AF9-4B99-B2CD-407B7E9D4F02}"/>
                </c:ext>
              </c:extLst>
            </c:dLbl>
            <c:dLbl>
              <c:idx val="11"/>
              <c:layout>
                <c:manualLayout>
                  <c:x val="-1.5254237288135759E-2"/>
                  <c:y val="-3.52140465200470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AF9-4B99-B2CD-407B7E9D4F02}"/>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22'!$A$4:$A$15</c:f>
              <c:numCache>
                <c:formatCode>mmm\-yy</c:formatCode>
                <c:ptCount val="12"/>
                <c:pt idx="0">
                  <c:v>44562</c:v>
                </c:pt>
                <c:pt idx="1">
                  <c:v>44593</c:v>
                </c:pt>
                <c:pt idx="2">
                  <c:v>44621</c:v>
                </c:pt>
                <c:pt idx="3">
                  <c:v>44652</c:v>
                </c:pt>
                <c:pt idx="4">
                  <c:v>44682</c:v>
                </c:pt>
                <c:pt idx="5">
                  <c:v>44713</c:v>
                </c:pt>
                <c:pt idx="6">
                  <c:v>44743</c:v>
                </c:pt>
                <c:pt idx="7">
                  <c:v>44774</c:v>
                </c:pt>
                <c:pt idx="8">
                  <c:v>44805</c:v>
                </c:pt>
                <c:pt idx="9">
                  <c:v>44835</c:v>
                </c:pt>
                <c:pt idx="10">
                  <c:v>44866</c:v>
                </c:pt>
                <c:pt idx="11">
                  <c:v>44896</c:v>
                </c:pt>
              </c:numCache>
            </c:numRef>
          </c:cat>
          <c:val>
            <c:numRef>
              <c:f>'Gráfico 22'!$B$4:$B$15</c:f>
              <c:numCache>
                <c:formatCode>General</c:formatCode>
                <c:ptCount val="12"/>
                <c:pt idx="0">
                  <c:v>4</c:v>
                </c:pt>
                <c:pt idx="1">
                  <c:v>5</c:v>
                </c:pt>
                <c:pt idx="2">
                  <c:v>4</c:v>
                </c:pt>
                <c:pt idx="3">
                  <c:v>5</c:v>
                </c:pt>
                <c:pt idx="4">
                  <c:v>9</c:v>
                </c:pt>
                <c:pt idx="5">
                  <c:v>10</c:v>
                </c:pt>
                <c:pt idx="6">
                  <c:v>2</c:v>
                </c:pt>
                <c:pt idx="7">
                  <c:v>3</c:v>
                </c:pt>
                <c:pt idx="8">
                  <c:v>5</c:v>
                </c:pt>
                <c:pt idx="9">
                  <c:v>4</c:v>
                </c:pt>
                <c:pt idx="10">
                  <c:v>5</c:v>
                </c:pt>
                <c:pt idx="11">
                  <c:v>6</c:v>
                </c:pt>
              </c:numCache>
            </c:numRef>
          </c:val>
          <c:smooth val="0"/>
          <c:extLst>
            <c:ext xmlns:c16="http://schemas.microsoft.com/office/drawing/2014/chart" uri="{C3380CC4-5D6E-409C-BE32-E72D297353CC}">
              <c16:uniqueId val="{00000003-5AF9-4B99-B2CD-407B7E9D4F02}"/>
            </c:ext>
          </c:extLst>
        </c:ser>
        <c:ser>
          <c:idx val="1"/>
          <c:order val="1"/>
          <c:tx>
            <c:strRef>
              <c:f>'Gráfico 22'!$C$3</c:f>
              <c:strCache>
                <c:ptCount val="1"/>
                <c:pt idx="0">
                  <c:v>Cantidad de Casos Nuevos pendientes de tramitar</c:v>
                </c:pt>
              </c:strCache>
            </c:strRef>
          </c:tx>
          <c:spPr>
            <a:ln w="28575" cap="rnd">
              <a:solidFill>
                <a:srgbClr val="99FF66"/>
              </a:solidFill>
              <a:round/>
            </a:ln>
            <a:effectLst>
              <a:outerShdw blurRad="50800" dist="38100" dir="5400000" algn="t" rotWithShape="0">
                <a:prstClr val="black">
                  <a:alpha val="40000"/>
                </a:prstClr>
              </a:outerShdw>
            </a:effectLst>
          </c:spPr>
          <c:marker>
            <c:symbol val="none"/>
          </c:marker>
          <c:dLbls>
            <c:dLbl>
              <c:idx val="3"/>
              <c:layout>
                <c:manualLayout>
                  <c:x val="-2.4293785310734506E-2"/>
                  <c:y val="-8.11910580142999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AF9-4B99-B2CD-407B7E9D4F02}"/>
                </c:ext>
              </c:extLst>
            </c:dLbl>
            <c:dLbl>
              <c:idx val="8"/>
              <c:layout>
                <c:manualLayout>
                  <c:x val="-3.3898305084745763E-2"/>
                  <c:y val="-5.1932959790684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AF9-4B99-B2CD-407B7E9D4F02}"/>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'Gráfico 22'!$A$4:$A$15</c:f>
              <c:numCache>
                <c:formatCode>mmm\-yy</c:formatCode>
                <c:ptCount val="12"/>
                <c:pt idx="0">
                  <c:v>44562</c:v>
                </c:pt>
                <c:pt idx="1">
                  <c:v>44593</c:v>
                </c:pt>
                <c:pt idx="2">
                  <c:v>44621</c:v>
                </c:pt>
                <c:pt idx="3">
                  <c:v>44652</c:v>
                </c:pt>
                <c:pt idx="4">
                  <c:v>44682</c:v>
                </c:pt>
                <c:pt idx="5">
                  <c:v>44713</c:v>
                </c:pt>
                <c:pt idx="6">
                  <c:v>44743</c:v>
                </c:pt>
                <c:pt idx="7">
                  <c:v>44774</c:v>
                </c:pt>
                <c:pt idx="8">
                  <c:v>44805</c:v>
                </c:pt>
                <c:pt idx="9">
                  <c:v>44835</c:v>
                </c:pt>
                <c:pt idx="10">
                  <c:v>44866</c:v>
                </c:pt>
                <c:pt idx="11">
                  <c:v>44896</c:v>
                </c:pt>
              </c:numCache>
            </c:numRef>
          </c:cat>
          <c:val>
            <c:numRef>
              <c:f>'Gráfico 22'!$C$4:$C$15</c:f>
              <c:numCache>
                <c:formatCode>General</c:formatCode>
                <c:ptCount val="12"/>
                <c:pt idx="0">
                  <c:v>20</c:v>
                </c:pt>
                <c:pt idx="1">
                  <c:v>30</c:v>
                </c:pt>
                <c:pt idx="2">
                  <c:v>25</c:v>
                </c:pt>
                <c:pt idx="3">
                  <c:v>6</c:v>
                </c:pt>
                <c:pt idx="4">
                  <c:v>25</c:v>
                </c:pt>
                <c:pt idx="5">
                  <c:v>18</c:v>
                </c:pt>
                <c:pt idx="6">
                  <c:v>17</c:v>
                </c:pt>
                <c:pt idx="7">
                  <c:v>20</c:v>
                </c:pt>
                <c:pt idx="8">
                  <c:v>17</c:v>
                </c:pt>
                <c:pt idx="9">
                  <c:v>57</c:v>
                </c:pt>
                <c:pt idx="10">
                  <c:v>24</c:v>
                </c:pt>
                <c:pt idx="11">
                  <c:v>12</c:v>
                </c:pt>
              </c:numCache>
            </c:numRef>
          </c:val>
          <c:smooth val="0"/>
          <c:extLst>
            <c:ext xmlns:c16="http://schemas.microsoft.com/office/drawing/2014/chart" uri="{C3380CC4-5D6E-409C-BE32-E72D297353CC}">
              <c16:uniqueId val="{00000006-5AF9-4B99-B2CD-407B7E9D4F02}"/>
            </c:ext>
          </c:extLst>
        </c:ser>
        <c:dLbls>
          <c:dLblPos val="t"/>
          <c:showLegendKey val="0"/>
          <c:showVal val="1"/>
          <c:showCatName val="0"/>
          <c:showSerName val="0"/>
          <c:showPercent val="0"/>
          <c:showBubbleSize val="0"/>
        </c:dLbls>
        <c:smooth val="0"/>
        <c:axId val="1204177695"/>
        <c:axId val="1204178111"/>
      </c:lineChart>
      <c:dateAx>
        <c:axId val="1204177695"/>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204178111"/>
        <c:crosses val="autoZero"/>
        <c:auto val="1"/>
        <c:lblOffset val="100"/>
        <c:baseTimeUnit val="months"/>
      </c:dateAx>
      <c:valAx>
        <c:axId val="1204178111"/>
        <c:scaling>
          <c:orientation val="minMax"/>
        </c:scaling>
        <c:delete val="1"/>
        <c:axPos val="l"/>
        <c:numFmt formatCode="General" sourceLinked="1"/>
        <c:majorTickMark val="none"/>
        <c:minorTickMark val="none"/>
        <c:tickLblPos val="nextTo"/>
        <c:crossAx val="1204177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'Gráfico 23'!$B$3</c:f>
              <c:strCache>
                <c:ptCount val="1"/>
                <c:pt idx="0">
                  <c:v>Cantidad de expedientes pasados a estudio por técnico o técnica a las personas juzgadoras</c:v>
                </c:pt>
              </c:strCache>
            </c:strRef>
          </c:tx>
          <c:spPr>
            <a:solidFill>
              <a:schemeClr val="accent1"/>
            </a:solidFill>
            <a:ln>
              <a:noFill/>
            </a:ln>
            <a:effectLst/>
          </c:spPr>
          <c:invertIfNegative val="0"/>
          <c:dLbls>
            <c:dLbl>
              <c:idx val="0"/>
              <c:layout>
                <c:manualLayout>
                  <c:x val="0"/>
                  <c:y val="-1.4519053494900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002-4204-B902-94257A9448DC}"/>
                </c:ext>
              </c:extLst>
            </c:dLbl>
            <c:dLbl>
              <c:idx val="4"/>
              <c:layout>
                <c:manualLayout>
                  <c:x val="-6.9051305263837248E-17"/>
                  <c:y val="9.679368996600027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002-4204-B902-94257A9448DC}"/>
                </c:ext>
              </c:extLst>
            </c:dLbl>
            <c:dLbl>
              <c:idx val="5"/>
              <c:layout>
                <c:manualLayout>
                  <c:x val="-6.9051305263837248E-17"/>
                  <c:y val="9.67936899659998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002-4204-B902-94257A9448DC}"/>
                </c:ext>
              </c:extLst>
            </c:dLbl>
            <c:dLbl>
              <c:idx val="7"/>
              <c:layout>
                <c:manualLayout>
                  <c:x val="-1.381026105276745E-16"/>
                  <c:y val="9.679368996600027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002-4204-B902-94257A9448DC}"/>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23'!$A$4:$A$15</c:f>
              <c:numCache>
                <c:formatCode>mmm\-yy</c:formatCode>
                <c:ptCount val="12"/>
                <c:pt idx="0">
                  <c:v>44562</c:v>
                </c:pt>
                <c:pt idx="1">
                  <c:v>44593</c:v>
                </c:pt>
                <c:pt idx="2">
                  <c:v>44621</c:v>
                </c:pt>
                <c:pt idx="3">
                  <c:v>44652</c:v>
                </c:pt>
                <c:pt idx="4">
                  <c:v>44682</c:v>
                </c:pt>
                <c:pt idx="5">
                  <c:v>44713</c:v>
                </c:pt>
                <c:pt idx="6">
                  <c:v>44743</c:v>
                </c:pt>
                <c:pt idx="7">
                  <c:v>44774</c:v>
                </c:pt>
                <c:pt idx="8">
                  <c:v>44805</c:v>
                </c:pt>
                <c:pt idx="9">
                  <c:v>44835</c:v>
                </c:pt>
                <c:pt idx="10">
                  <c:v>44866</c:v>
                </c:pt>
                <c:pt idx="11">
                  <c:v>44896</c:v>
                </c:pt>
              </c:numCache>
            </c:numRef>
          </c:cat>
          <c:val>
            <c:numRef>
              <c:f>'Gráfico 23'!$B$4:$B$15</c:f>
              <c:numCache>
                <c:formatCode>General</c:formatCode>
                <c:ptCount val="12"/>
                <c:pt idx="0">
                  <c:v>111</c:v>
                </c:pt>
                <c:pt idx="1">
                  <c:v>84</c:v>
                </c:pt>
                <c:pt idx="2">
                  <c:v>118</c:v>
                </c:pt>
                <c:pt idx="3">
                  <c:v>89</c:v>
                </c:pt>
                <c:pt idx="4">
                  <c:v>98</c:v>
                </c:pt>
                <c:pt idx="5">
                  <c:v>97</c:v>
                </c:pt>
                <c:pt idx="6">
                  <c:v>114</c:v>
                </c:pt>
                <c:pt idx="7">
                  <c:v>92</c:v>
                </c:pt>
                <c:pt idx="8">
                  <c:v>74</c:v>
                </c:pt>
                <c:pt idx="9">
                  <c:v>115</c:v>
                </c:pt>
                <c:pt idx="10">
                  <c:v>113</c:v>
                </c:pt>
                <c:pt idx="11">
                  <c:v>82</c:v>
                </c:pt>
              </c:numCache>
            </c:numRef>
          </c:val>
          <c:extLst>
            <c:ext xmlns:c16="http://schemas.microsoft.com/office/drawing/2014/chart" uri="{C3380CC4-5D6E-409C-BE32-E72D297353CC}">
              <c16:uniqueId val="{00000004-1002-4204-B902-94257A9448DC}"/>
            </c:ext>
          </c:extLst>
        </c:ser>
        <c:ser>
          <c:idx val="1"/>
          <c:order val="1"/>
          <c:tx>
            <c:strRef>
              <c:f>'Gráfico 23'!$C$3</c:f>
              <c:strCache>
                <c:ptCount val="1"/>
                <c:pt idx="0">
                  <c:v>Cantidad de sentencias dictadas por Juez o Jueza</c:v>
                </c:pt>
              </c:strCache>
            </c:strRef>
          </c:tx>
          <c:spPr>
            <a:solidFill>
              <a:srgbClr val="99FF66"/>
            </a:solidFill>
            <a:ln>
              <a:noFill/>
            </a:ln>
            <a:effectLst/>
          </c:spPr>
          <c:invertIfNegative val="0"/>
          <c:dLbls>
            <c:dLbl>
              <c:idx val="0"/>
              <c:layout>
                <c:manualLayout>
                  <c:x val="0"/>
                  <c:y val="9.67936899659998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002-4204-B902-94257A9448DC}"/>
                </c:ext>
              </c:extLst>
            </c:dLbl>
            <c:dLbl>
              <c:idx val="4"/>
              <c:layout>
                <c:manualLayout>
                  <c:x val="0"/>
                  <c:y val="-2.9038106989800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002-4204-B902-94257A9448DC}"/>
                </c:ext>
              </c:extLst>
            </c:dLbl>
            <c:dLbl>
              <c:idx val="5"/>
              <c:layout>
                <c:manualLayout>
                  <c:x val="0"/>
                  <c:y val="-9.679368996600027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002-4204-B902-94257A9448DC}"/>
                </c:ext>
              </c:extLst>
            </c:dLbl>
            <c:dLbl>
              <c:idx val="6"/>
              <c:layout>
                <c:manualLayout>
                  <c:x val="3.766478342749529E-3"/>
                  <c:y val="9.67936899659998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002-4204-B902-94257A9448DC}"/>
                </c:ext>
              </c:extLst>
            </c:dLbl>
            <c:dLbl>
              <c:idx val="9"/>
              <c:layout>
                <c:manualLayout>
                  <c:x val="2.9266529477242577E-3"/>
                  <c:y val="1.4700689078797513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5.5502569221100882E-2"/>
                      <c:h val="6.7392889624488916E-2"/>
                    </c:manualLayout>
                  </c15:layout>
                </c:ext>
                <c:ext xmlns:c16="http://schemas.microsoft.com/office/drawing/2014/chart" uri="{C3380CC4-5D6E-409C-BE32-E72D297353CC}">
                  <c16:uniqueId val="{00000009-1002-4204-B902-94257A9448DC}"/>
                </c:ext>
              </c:extLst>
            </c:dLbl>
            <c:dLbl>
              <c:idx val="10"/>
              <c:layout>
                <c:manualLayout>
                  <c:x val="3.7664783427493911E-3"/>
                  <c:y val="1.45190534948999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002-4204-B902-94257A9448DC}"/>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23'!$A$4:$A$15</c:f>
              <c:numCache>
                <c:formatCode>mmm\-yy</c:formatCode>
                <c:ptCount val="12"/>
                <c:pt idx="0">
                  <c:v>44562</c:v>
                </c:pt>
                <c:pt idx="1">
                  <c:v>44593</c:v>
                </c:pt>
                <c:pt idx="2">
                  <c:v>44621</c:v>
                </c:pt>
                <c:pt idx="3">
                  <c:v>44652</c:v>
                </c:pt>
                <c:pt idx="4">
                  <c:v>44682</c:v>
                </c:pt>
                <c:pt idx="5">
                  <c:v>44713</c:v>
                </c:pt>
                <c:pt idx="6">
                  <c:v>44743</c:v>
                </c:pt>
                <c:pt idx="7">
                  <c:v>44774</c:v>
                </c:pt>
                <c:pt idx="8">
                  <c:v>44805</c:v>
                </c:pt>
                <c:pt idx="9">
                  <c:v>44835</c:v>
                </c:pt>
                <c:pt idx="10">
                  <c:v>44866</c:v>
                </c:pt>
                <c:pt idx="11">
                  <c:v>44896</c:v>
                </c:pt>
              </c:numCache>
            </c:numRef>
          </c:cat>
          <c:val>
            <c:numRef>
              <c:f>'Gráfico 23'!$C$4:$C$15</c:f>
              <c:numCache>
                <c:formatCode>General</c:formatCode>
                <c:ptCount val="12"/>
                <c:pt idx="0">
                  <c:v>97</c:v>
                </c:pt>
                <c:pt idx="1">
                  <c:v>94</c:v>
                </c:pt>
                <c:pt idx="2">
                  <c:v>99</c:v>
                </c:pt>
                <c:pt idx="3">
                  <c:v>78</c:v>
                </c:pt>
                <c:pt idx="4">
                  <c:v>104</c:v>
                </c:pt>
                <c:pt idx="5">
                  <c:v>106</c:v>
                </c:pt>
                <c:pt idx="6">
                  <c:v>101</c:v>
                </c:pt>
                <c:pt idx="7">
                  <c:v>102</c:v>
                </c:pt>
                <c:pt idx="8">
                  <c:v>99</c:v>
                </c:pt>
                <c:pt idx="9">
                  <c:v>105</c:v>
                </c:pt>
                <c:pt idx="10">
                  <c:v>105</c:v>
                </c:pt>
                <c:pt idx="11">
                  <c:v>72</c:v>
                </c:pt>
              </c:numCache>
            </c:numRef>
          </c:val>
          <c:extLst>
            <c:ext xmlns:c16="http://schemas.microsoft.com/office/drawing/2014/chart" uri="{C3380CC4-5D6E-409C-BE32-E72D297353CC}">
              <c16:uniqueId val="{0000000B-1002-4204-B902-94257A9448DC}"/>
            </c:ext>
          </c:extLst>
        </c:ser>
        <c:dLbls>
          <c:dLblPos val="outEnd"/>
          <c:showLegendKey val="0"/>
          <c:showVal val="1"/>
          <c:showCatName val="0"/>
          <c:showSerName val="0"/>
          <c:showPercent val="0"/>
          <c:showBubbleSize val="0"/>
        </c:dLbls>
        <c:gapWidth val="219"/>
        <c:overlap val="-27"/>
        <c:axId val="1229743487"/>
        <c:axId val="1229734751"/>
      </c:barChart>
      <c:dateAx>
        <c:axId val="1229743487"/>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229734751"/>
        <c:crosses val="autoZero"/>
        <c:auto val="1"/>
        <c:lblOffset val="100"/>
        <c:baseTimeUnit val="months"/>
      </c:dateAx>
      <c:valAx>
        <c:axId val="1229734751"/>
        <c:scaling>
          <c:orientation val="minMax"/>
        </c:scaling>
        <c:delete val="1"/>
        <c:axPos val="l"/>
        <c:numFmt formatCode="General" sourceLinked="1"/>
        <c:majorTickMark val="none"/>
        <c:minorTickMark val="none"/>
        <c:tickLblPos val="nextTo"/>
        <c:crossAx val="1229743487"/>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1F497D">
                  <a:lumMod val="60000"/>
                  <a:lumOff val="40000"/>
                </a:srgb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94F8-4484-8C76-EE0B6AE1B561}"/>
              </c:ext>
            </c:extLst>
          </c:dPt>
          <c:dPt>
            <c:idx val="1"/>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94F8-4484-8C76-EE0B6AE1B56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4F8-4484-8C76-EE0B6AE1B56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4F8-4484-8C76-EE0B6AE1B56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4F8-4484-8C76-EE0B6AE1B561}"/>
              </c:ext>
            </c:extLst>
          </c:dPt>
          <c:dLbls>
            <c:dLbl>
              <c:idx val="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Book Antiqua" panose="02040602050305030304" pitchFamily="18" charset="0"/>
                      <a:ea typeface="+mn-ea"/>
                      <a:cs typeface="+mn-cs"/>
                    </a:defRPr>
                  </a:pPr>
                  <a:endParaRPr lang="es-CR"/>
                </a:p>
              </c:txPr>
              <c:dLblPos val="bestFit"/>
              <c:showLegendKey val="0"/>
              <c:showVal val="1"/>
              <c:showCatName val="0"/>
              <c:showSerName val="0"/>
              <c:showPercent val="0"/>
              <c:showBubbleSize val="0"/>
              <c:extLst>
                <c:ext xmlns:c16="http://schemas.microsoft.com/office/drawing/2014/chart" uri="{C3380CC4-5D6E-409C-BE32-E72D297353CC}">
                  <c16:uniqueId val="{00000001-94F8-4484-8C76-EE0B6AE1B561}"/>
                </c:ext>
              </c:extLst>
            </c:dLbl>
            <c:dLbl>
              <c:idx val="1"/>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Book Antiqua" panose="02040602050305030304" pitchFamily="18" charset="0"/>
                      <a:ea typeface="+mn-ea"/>
                      <a:cs typeface="+mn-cs"/>
                    </a:defRPr>
                  </a:pPr>
                  <a:endParaRPr lang="es-CR"/>
                </a:p>
              </c:txPr>
              <c:dLblPos val="bestFit"/>
              <c:showLegendKey val="0"/>
              <c:showVal val="1"/>
              <c:showCatName val="0"/>
              <c:showSerName val="0"/>
              <c:showPercent val="0"/>
              <c:showBubbleSize val="0"/>
              <c:extLst>
                <c:ext xmlns:c16="http://schemas.microsoft.com/office/drawing/2014/chart" uri="{C3380CC4-5D6E-409C-BE32-E72D297353CC}">
                  <c16:uniqueId val="{00000003-94F8-4484-8C76-EE0B6AE1B561}"/>
                </c:ext>
              </c:extLst>
            </c:dLbl>
            <c:dLbl>
              <c:idx val="2"/>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Book Antiqua" panose="02040602050305030304" pitchFamily="18" charset="0"/>
                      <a:ea typeface="+mn-ea"/>
                      <a:cs typeface="+mn-cs"/>
                    </a:defRPr>
                  </a:pPr>
                  <a:endParaRPr lang="es-CR"/>
                </a:p>
              </c:txPr>
              <c:dLblPos val="bestFit"/>
              <c:showLegendKey val="0"/>
              <c:showVal val="1"/>
              <c:showCatName val="0"/>
              <c:showSerName val="0"/>
              <c:showPercent val="0"/>
              <c:showBubbleSize val="0"/>
              <c:extLst>
                <c:ext xmlns:c16="http://schemas.microsoft.com/office/drawing/2014/chart" uri="{C3380CC4-5D6E-409C-BE32-E72D297353CC}">
                  <c16:uniqueId val="{00000005-94F8-4484-8C76-EE0B6AE1B561}"/>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2"/>
                    </a:solidFill>
                    <a:latin typeface="Book Antiqua" panose="02040602050305030304" pitchFamily="18" charset="0"/>
                    <a:ea typeface="+mn-ea"/>
                    <a:cs typeface="+mn-cs"/>
                  </a:defRPr>
                </a:pPr>
                <a:endParaRPr lang="es-C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Cuadro!$B$26:$F$26</c:f>
              <c:strCache>
                <c:ptCount val="5"/>
                <c:pt idx="0">
                  <c:v>1. Demanda</c:v>
                </c:pt>
                <c:pt idx="1">
                  <c:v>2. Demostrativa</c:v>
                </c:pt>
                <c:pt idx="2">
                  <c:v>3. Conclusiva</c:v>
                </c:pt>
                <c:pt idx="3">
                  <c:v>4. En Ejecución</c:v>
                </c:pt>
                <c:pt idx="4">
                  <c:v>Itinerado (Actualizar)</c:v>
                </c:pt>
              </c:strCache>
            </c:strRef>
          </c:cat>
          <c:val>
            <c:numRef>
              <c:f>Cuadro!$B$27:$F$27</c:f>
              <c:numCache>
                <c:formatCode>0%</c:formatCode>
                <c:ptCount val="5"/>
                <c:pt idx="0">
                  <c:v>0.53</c:v>
                </c:pt>
                <c:pt idx="1">
                  <c:v>0.29399999999999998</c:v>
                </c:pt>
                <c:pt idx="2">
                  <c:v>0.126</c:v>
                </c:pt>
                <c:pt idx="3">
                  <c:v>4.7E-2</c:v>
                </c:pt>
                <c:pt idx="4" formatCode="0.00%">
                  <c:v>3.0000000000000001E-3</c:v>
                </c:pt>
              </c:numCache>
            </c:numRef>
          </c:val>
          <c:extLst>
            <c:ext xmlns:c16="http://schemas.microsoft.com/office/drawing/2014/chart" uri="{C3380CC4-5D6E-409C-BE32-E72D297353CC}">
              <c16:uniqueId val="{0000000A-94F8-4484-8C76-EE0B6AE1B561}"/>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Hoja1!$B$1</c:f>
              <c:strCache>
                <c:ptCount val="1"/>
                <c:pt idx="0">
                  <c:v>Serie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Hoja1!$A$2:$A$17</c:f>
              <c:strCache>
                <c:ptCount val="16"/>
                <c:pt idx="0">
                  <c:v>Juzgado Agrario de Puntarenas</c:v>
                </c:pt>
                <c:pt idx="1">
                  <c:v>Juzgado Civil, Trabajo, Familia, Agrario, Penal Juvenil, Contra la Violencia Doméstica y Protección Cautelar Buenos Aires</c:v>
                </c:pt>
                <c:pt idx="2">
                  <c:v>Juzgado Civil, Trabajo y Agrario Turrialba</c:v>
                </c:pt>
                <c:pt idx="3">
                  <c:v>Juzgado Agrario II Circ. Jud. San José</c:v>
                </c:pt>
                <c:pt idx="4">
                  <c:v>Juzgado Civil, Trabajo, Agrario, Familia, Penal Juvenil, Contra la Violencia Doméstica y Protección Cautelar II Circuito Judicial de Alajuela, sede Upala</c:v>
                </c:pt>
                <c:pt idx="5">
                  <c:v>Juzgado Agrario II Circ. Jud. Alajuela (San Carlos)</c:v>
                </c:pt>
                <c:pt idx="6">
                  <c:v>Juzgado Agrario III Circ. Jud. Alajuela (San Ramón)</c:v>
                </c:pt>
                <c:pt idx="7">
                  <c:v>Juzgado Agrario I Circ. Jud. Zona Sur (Pérez Zeledón)</c:v>
                </c:pt>
                <c:pt idx="8">
                  <c:v>Juzgado Agrario de Puntarenas, Sede Jicaral</c:v>
                </c:pt>
                <c:pt idx="9">
                  <c:v>Juzgado Agrario I Circ. Jud. Guanacaste (Liberia)</c:v>
                </c:pt>
                <c:pt idx="10">
                  <c:v>Juzgado Agrario II Circ. Jud. Zona Atlántica (Pococí)</c:v>
                </c:pt>
                <c:pt idx="11">
                  <c:v>Juzgado Agrario II Circ. Jud. Zona Sur (Corredores)</c:v>
                </c:pt>
                <c:pt idx="12">
                  <c:v>Juzgado Agrario de Cartago</c:v>
                </c:pt>
                <c:pt idx="13">
                  <c:v>Juzgado Agrario I Circ. Jud. Alajuela</c:v>
                </c:pt>
                <c:pt idx="14">
                  <c:v>Juzgado Agrario II Circ. Jud. Guanacaste (Santa Cruz)</c:v>
                </c:pt>
                <c:pt idx="15">
                  <c:v>Juzgado Agrario I Circ. Jud. Zona Atlántica (Limón)</c:v>
                </c:pt>
              </c:strCache>
            </c:strRef>
          </c:cat>
          <c:val>
            <c:numRef>
              <c:f>Hoja1!$B$2:$B$17</c:f>
              <c:numCache>
                <c:formatCode>General</c:formatCode>
                <c:ptCount val="16"/>
                <c:pt idx="0">
                  <c:v>18</c:v>
                </c:pt>
                <c:pt idx="1">
                  <c:v>132</c:v>
                </c:pt>
                <c:pt idx="2">
                  <c:v>139</c:v>
                </c:pt>
                <c:pt idx="3">
                  <c:v>148</c:v>
                </c:pt>
                <c:pt idx="4">
                  <c:v>159</c:v>
                </c:pt>
                <c:pt idx="5">
                  <c:v>163</c:v>
                </c:pt>
                <c:pt idx="6">
                  <c:v>170</c:v>
                </c:pt>
                <c:pt idx="7">
                  <c:v>205</c:v>
                </c:pt>
                <c:pt idx="8">
                  <c:v>208</c:v>
                </c:pt>
                <c:pt idx="9">
                  <c:v>237</c:v>
                </c:pt>
                <c:pt idx="10">
                  <c:v>299</c:v>
                </c:pt>
                <c:pt idx="11">
                  <c:v>324</c:v>
                </c:pt>
                <c:pt idx="12">
                  <c:v>416</c:v>
                </c:pt>
                <c:pt idx="13">
                  <c:v>563</c:v>
                </c:pt>
                <c:pt idx="14">
                  <c:v>649</c:v>
                </c:pt>
                <c:pt idx="15">
                  <c:v>1239</c:v>
                </c:pt>
              </c:numCache>
            </c:numRef>
          </c:val>
          <c:extLst>
            <c:ext xmlns:c16="http://schemas.microsoft.com/office/drawing/2014/chart" uri="{C3380CC4-5D6E-409C-BE32-E72D297353CC}">
              <c16:uniqueId val="{00000000-C973-4E1A-97D6-55049A319575}"/>
            </c:ext>
          </c:extLst>
        </c:ser>
        <c:dLbls>
          <c:showLegendKey val="0"/>
          <c:showVal val="1"/>
          <c:showCatName val="0"/>
          <c:showSerName val="0"/>
          <c:showPercent val="0"/>
          <c:showBubbleSize val="0"/>
        </c:dLbls>
        <c:gapWidth val="150"/>
        <c:overlap val="-25"/>
        <c:axId val="1572071343"/>
        <c:axId val="1572081743"/>
      </c:barChart>
      <c:catAx>
        <c:axId val="15720713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572081743"/>
        <c:crosses val="autoZero"/>
        <c:auto val="1"/>
        <c:lblAlgn val="ctr"/>
        <c:lblOffset val="100"/>
        <c:noMultiLvlLbl val="0"/>
      </c:catAx>
      <c:valAx>
        <c:axId val="1572081743"/>
        <c:scaling>
          <c:orientation val="minMax"/>
        </c:scaling>
        <c:delete val="1"/>
        <c:axPos val="b"/>
        <c:numFmt formatCode="General" sourceLinked="1"/>
        <c:majorTickMark val="none"/>
        <c:minorTickMark val="none"/>
        <c:tickLblPos val="nextTo"/>
        <c:crossAx val="1572071343"/>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es-C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Hoja1!$B$1</c:f>
              <c:strCache>
                <c:ptCount val="1"/>
                <c:pt idx="0">
                  <c:v>Serie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Hoja1!$A$2:$A$17</c:f>
              <c:strCache>
                <c:ptCount val="16"/>
                <c:pt idx="0">
                  <c:v>Juzgado Agrario de Puntarenas, Sede Jicaral</c:v>
                </c:pt>
                <c:pt idx="1">
                  <c:v>Juzgado Agrario II Circ. Jud. Guanacaste (Santa Cruz)</c:v>
                </c:pt>
                <c:pt idx="2">
                  <c:v>Juzgado Civil, Trabajo y Agrario Turrialba</c:v>
                </c:pt>
                <c:pt idx="3">
                  <c:v>Juzgado Agrario II Circ. Jud. Zona Atlántica (Pococí)</c:v>
                </c:pt>
                <c:pt idx="4">
                  <c:v>Juzgado Agrario de Cartago</c:v>
                </c:pt>
                <c:pt idx="5">
                  <c:v>Juzgado Agrario I Circ. Jud. Zona Atlántica (Limón)</c:v>
                </c:pt>
                <c:pt idx="6">
                  <c:v>Juzgado Agrario III Circ. Jud. Alajuela (San Ramón)</c:v>
                </c:pt>
                <c:pt idx="7">
                  <c:v>Juzgado Agrario de Puntarenas</c:v>
                </c:pt>
                <c:pt idx="8">
                  <c:v>Juzgado Civil, Trabajo, Agrario, Familia, Penal Juvenil, Contra la Violencia Doméstica y Protección Cautelar II Circuito Judicial de Alajuela, sede Upala</c:v>
                </c:pt>
                <c:pt idx="9">
                  <c:v>Juzgado Agrario II Circ. Jud. San José</c:v>
                </c:pt>
                <c:pt idx="10">
                  <c:v>Juzgado Civil, Trabajo, Familia, Agrario, Penal Juvenil, Contra la Violencia Doméstica y Protección Cautelar Buenos Aires</c:v>
                </c:pt>
                <c:pt idx="11">
                  <c:v>Juzgado Agrario I Circ. Jud. Zona Sur (Pérez Zeledón)</c:v>
                </c:pt>
                <c:pt idx="12">
                  <c:v>Juzgado Agrario I Circ. Jud. Guanacaste (Liberia)</c:v>
                </c:pt>
                <c:pt idx="13">
                  <c:v>Juzgado Agrario II Circ. Jud. Zona Sur (Corredores)</c:v>
                </c:pt>
                <c:pt idx="14">
                  <c:v>Juzgado Agrario II Circ. Jud. Alajuela (San Carlos)</c:v>
                </c:pt>
                <c:pt idx="15">
                  <c:v>Juzgado Agrario I Circ. Jud. Alajuela</c:v>
                </c:pt>
              </c:strCache>
            </c:strRef>
          </c:cat>
          <c:val>
            <c:numRef>
              <c:f>Hoja1!$B$2:$B$17</c:f>
              <c:numCache>
                <c:formatCode>General</c:formatCode>
                <c:ptCount val="16"/>
                <c:pt idx="0">
                  <c:v>0</c:v>
                </c:pt>
                <c:pt idx="1">
                  <c:v>3</c:v>
                </c:pt>
                <c:pt idx="2">
                  <c:v>4</c:v>
                </c:pt>
                <c:pt idx="3">
                  <c:v>10</c:v>
                </c:pt>
                <c:pt idx="4">
                  <c:v>14</c:v>
                </c:pt>
                <c:pt idx="5">
                  <c:v>15</c:v>
                </c:pt>
                <c:pt idx="6">
                  <c:v>18</c:v>
                </c:pt>
                <c:pt idx="7">
                  <c:v>21</c:v>
                </c:pt>
                <c:pt idx="8">
                  <c:v>26</c:v>
                </c:pt>
                <c:pt idx="9">
                  <c:v>28</c:v>
                </c:pt>
                <c:pt idx="10">
                  <c:v>31</c:v>
                </c:pt>
                <c:pt idx="11">
                  <c:v>32</c:v>
                </c:pt>
                <c:pt idx="12">
                  <c:v>35</c:v>
                </c:pt>
                <c:pt idx="13">
                  <c:v>53</c:v>
                </c:pt>
                <c:pt idx="14">
                  <c:v>67</c:v>
                </c:pt>
                <c:pt idx="15">
                  <c:v>90</c:v>
                </c:pt>
              </c:numCache>
            </c:numRef>
          </c:val>
          <c:extLst>
            <c:ext xmlns:c16="http://schemas.microsoft.com/office/drawing/2014/chart" uri="{C3380CC4-5D6E-409C-BE32-E72D297353CC}">
              <c16:uniqueId val="{00000000-B617-4365-9F3B-1CEF275B2E0A}"/>
            </c:ext>
          </c:extLst>
        </c:ser>
        <c:dLbls>
          <c:showLegendKey val="0"/>
          <c:showVal val="1"/>
          <c:showCatName val="0"/>
          <c:showSerName val="0"/>
          <c:showPercent val="0"/>
          <c:showBubbleSize val="0"/>
        </c:dLbls>
        <c:gapWidth val="115"/>
        <c:overlap val="-20"/>
        <c:axId val="1257069247"/>
        <c:axId val="1257070079"/>
      </c:barChart>
      <c:catAx>
        <c:axId val="1257069247"/>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257070079"/>
        <c:crosses val="autoZero"/>
        <c:auto val="1"/>
        <c:lblAlgn val="ctr"/>
        <c:lblOffset val="100"/>
        <c:noMultiLvlLbl val="0"/>
      </c:catAx>
      <c:valAx>
        <c:axId val="1257070079"/>
        <c:scaling>
          <c:orientation val="minMax"/>
        </c:scaling>
        <c:delete val="1"/>
        <c:axPos val="b"/>
        <c:numFmt formatCode="General" sourceLinked="1"/>
        <c:majorTickMark val="none"/>
        <c:minorTickMark val="none"/>
        <c:tickLblPos val="nextTo"/>
        <c:crossAx val="12570692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es-C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BB94-4DBB-8B9A-FC88B43F596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BB94-4DBB-8B9A-FC88B43F596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BB94-4DBB-8B9A-FC88B43F596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BB94-4DBB-8B9A-FC88B43F5969}"/>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BB94-4DBB-8B9A-FC88B43F5969}"/>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BB94-4DBB-8B9A-FC88B43F5969}"/>
              </c:ext>
            </c:extLst>
          </c:dPt>
          <c:dLbls>
            <c:dLbl>
              <c:idx val="2"/>
              <c:layout>
                <c:manualLayout>
                  <c:x val="-3.484078237674474E-2"/>
                  <c:y val="-7.75857754932456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B94-4DBB-8B9A-FC88B43F5969}"/>
                </c:ext>
              </c:extLst>
            </c:dLbl>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Hoja9!$B$48:$G$48</c:f>
              <c:strCache>
                <c:ptCount val="6"/>
                <c:pt idx="0">
                  <c:v>INFORMACIÓN POSESORIA</c:v>
                </c:pt>
                <c:pt idx="1">
                  <c:v>INTERDICTO DE AMPARO DE POSESIÓN</c:v>
                </c:pt>
                <c:pt idx="2">
                  <c:v>MONITORIO</c:v>
                </c:pt>
                <c:pt idx="3">
                  <c:v>ORDINARIO</c:v>
                </c:pt>
                <c:pt idx="4">
                  <c:v>OTRO</c:v>
                </c:pt>
                <c:pt idx="5">
                  <c:v>SUCESORIO</c:v>
                </c:pt>
              </c:strCache>
            </c:strRef>
          </c:cat>
          <c:val>
            <c:numRef>
              <c:f>Hoja9!$B$49:$G$49</c:f>
              <c:numCache>
                <c:formatCode>0%</c:formatCode>
                <c:ptCount val="6"/>
                <c:pt idx="0">
                  <c:v>0.31627955639255073</c:v>
                </c:pt>
                <c:pt idx="1">
                  <c:v>9.8765432098765427E-2</c:v>
                </c:pt>
                <c:pt idx="2">
                  <c:v>3.2224314710190417E-2</c:v>
                </c:pt>
                <c:pt idx="3">
                  <c:v>0.36555764804352375</c:v>
                </c:pt>
                <c:pt idx="4">
                  <c:v>0.14490479179744717</c:v>
                </c:pt>
                <c:pt idx="5">
                  <c:v>4.2268256957522496E-2</c:v>
                </c:pt>
              </c:numCache>
            </c:numRef>
          </c:val>
          <c:extLst>
            <c:ext xmlns:c16="http://schemas.microsoft.com/office/drawing/2014/chart" uri="{C3380CC4-5D6E-409C-BE32-E72D297353CC}">
              <c16:uniqueId val="{0000000C-BB94-4DBB-8B9A-FC88B43F596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4"/>
              <c:layout>
                <c:manualLayout>
                  <c:x val="-7.6031595870104195E-17"/>
                  <c:y val="5.317378406838065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AFB-4FC6-A962-2C767C5AEE56}"/>
                </c:ext>
              </c:extLst>
            </c:dLbl>
            <c:dLbl>
              <c:idx val="10"/>
              <c:layout>
                <c:manualLayout>
                  <c:x val="-7.6031595870104195E-17"/>
                  <c:y val="5.317378406838040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AFB-4FC6-A962-2C767C5AEE56}"/>
                </c:ext>
              </c:extLst>
            </c:dLbl>
            <c:dLbl>
              <c:idx val="11"/>
              <c:layout>
                <c:manualLayout>
                  <c:x val="-4.147225865104784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AFB-4FC6-A962-2C767C5AEE56}"/>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3'!$B$3:$B$14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3'!$D$3:$D$14</c:f>
              <c:numCache>
                <c:formatCode>0</c:formatCode>
                <c:ptCount val="12"/>
                <c:pt idx="0">
                  <c:v>329</c:v>
                </c:pt>
                <c:pt idx="1">
                  <c:v>490</c:v>
                </c:pt>
                <c:pt idx="2">
                  <c:v>462</c:v>
                </c:pt>
                <c:pt idx="3">
                  <c:v>311</c:v>
                </c:pt>
                <c:pt idx="4">
                  <c:v>781</c:v>
                </c:pt>
                <c:pt idx="5">
                  <c:v>677</c:v>
                </c:pt>
                <c:pt idx="6">
                  <c:v>1040</c:v>
                </c:pt>
                <c:pt idx="7">
                  <c:v>459</c:v>
                </c:pt>
                <c:pt idx="8">
                  <c:v>522</c:v>
                </c:pt>
                <c:pt idx="9">
                  <c:v>450</c:v>
                </c:pt>
                <c:pt idx="10">
                  <c:v>630</c:v>
                </c:pt>
                <c:pt idx="11">
                  <c:v>390</c:v>
                </c:pt>
              </c:numCache>
            </c:numRef>
          </c:val>
          <c:extLst>
            <c:ext xmlns:c16="http://schemas.microsoft.com/office/drawing/2014/chart" uri="{C3380CC4-5D6E-409C-BE32-E72D297353CC}">
              <c16:uniqueId val="{00000003-FAFB-4FC6-A962-2C767C5AEE56}"/>
            </c:ext>
          </c:extLst>
        </c:ser>
        <c:ser>
          <c:idx val="0"/>
          <c:order val="1"/>
          <c:tx>
            <c:v>2021</c:v>
          </c:tx>
          <c:spPr>
            <a:solidFill>
              <a:srgbClr val="558ED5"/>
            </a:solidFill>
            <a:ln>
              <a:noFill/>
            </a:ln>
            <a:effectLst>
              <a:outerShdw blurRad="50800" dist="38100" dir="2700000" algn="tl" rotWithShape="0">
                <a:prstClr val="black">
                  <a:alpha val="40000"/>
                </a:prstClr>
              </a:outerShdw>
            </a:effectLst>
          </c:spPr>
          <c:invertIfNegative val="0"/>
          <c:dLbls>
            <c:dLbl>
              <c:idx val="0"/>
              <c:layout>
                <c:manualLayout>
                  <c:x val="0"/>
                  <c:y val="-7.976067610257195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AFB-4FC6-A962-2C767C5AEE56}"/>
                </c:ext>
              </c:extLst>
            </c:dLbl>
            <c:dLbl>
              <c:idx val="1"/>
              <c:layout>
                <c:manualLayout>
                  <c:x val="0"/>
                  <c:y val="-7.97606761025709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AFB-4FC6-A962-2C767C5AEE56}"/>
                </c:ext>
              </c:extLst>
            </c:dLbl>
            <c:dLbl>
              <c:idx val="2"/>
              <c:layout>
                <c:manualLayout>
                  <c:x val="0"/>
                  <c:y val="-7.976067610257195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AFB-4FC6-A962-2C767C5AEE56}"/>
                </c:ext>
              </c:extLst>
            </c:dLbl>
            <c:dLbl>
              <c:idx val="3"/>
              <c:layout>
                <c:manualLayout>
                  <c:x val="0"/>
                  <c:y val="-1.3293446017095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AFB-4FC6-A962-2C767C5AEE56}"/>
                </c:ext>
              </c:extLst>
            </c:dLbl>
            <c:dLbl>
              <c:idx val="5"/>
              <c:layout>
                <c:manualLayout>
                  <c:x val="-7.6031595870104195E-17"/>
                  <c:y val="-7.97606761025709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AFB-4FC6-A962-2C767C5AEE56}"/>
                </c:ext>
              </c:extLst>
            </c:dLbl>
            <c:dLbl>
              <c:idx val="6"/>
              <c:layout>
                <c:manualLayout>
                  <c:x val="0"/>
                  <c:y val="-7.976067610257146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AFB-4FC6-A962-2C767C5AEE56}"/>
                </c:ext>
              </c:extLst>
            </c:dLbl>
            <c:dLbl>
              <c:idx val="7"/>
              <c:layout>
                <c:manualLayout>
                  <c:x val="0"/>
                  <c:y val="-5.317378406838113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AFB-4FC6-A962-2C767C5AEE56}"/>
                </c:ext>
              </c:extLst>
            </c:dLbl>
            <c:dLbl>
              <c:idx val="8"/>
              <c:layout>
                <c:manualLayout>
                  <c:x val="-7.6031595870104195E-17"/>
                  <c:y val="-7.97606761025709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AFB-4FC6-A962-2C767C5AEE56}"/>
                </c:ext>
              </c:extLst>
            </c:dLbl>
            <c:dLbl>
              <c:idx val="9"/>
              <c:layout>
                <c:manualLayout>
                  <c:x val="0"/>
                  <c:y val="-7.976067610257146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AFB-4FC6-A962-2C767C5AEE56}"/>
                </c:ext>
              </c:extLst>
            </c:dLbl>
            <c:dLbl>
              <c:idx val="11"/>
              <c:layout>
                <c:manualLayout>
                  <c:x val="0"/>
                  <c:y val="-7.976067610257110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AFB-4FC6-A962-2C767C5AEE56}"/>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3'!$B$3:$B$14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3'!$C$3:$C$14</c:f>
              <c:numCache>
                <c:formatCode>0</c:formatCode>
                <c:ptCount val="12"/>
                <c:pt idx="0">
                  <c:v>303</c:v>
                </c:pt>
                <c:pt idx="1">
                  <c:v>463</c:v>
                </c:pt>
                <c:pt idx="2">
                  <c:v>410</c:v>
                </c:pt>
                <c:pt idx="3">
                  <c:v>326</c:v>
                </c:pt>
                <c:pt idx="4">
                  <c:v>809</c:v>
                </c:pt>
                <c:pt idx="5">
                  <c:v>581</c:v>
                </c:pt>
                <c:pt idx="6">
                  <c:v>868</c:v>
                </c:pt>
                <c:pt idx="7">
                  <c:v>418</c:v>
                </c:pt>
                <c:pt idx="8">
                  <c:v>492</c:v>
                </c:pt>
                <c:pt idx="9">
                  <c:v>451</c:v>
                </c:pt>
                <c:pt idx="10">
                  <c:v>696</c:v>
                </c:pt>
                <c:pt idx="11">
                  <c:v>385</c:v>
                </c:pt>
              </c:numCache>
            </c:numRef>
          </c:val>
          <c:extLst>
            <c:ext xmlns:c16="http://schemas.microsoft.com/office/drawing/2014/chart" uri="{C3380CC4-5D6E-409C-BE32-E72D297353CC}">
              <c16:uniqueId val="{0000000E-FAFB-4FC6-A962-2C767C5AEE56}"/>
            </c:ext>
          </c:extLst>
        </c:ser>
        <c:dLbls>
          <c:dLblPos val="outEnd"/>
          <c:showLegendKey val="0"/>
          <c:showVal val="1"/>
          <c:showCatName val="0"/>
          <c:showSerName val="0"/>
          <c:showPercent val="0"/>
          <c:showBubbleSize val="0"/>
        </c:dLbls>
        <c:gapWidth val="182"/>
        <c:axId val="123041151"/>
        <c:axId val="123051551"/>
      </c:barChart>
      <c:catAx>
        <c:axId val="123041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23051551"/>
        <c:crosses val="autoZero"/>
        <c:auto val="1"/>
        <c:lblAlgn val="ctr"/>
        <c:lblOffset val="100"/>
        <c:noMultiLvlLbl val="0"/>
      </c:catAx>
      <c:valAx>
        <c:axId val="123051551"/>
        <c:scaling>
          <c:orientation val="minMax"/>
        </c:scaling>
        <c:delete val="1"/>
        <c:axPos val="b"/>
        <c:numFmt formatCode="0" sourceLinked="1"/>
        <c:majorTickMark val="none"/>
        <c:minorTickMark val="none"/>
        <c:tickLblPos val="nextTo"/>
        <c:crossAx val="1230411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5"/>
              <c:layout>
                <c:manualLayout>
                  <c:x val="0"/>
                  <c:y val="1.10179267145851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AD-4564-A8A3-32A348DA7CE9}"/>
                </c:ext>
              </c:extLst>
            </c:dLbl>
            <c:dLbl>
              <c:idx val="7"/>
              <c:layout>
                <c:manualLayout>
                  <c:x val="5.089138944137173E-3"/>
                  <c:y val="-6.425146079437862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AD-4564-A8A3-32A348DA7CE9}"/>
                </c:ext>
              </c:extLst>
            </c:dLbl>
            <c:dLbl>
              <c:idx val="11"/>
              <c:layout>
                <c:manualLayout>
                  <c:x val="0"/>
                  <c:y val="6.15147796523639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AD-4564-A8A3-32A348DA7CE9}"/>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4'!$B$3:$B$14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4'!$D$3:$D$14</c:f>
              <c:numCache>
                <c:formatCode>0</c:formatCode>
                <c:ptCount val="12"/>
                <c:pt idx="0">
                  <c:v>408.66</c:v>
                </c:pt>
                <c:pt idx="1">
                  <c:v>212</c:v>
                </c:pt>
                <c:pt idx="2">
                  <c:v>185</c:v>
                </c:pt>
                <c:pt idx="3">
                  <c:v>194.25</c:v>
                </c:pt>
                <c:pt idx="4">
                  <c:v>23</c:v>
                </c:pt>
                <c:pt idx="5">
                  <c:v>256</c:v>
                </c:pt>
                <c:pt idx="6">
                  <c:v>91</c:v>
                </c:pt>
                <c:pt idx="7">
                  <c:v>48.58</c:v>
                </c:pt>
                <c:pt idx="8">
                  <c:v>16</c:v>
                </c:pt>
                <c:pt idx="9">
                  <c:v>211.83</c:v>
                </c:pt>
                <c:pt idx="10">
                  <c:v>408.66</c:v>
                </c:pt>
                <c:pt idx="11">
                  <c:v>202</c:v>
                </c:pt>
              </c:numCache>
            </c:numRef>
          </c:val>
          <c:extLst>
            <c:ext xmlns:c16="http://schemas.microsoft.com/office/drawing/2014/chart" uri="{C3380CC4-5D6E-409C-BE32-E72D297353CC}">
              <c16:uniqueId val="{00000003-ABAD-4564-A8A3-32A348DA7CE9}"/>
            </c:ext>
          </c:extLst>
        </c:ser>
        <c:ser>
          <c:idx val="0"/>
          <c:order val="1"/>
          <c:tx>
            <c:v>2021</c:v>
          </c:tx>
          <c:spPr>
            <a:solidFill>
              <a:srgbClr val="558ED5"/>
            </a:solidFill>
            <a:ln>
              <a:noFill/>
            </a:ln>
            <a:effectLst/>
          </c:spPr>
          <c:invertIfNegative val="0"/>
          <c:dPt>
            <c:idx val="11"/>
            <c:invertIfNegative val="0"/>
            <c:bubble3D val="0"/>
            <c:spPr>
              <a:solidFill>
                <a:srgbClr val="558ED5"/>
              </a:solidFill>
              <a:ln>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ABAD-4564-A8A3-32A348DA7CE9}"/>
              </c:ext>
            </c:extLst>
          </c:dPt>
          <c:dLbls>
            <c:dLbl>
              <c:idx val="1"/>
              <c:layout>
                <c:manualLayout>
                  <c:x val="-6.920415224913495E-3"/>
                  <c:y val="-3.075738982618312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BAD-4564-A8A3-32A348DA7CE9}"/>
                </c:ext>
              </c:extLst>
            </c:dLbl>
            <c:dLbl>
              <c:idx val="2"/>
              <c:layout>
                <c:manualLayout>
                  <c:x val="-4.2290937825948762E-17"/>
                  <c:y val="-5.187584961234790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BAD-4564-A8A3-32A348DA7CE9}"/>
                </c:ext>
              </c:extLst>
            </c:dLbl>
            <c:dLbl>
              <c:idx val="3"/>
              <c:layout>
                <c:manualLayout>
                  <c:x val="0"/>
                  <c:y val="-8.263323943852990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BAD-4564-A8A3-32A348DA7CE9}"/>
                </c:ext>
              </c:extLst>
            </c:dLbl>
            <c:dLbl>
              <c:idx val="4"/>
              <c:layout>
                <c:manualLayout>
                  <c:x val="-4.2290937825948762E-17"/>
                  <c:y val="-2.111845978616590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BAD-4564-A8A3-32A348DA7CE9}"/>
                </c:ext>
              </c:extLst>
            </c:dLbl>
            <c:dLbl>
              <c:idx val="5"/>
              <c:layout>
                <c:manualLayout>
                  <c:x val="-4.61361014994233E-3"/>
                  <c:y val="-6.15147796523639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BAD-4564-A8A3-32A348DA7CE9}"/>
                </c:ext>
              </c:extLst>
            </c:dLbl>
            <c:dLbl>
              <c:idx val="6"/>
              <c:layout>
                <c:manualLayout>
                  <c:x val="6.920415224913495E-3"/>
                  <c:y val="-3.075738982618199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BAD-4564-A8A3-32A348DA7CE9}"/>
                </c:ext>
              </c:extLst>
            </c:dLbl>
            <c:dLbl>
              <c:idx val="7"/>
              <c:layout>
                <c:manualLayout>
                  <c:x val="-6.920415224913495E-3"/>
                  <c:y val="-3.075738982618199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BAD-4564-A8A3-32A348DA7CE9}"/>
                </c:ext>
              </c:extLst>
            </c:dLbl>
            <c:dLbl>
              <c:idx val="10"/>
              <c:layout>
                <c:manualLayout>
                  <c:x val="0"/>
                  <c:y val="-6.15147796523639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BAD-4564-A8A3-32A348DA7CE9}"/>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4'!$B$3:$B$14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4'!$C$3:$C$14</c:f>
              <c:numCache>
                <c:formatCode>0</c:formatCode>
                <c:ptCount val="12"/>
                <c:pt idx="0" formatCode="General">
                  <c:v>295</c:v>
                </c:pt>
                <c:pt idx="1">
                  <c:v>158</c:v>
                </c:pt>
                <c:pt idx="2">
                  <c:v>180</c:v>
                </c:pt>
                <c:pt idx="3">
                  <c:v>126</c:v>
                </c:pt>
                <c:pt idx="4">
                  <c:v>15</c:v>
                </c:pt>
                <c:pt idx="5">
                  <c:v>248</c:v>
                </c:pt>
                <c:pt idx="6">
                  <c:v>59</c:v>
                </c:pt>
                <c:pt idx="7">
                  <c:v>33</c:v>
                </c:pt>
                <c:pt idx="8">
                  <c:v>36</c:v>
                </c:pt>
                <c:pt idx="9">
                  <c:v>37</c:v>
                </c:pt>
                <c:pt idx="10">
                  <c:v>380</c:v>
                </c:pt>
                <c:pt idx="11">
                  <c:v>777</c:v>
                </c:pt>
              </c:numCache>
            </c:numRef>
          </c:val>
          <c:extLst>
            <c:ext xmlns:c16="http://schemas.microsoft.com/office/drawing/2014/chart" uri="{C3380CC4-5D6E-409C-BE32-E72D297353CC}">
              <c16:uniqueId val="{0000000E-ABAD-4564-A8A3-32A348DA7CE9}"/>
            </c:ext>
          </c:extLst>
        </c:ser>
        <c:dLbls>
          <c:dLblPos val="outEnd"/>
          <c:showLegendKey val="0"/>
          <c:showVal val="1"/>
          <c:showCatName val="0"/>
          <c:showSerName val="0"/>
          <c:showPercent val="0"/>
          <c:showBubbleSize val="0"/>
        </c:dLbls>
        <c:gapWidth val="50"/>
        <c:axId val="106679712"/>
        <c:axId val="106680128"/>
      </c:barChart>
      <c:catAx>
        <c:axId val="106679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06680128"/>
        <c:crosses val="autoZero"/>
        <c:auto val="1"/>
        <c:lblAlgn val="ctr"/>
        <c:lblOffset val="100"/>
        <c:noMultiLvlLbl val="0"/>
      </c:catAx>
      <c:valAx>
        <c:axId val="106680128"/>
        <c:scaling>
          <c:orientation val="minMax"/>
        </c:scaling>
        <c:delete val="1"/>
        <c:axPos val="b"/>
        <c:numFmt formatCode="0" sourceLinked="1"/>
        <c:majorTickMark val="none"/>
        <c:minorTickMark val="none"/>
        <c:tickLblPos val="nextTo"/>
        <c:crossAx val="106679712"/>
        <c:crosses val="autoZero"/>
        <c:crossBetween val="between"/>
      </c:valAx>
      <c:spPr>
        <a:noFill/>
        <a:ln w="25400">
          <a:noFill/>
        </a:ln>
        <a:effectLst/>
      </c:spPr>
    </c:plotArea>
    <c:legend>
      <c:legendPos val="b"/>
      <c:layout>
        <c:manualLayout>
          <c:xMode val="edge"/>
          <c:yMode val="edge"/>
          <c:x val="0.41411752920197953"/>
          <c:y val="0.90870451863335766"/>
          <c:w val="0.18957664643064656"/>
          <c:h val="7.09133239393520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1"/>
              <c:layout>
                <c:manualLayout>
                  <c:x val="-2.3148148148148147E-3"/>
                  <c:y val="6.584362139917574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7E5-415C-9222-9953D717244B}"/>
                </c:ext>
              </c:extLst>
            </c:dLbl>
            <c:dLbl>
              <c:idx val="2"/>
              <c:layout>
                <c:manualLayout>
                  <c:x val="4.6296296296295869E-3"/>
                  <c:y val="9.876543209876423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7E5-415C-9222-9953D717244B}"/>
                </c:ext>
              </c:extLst>
            </c:dLbl>
            <c:dLbl>
              <c:idx val="3"/>
              <c:layout>
                <c:manualLayout>
                  <c:x val="0"/>
                  <c:y val="1.31687242798352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7E5-415C-9222-9953D717244B}"/>
                </c:ext>
              </c:extLst>
            </c:dLbl>
            <c:dLbl>
              <c:idx val="4"/>
              <c:layout>
                <c:manualLayout>
                  <c:x val="0"/>
                  <c:y val="6.58436213991769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7E5-415C-9222-9953D717244B}"/>
                </c:ext>
              </c:extLst>
            </c:dLbl>
            <c:dLbl>
              <c:idx val="5"/>
              <c:layout>
                <c:manualLayout>
                  <c:x val="0"/>
                  <c:y val="-4.1942905284993561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7E5-415C-9222-9953D717244B}"/>
                </c:ext>
              </c:extLst>
            </c:dLbl>
            <c:dLbl>
              <c:idx val="7"/>
              <c:layout>
                <c:manualLayout>
                  <c:x val="-1.8553149606298789E-3"/>
                  <c:y val="-3.50189559638378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7E5-415C-9222-9953D717244B}"/>
                </c:ext>
              </c:extLst>
            </c:dLbl>
            <c:dLbl>
              <c:idx val="9"/>
              <c:layout>
                <c:manualLayout>
                  <c:x val="0"/>
                  <c:y val="6.58436213991769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7E5-415C-9222-9953D717244B}"/>
                </c:ext>
              </c:extLst>
            </c:dLbl>
            <c:dLbl>
              <c:idx val="10"/>
              <c:layout>
                <c:manualLayout>
                  <c:x val="0"/>
                  <c:y val="6.58436213991769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7E5-415C-9222-9953D717244B}"/>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5'!$B$3:$B$14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5'!$D$3:$D$14</c:f>
              <c:numCache>
                <c:formatCode>0</c:formatCode>
                <c:ptCount val="12"/>
                <c:pt idx="0">
                  <c:v>113.08</c:v>
                </c:pt>
                <c:pt idx="1">
                  <c:v>131.80000000000001</c:v>
                </c:pt>
                <c:pt idx="2">
                  <c:v>189.33</c:v>
                </c:pt>
                <c:pt idx="3">
                  <c:v>72</c:v>
                </c:pt>
                <c:pt idx="4">
                  <c:v>69.91</c:v>
                </c:pt>
                <c:pt idx="5">
                  <c:v>191</c:v>
                </c:pt>
                <c:pt idx="6">
                  <c:v>1066</c:v>
                </c:pt>
                <c:pt idx="7">
                  <c:v>241</c:v>
                </c:pt>
                <c:pt idx="8">
                  <c:v>166</c:v>
                </c:pt>
                <c:pt idx="9">
                  <c:v>71.58</c:v>
                </c:pt>
                <c:pt idx="10">
                  <c:v>113.08</c:v>
                </c:pt>
                <c:pt idx="11">
                  <c:v>138</c:v>
                </c:pt>
              </c:numCache>
            </c:numRef>
          </c:val>
          <c:extLst>
            <c:ext xmlns:c16="http://schemas.microsoft.com/office/drawing/2014/chart" uri="{C3380CC4-5D6E-409C-BE32-E72D297353CC}">
              <c16:uniqueId val="{00000008-F7E5-415C-9222-9953D717244B}"/>
            </c:ext>
          </c:extLst>
        </c:ser>
        <c:ser>
          <c:idx val="0"/>
          <c:order val="1"/>
          <c:tx>
            <c:v>2021</c:v>
          </c:tx>
          <c:spPr>
            <a:solidFill>
              <a:srgbClr val="558ED5"/>
            </a:solidFill>
            <a:ln>
              <a:noFill/>
            </a:ln>
            <a:effectLst>
              <a:outerShdw blurRad="50800" dist="38100" dir="2700000" algn="tl" rotWithShape="0">
                <a:prstClr val="black">
                  <a:alpha val="40000"/>
                </a:prstClr>
              </a:outerShdw>
            </a:effectLst>
          </c:spPr>
          <c:invertIfNegative val="0"/>
          <c:dLbls>
            <c:dLbl>
              <c:idx val="0"/>
              <c:layout>
                <c:manualLayout>
                  <c:x val="0"/>
                  <c:y val="-9.87654320987654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7E5-415C-9222-9953D717244B}"/>
                </c:ext>
              </c:extLst>
            </c:dLbl>
            <c:dLbl>
              <c:idx val="2"/>
              <c:layout>
                <c:manualLayout>
                  <c:x val="2.3148148148148147E-3"/>
                  <c:y val="-6.269919963708240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7E5-415C-9222-9953D717244B}"/>
                </c:ext>
              </c:extLst>
            </c:dLbl>
            <c:dLbl>
              <c:idx val="3"/>
              <c:layout>
                <c:manualLayout>
                  <c:x val="2.3148148148147722E-3"/>
                  <c:y val="3.1444217620945529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7E5-415C-9222-9953D717244B}"/>
                </c:ext>
              </c:extLst>
            </c:dLbl>
            <c:dLbl>
              <c:idx val="4"/>
              <c:layout>
                <c:manualLayout>
                  <c:x val="0"/>
                  <c:y val="-2.977738893749452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7E5-415C-9222-9953D717244B}"/>
                </c:ext>
              </c:extLst>
            </c:dLbl>
            <c:dLbl>
              <c:idx val="5"/>
              <c:layout>
                <c:manualLayout>
                  <c:x val="-4.2437781360066642E-17"/>
                  <c:y val="-6.58436213991769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7E5-415C-9222-9953D717244B}"/>
                </c:ext>
              </c:extLst>
            </c:dLbl>
            <c:dLbl>
              <c:idx val="6"/>
              <c:layout>
                <c:manualLayout>
                  <c:x val="-8.4875562720133283E-17"/>
                  <c:y val="-6.58436213991775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7E5-415C-9222-9953D717244B}"/>
                </c:ext>
              </c:extLst>
            </c:dLbl>
            <c:dLbl>
              <c:idx val="7"/>
              <c:layout>
                <c:manualLayout>
                  <c:x val="-4.2437781360066642E-17"/>
                  <c:y val="-6.58436213991769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7E5-415C-9222-9953D717244B}"/>
                </c:ext>
              </c:extLst>
            </c:dLbl>
            <c:dLbl>
              <c:idx val="8"/>
              <c:layout>
                <c:manualLayout>
                  <c:x val="-4.6296296296296719E-3"/>
                  <c:y val="-9.87654320987654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7E5-415C-9222-9953D717244B}"/>
                </c:ext>
              </c:extLst>
            </c:dLbl>
            <c:dLbl>
              <c:idx val="9"/>
              <c:layout>
                <c:manualLayout>
                  <c:x val="2.3148148148148147E-3"/>
                  <c:y val="-3.292181069958847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7E5-415C-9222-9953D717244B}"/>
                </c:ext>
              </c:extLst>
            </c:dLbl>
            <c:dLbl>
              <c:idx val="11"/>
              <c:layout>
                <c:manualLayout>
                  <c:x val="-4.2437781360066642E-17"/>
                  <c:y val="-9.87654320987654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7E5-415C-9222-9953D717244B}"/>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5'!$B$3:$B$14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5'!$C$3:$C$14</c:f>
              <c:numCache>
                <c:formatCode>0</c:formatCode>
                <c:ptCount val="12"/>
                <c:pt idx="0">
                  <c:v>67</c:v>
                </c:pt>
                <c:pt idx="1">
                  <c:v>170</c:v>
                </c:pt>
                <c:pt idx="2">
                  <c:v>195</c:v>
                </c:pt>
                <c:pt idx="3">
                  <c:v>66</c:v>
                </c:pt>
                <c:pt idx="4">
                  <c:v>70</c:v>
                </c:pt>
                <c:pt idx="5">
                  <c:v>156</c:v>
                </c:pt>
                <c:pt idx="6">
                  <c:v>456</c:v>
                </c:pt>
                <c:pt idx="7">
                  <c:v>145</c:v>
                </c:pt>
                <c:pt idx="8">
                  <c:v>120</c:v>
                </c:pt>
                <c:pt idx="9">
                  <c:v>81</c:v>
                </c:pt>
                <c:pt idx="10">
                  <c:v>388</c:v>
                </c:pt>
                <c:pt idx="11">
                  <c:v>109</c:v>
                </c:pt>
              </c:numCache>
            </c:numRef>
          </c:val>
          <c:extLst>
            <c:ext xmlns:c16="http://schemas.microsoft.com/office/drawing/2014/chart" uri="{C3380CC4-5D6E-409C-BE32-E72D297353CC}">
              <c16:uniqueId val="{00000013-F7E5-415C-9222-9953D717244B}"/>
            </c:ext>
          </c:extLst>
        </c:ser>
        <c:dLbls>
          <c:dLblPos val="outEnd"/>
          <c:showLegendKey val="0"/>
          <c:showVal val="1"/>
          <c:showCatName val="0"/>
          <c:showSerName val="0"/>
          <c:showPercent val="0"/>
          <c:showBubbleSize val="0"/>
        </c:dLbls>
        <c:gapWidth val="100"/>
        <c:axId val="106679712"/>
        <c:axId val="106680128"/>
      </c:barChart>
      <c:catAx>
        <c:axId val="106679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06680128"/>
        <c:crosses val="autoZero"/>
        <c:auto val="1"/>
        <c:lblAlgn val="ctr"/>
        <c:lblOffset val="100"/>
        <c:noMultiLvlLbl val="0"/>
      </c:catAx>
      <c:valAx>
        <c:axId val="106680128"/>
        <c:scaling>
          <c:orientation val="minMax"/>
        </c:scaling>
        <c:delete val="1"/>
        <c:axPos val="b"/>
        <c:numFmt formatCode="0" sourceLinked="1"/>
        <c:majorTickMark val="none"/>
        <c:minorTickMark val="none"/>
        <c:tickLblPos val="nextTo"/>
        <c:crossAx val="106679712"/>
        <c:crosses val="autoZero"/>
        <c:crossBetween val="between"/>
      </c:valAx>
      <c:spPr>
        <a:noFill/>
        <a:ln>
          <a:noFill/>
        </a:ln>
        <a:effectLst/>
      </c:spPr>
    </c:plotArea>
    <c:legend>
      <c:legendPos val="b"/>
      <c:layout>
        <c:manualLayout>
          <c:xMode val="edge"/>
          <c:yMode val="edge"/>
          <c:x val="0.41411752920197953"/>
          <c:y val="0.90870451863335766"/>
          <c:w val="0.18957664643064656"/>
          <c:h val="7.09133239393520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0"/>
              <c:layout>
                <c:manualLayout>
                  <c:x val="2.2222222222222181E-2"/>
                  <c:y val="1.28514056224898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D10-426E-AD8E-4A6ACA2B82AA}"/>
                </c:ext>
              </c:extLst>
            </c:dLbl>
            <c:dLbl>
              <c:idx val="1"/>
              <c:layout>
                <c:manualLayout>
                  <c:x val="-6.66666666666670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10-426E-AD8E-4A6ACA2B82AA}"/>
                </c:ext>
              </c:extLst>
            </c:dLbl>
            <c:dLbl>
              <c:idx val="2"/>
              <c:layout>
                <c:manualLayout>
                  <c:x val="-4.0740270105663978E-17"/>
                  <c:y val="6.42570281124498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D10-426E-AD8E-4A6ACA2B82AA}"/>
                </c:ext>
              </c:extLst>
            </c:dLbl>
            <c:dLbl>
              <c:idx val="4"/>
              <c:layout>
                <c:manualLayout>
                  <c:x val="-8.1480540211327956E-17"/>
                  <c:y val="6.42570281124498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D10-426E-AD8E-4A6ACA2B82AA}"/>
                </c:ext>
              </c:extLst>
            </c:dLbl>
            <c:dLbl>
              <c:idx val="5"/>
              <c:layout>
                <c:manualLayout>
                  <c:x val="0"/>
                  <c:y val="-1.35881049515268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10-426E-AD8E-4A6ACA2B82AA}"/>
                </c:ext>
              </c:extLst>
            </c:dLbl>
            <c:dLbl>
              <c:idx val="7"/>
              <c:layout>
                <c:manualLayout>
                  <c:x val="6.4461942257217845E-4"/>
                  <c:y val="-3.6833949973120832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D10-426E-AD8E-4A6ACA2B82AA}"/>
                </c:ext>
              </c:extLst>
            </c:dLbl>
            <c:dLbl>
              <c:idx val="10"/>
              <c:layout>
                <c:manualLayout>
                  <c:x val="0"/>
                  <c:y val="9.63855421686744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D10-426E-AD8E-4A6ACA2B82AA}"/>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6'!$B$3:$B$14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6'!$D$3:$D$14</c:f>
              <c:numCache>
                <c:formatCode>0</c:formatCode>
                <c:ptCount val="12"/>
                <c:pt idx="0">
                  <c:v>0.57999999999999996</c:v>
                </c:pt>
                <c:pt idx="1">
                  <c:v>1.25</c:v>
                </c:pt>
                <c:pt idx="2">
                  <c:v>3.33</c:v>
                </c:pt>
                <c:pt idx="3">
                  <c:v>3</c:v>
                </c:pt>
                <c:pt idx="4">
                  <c:v>7.53</c:v>
                </c:pt>
                <c:pt idx="5">
                  <c:v>9</c:v>
                </c:pt>
                <c:pt idx="6">
                  <c:v>2</c:v>
                </c:pt>
                <c:pt idx="7">
                  <c:v>10</c:v>
                </c:pt>
                <c:pt idx="8">
                  <c:v>4</c:v>
                </c:pt>
                <c:pt idx="9">
                  <c:v>10.66</c:v>
                </c:pt>
                <c:pt idx="10">
                  <c:v>0.57999999999999996</c:v>
                </c:pt>
                <c:pt idx="11">
                  <c:v>1</c:v>
                </c:pt>
              </c:numCache>
            </c:numRef>
          </c:val>
          <c:extLst>
            <c:ext xmlns:c16="http://schemas.microsoft.com/office/drawing/2014/chart" uri="{C3380CC4-5D6E-409C-BE32-E72D297353CC}">
              <c16:uniqueId val="{00000007-0D10-426E-AD8E-4A6ACA2B82AA}"/>
            </c:ext>
          </c:extLst>
        </c:ser>
        <c:ser>
          <c:idx val="0"/>
          <c:order val="1"/>
          <c:tx>
            <c:v>2021</c:v>
          </c:tx>
          <c:spPr>
            <a:solidFill>
              <a:srgbClr val="558ED5"/>
            </a:solidFill>
            <a:ln>
              <a:noFill/>
            </a:ln>
            <a:effectLst>
              <a:outerShdw blurRad="50800" dist="38100" dir="2700000" algn="tl" rotWithShape="0">
                <a:prstClr val="black">
                  <a:alpha val="40000"/>
                </a:prstClr>
              </a:outerShdw>
            </a:effectLst>
          </c:spPr>
          <c:invertIfNegative val="0"/>
          <c:dLbls>
            <c:dLbl>
              <c:idx val="0"/>
              <c:layout>
                <c:manualLayout>
                  <c:x val="4.444444444444403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D10-426E-AD8E-4A6ACA2B82AA}"/>
                </c:ext>
              </c:extLst>
            </c:dLbl>
            <c:dLbl>
              <c:idx val="1"/>
              <c:layout>
                <c:manualLayout>
                  <c:x val="0"/>
                  <c:y val="-6.42570281124498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D10-426E-AD8E-4A6ACA2B82AA}"/>
                </c:ext>
              </c:extLst>
            </c:dLbl>
            <c:dLbl>
              <c:idx val="2"/>
              <c:layout>
                <c:manualLayout>
                  <c:x val="0"/>
                  <c:y val="1.0191078713645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D10-426E-AD8E-4A6ACA2B82AA}"/>
                </c:ext>
              </c:extLst>
            </c:dLbl>
            <c:dLbl>
              <c:idx val="3"/>
              <c:layout>
                <c:manualLayout>
                  <c:x val="0"/>
                  <c:y val="-5.873193561648167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D10-426E-AD8E-4A6ACA2B82AA}"/>
                </c:ext>
              </c:extLst>
            </c:dLbl>
            <c:dLbl>
              <c:idx val="4"/>
              <c:layout>
                <c:manualLayout>
                  <c:x val="-1.6296108042265591E-16"/>
                  <c:y val="5.5250924959669462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D10-426E-AD8E-4A6ACA2B82AA}"/>
                </c:ext>
              </c:extLst>
            </c:dLbl>
            <c:dLbl>
              <c:idx val="5"/>
              <c:layout>
                <c:manualLayout>
                  <c:x val="0"/>
                  <c:y val="-6.42570281124498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D10-426E-AD8E-4A6ACA2B82AA}"/>
                </c:ext>
              </c:extLst>
            </c:dLbl>
            <c:dLbl>
              <c:idx val="6"/>
              <c:layout>
                <c:manualLayout>
                  <c:x val="0"/>
                  <c:y val="-6.42570281124503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D10-426E-AD8E-4A6ACA2B82AA}"/>
                </c:ext>
              </c:extLst>
            </c:dLbl>
            <c:dLbl>
              <c:idx val="7"/>
              <c:layout>
                <c:manualLayout>
                  <c:x val="0"/>
                  <c:y val="-9.63855421686747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D10-426E-AD8E-4A6ACA2B82AA}"/>
                </c:ext>
              </c:extLst>
            </c:dLbl>
            <c:dLbl>
              <c:idx val="9"/>
              <c:layout>
                <c:manualLayout>
                  <c:x val="0"/>
                  <c:y val="-6.42570281124498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D10-426E-AD8E-4A6ACA2B82AA}"/>
                </c:ext>
              </c:extLst>
            </c:dLbl>
            <c:dLbl>
              <c:idx val="11"/>
              <c:layout>
                <c:manualLayout>
                  <c:x val="0"/>
                  <c:y val="-6.425702811244994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D10-426E-AD8E-4A6ACA2B82AA}"/>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6'!$B$3:$B$14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6'!$C$3:$C$14</c:f>
              <c:numCache>
                <c:formatCode>0</c:formatCode>
                <c:ptCount val="12"/>
                <c:pt idx="0">
                  <c:v>1</c:v>
                </c:pt>
                <c:pt idx="1">
                  <c:v>0</c:v>
                </c:pt>
                <c:pt idx="2">
                  <c:v>6</c:v>
                </c:pt>
                <c:pt idx="3">
                  <c:v>2</c:v>
                </c:pt>
                <c:pt idx="4">
                  <c:v>18</c:v>
                </c:pt>
                <c:pt idx="5">
                  <c:v>3</c:v>
                </c:pt>
                <c:pt idx="6">
                  <c:v>1</c:v>
                </c:pt>
                <c:pt idx="7">
                  <c:v>8</c:v>
                </c:pt>
                <c:pt idx="8">
                  <c:v>6</c:v>
                </c:pt>
                <c:pt idx="9">
                  <c:v>5</c:v>
                </c:pt>
                <c:pt idx="10">
                  <c:v>4</c:v>
                </c:pt>
                <c:pt idx="11">
                  <c:v>1</c:v>
                </c:pt>
              </c:numCache>
            </c:numRef>
          </c:val>
          <c:extLst>
            <c:ext xmlns:c16="http://schemas.microsoft.com/office/drawing/2014/chart" uri="{C3380CC4-5D6E-409C-BE32-E72D297353CC}">
              <c16:uniqueId val="{00000012-0D10-426E-AD8E-4A6ACA2B82AA}"/>
            </c:ext>
          </c:extLst>
        </c:ser>
        <c:dLbls>
          <c:dLblPos val="outEnd"/>
          <c:showLegendKey val="0"/>
          <c:showVal val="1"/>
          <c:showCatName val="0"/>
          <c:showSerName val="0"/>
          <c:showPercent val="0"/>
          <c:showBubbleSize val="0"/>
        </c:dLbls>
        <c:gapWidth val="100"/>
        <c:axId val="106679712"/>
        <c:axId val="106680128"/>
      </c:barChart>
      <c:catAx>
        <c:axId val="106679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06680128"/>
        <c:crosses val="autoZero"/>
        <c:auto val="1"/>
        <c:lblAlgn val="ctr"/>
        <c:lblOffset val="100"/>
        <c:noMultiLvlLbl val="0"/>
      </c:catAx>
      <c:valAx>
        <c:axId val="106680128"/>
        <c:scaling>
          <c:orientation val="minMax"/>
        </c:scaling>
        <c:delete val="1"/>
        <c:axPos val="b"/>
        <c:numFmt formatCode="0" sourceLinked="1"/>
        <c:majorTickMark val="none"/>
        <c:minorTickMark val="none"/>
        <c:tickLblPos val="nextTo"/>
        <c:crossAx val="106679712"/>
        <c:crosses val="autoZero"/>
        <c:crossBetween val="between"/>
      </c:valAx>
      <c:spPr>
        <a:noFill/>
        <a:ln>
          <a:noFill/>
        </a:ln>
        <a:effectLst/>
      </c:spPr>
    </c:plotArea>
    <c:legend>
      <c:legendPos val="b"/>
      <c:layout>
        <c:manualLayout>
          <c:xMode val="edge"/>
          <c:yMode val="edge"/>
          <c:x val="0.41411752920197953"/>
          <c:y val="0.90870451863335766"/>
          <c:w val="0.18957664643064656"/>
          <c:h val="7.09133239393520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4"/>
              <c:layout>
                <c:manualLayout>
                  <c:x val="8.5744908896033516E-3"/>
                  <c:y val="2.482929857231533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F58-41F5-A8DC-4BCE96D58CCE}"/>
                </c:ext>
              </c:extLst>
            </c:dLbl>
            <c:dLbl>
              <c:idx val="5"/>
              <c:layout>
                <c:manualLayout>
                  <c:x val="-3.9299295921862357E-17"/>
                  <c:y val="1.309501116829670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F58-41F5-A8DC-4BCE96D58CCE}"/>
                </c:ext>
              </c:extLst>
            </c:dLbl>
            <c:dLbl>
              <c:idx val="6"/>
              <c:layout>
                <c:manualLayout>
                  <c:x val="-4.2872454448017148E-3"/>
                  <c:y val="4.96585971446297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F58-41F5-A8DC-4BCE96D58CCE}"/>
                </c:ext>
              </c:extLst>
            </c:dLbl>
            <c:dLbl>
              <c:idx val="7"/>
              <c:layout>
                <c:manualLayout>
                  <c:x val="8.0174865601606875E-4"/>
                  <c:y val="6.5475055841483505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F58-41F5-A8DC-4BCE96D58CCE}"/>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7'!$B$3:$B$14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7'!$D$3:$D$14</c:f>
              <c:numCache>
                <c:formatCode>0</c:formatCode>
                <c:ptCount val="12"/>
                <c:pt idx="0">
                  <c:v>0</c:v>
                </c:pt>
                <c:pt idx="1">
                  <c:v>8.83</c:v>
                </c:pt>
                <c:pt idx="2">
                  <c:v>1112.5</c:v>
                </c:pt>
                <c:pt idx="3">
                  <c:v>1182.4100000000001</c:v>
                </c:pt>
                <c:pt idx="4">
                  <c:v>830.75</c:v>
                </c:pt>
                <c:pt idx="5">
                  <c:v>315</c:v>
                </c:pt>
                <c:pt idx="6">
                  <c:v>630</c:v>
                </c:pt>
                <c:pt idx="7">
                  <c:v>12</c:v>
                </c:pt>
                <c:pt idx="8">
                  <c:v>532</c:v>
                </c:pt>
                <c:pt idx="9">
                  <c:v>11.75</c:v>
                </c:pt>
                <c:pt idx="10">
                  <c:v>0</c:v>
                </c:pt>
                <c:pt idx="11">
                  <c:v>0</c:v>
                </c:pt>
              </c:numCache>
            </c:numRef>
          </c:val>
          <c:extLst>
            <c:ext xmlns:c16="http://schemas.microsoft.com/office/drawing/2014/chart" uri="{C3380CC4-5D6E-409C-BE32-E72D297353CC}">
              <c16:uniqueId val="{00000004-AF58-41F5-A8DC-4BCE96D58CCE}"/>
            </c:ext>
          </c:extLst>
        </c:ser>
        <c:ser>
          <c:idx val="1"/>
          <c:order val="1"/>
          <c:tx>
            <c:v>2021</c:v>
          </c:tx>
          <c:spPr>
            <a:solidFill>
              <a:srgbClr val="558ED5"/>
            </a:solidFill>
            <a:ln>
              <a:noFill/>
            </a:ln>
            <a:effectLst>
              <a:outerShdw blurRad="50800" dist="38100" dir="2700000" algn="tl" rotWithShape="0">
                <a:prstClr val="black">
                  <a:alpha val="40000"/>
                </a:prstClr>
              </a:outerShdw>
            </a:effectLst>
          </c:spPr>
          <c:invertIfNegative val="0"/>
          <c:dLbls>
            <c:dLbl>
              <c:idx val="0"/>
              <c:layout>
                <c:manualLayout>
                  <c:x val="0"/>
                  <c:y val="-4.965859714463066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F58-41F5-A8DC-4BCE96D58CCE}"/>
                </c:ext>
              </c:extLst>
            </c:dLbl>
            <c:dLbl>
              <c:idx val="1"/>
              <c:layout>
                <c:manualLayout>
                  <c:x val="0"/>
                  <c:y val="-7.448789571694599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F58-41F5-A8DC-4BCE96D58CCE}"/>
                </c:ext>
              </c:extLst>
            </c:dLbl>
            <c:dLbl>
              <c:idx val="2"/>
              <c:layout>
                <c:manualLayout>
                  <c:x val="0"/>
                  <c:y val="-4.706422870325657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F58-41F5-A8DC-4BCE96D58CCE}"/>
                </c:ext>
              </c:extLst>
            </c:dLbl>
            <c:dLbl>
              <c:idx val="3"/>
              <c:layout>
                <c:manualLayout>
                  <c:x val="-2.1436227224008574E-3"/>
                  <c:y val="-2.223493013094033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F58-41F5-A8DC-4BCE96D58CCE}"/>
                </c:ext>
              </c:extLst>
            </c:dLbl>
            <c:dLbl>
              <c:idx val="4"/>
              <c:layout>
                <c:manualLayout>
                  <c:x val="-7.8598591843724714E-17"/>
                  <c:y val="-9.672282584788723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F58-41F5-A8DC-4BCE96D58CCE}"/>
                </c:ext>
              </c:extLst>
            </c:dLbl>
            <c:dLbl>
              <c:idx val="5"/>
              <c:layout>
                <c:manualLayout>
                  <c:x val="2.143622722400818E-3"/>
                  <c:y val="-2.482929857231624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F58-41F5-A8DC-4BCE96D58CCE}"/>
                </c:ext>
              </c:extLst>
            </c:dLbl>
            <c:dLbl>
              <c:idx val="7"/>
              <c:layout>
                <c:manualLayout>
                  <c:x val="0"/>
                  <c:y val="-7.448789571694599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F58-41F5-A8DC-4BCE96D58CCE}"/>
                </c:ext>
              </c:extLst>
            </c:dLbl>
            <c:dLbl>
              <c:idx val="8"/>
              <c:layout>
                <c:manualLayout>
                  <c:x val="0"/>
                  <c:y val="-7.448789571694599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F58-41F5-A8DC-4BCE96D58CCE}"/>
                </c:ext>
              </c:extLst>
            </c:dLbl>
            <c:dLbl>
              <c:idx val="10"/>
              <c:layout>
                <c:manualLayout>
                  <c:x val="-6.4308681672025723E-3"/>
                  <c:y val="-2.482929857231533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F58-41F5-A8DC-4BCE96D58CCE}"/>
                </c:ext>
              </c:extLst>
            </c:dLbl>
            <c:dLbl>
              <c:idx val="11"/>
              <c:layout>
                <c:manualLayout>
                  <c:x val="0"/>
                  <c:y val="-7.448789571694599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F58-41F5-A8DC-4BCE96D58CCE}"/>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7'!$B$3:$B$14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7'!$C$3:$C$14</c:f>
              <c:numCache>
                <c:formatCode>General</c:formatCode>
                <c:ptCount val="12"/>
                <c:pt idx="0">
                  <c:v>0</c:v>
                </c:pt>
                <c:pt idx="1">
                  <c:v>10</c:v>
                </c:pt>
                <c:pt idx="2">
                  <c:v>1088</c:v>
                </c:pt>
                <c:pt idx="3">
                  <c:v>893</c:v>
                </c:pt>
                <c:pt idx="4">
                  <c:v>844</c:v>
                </c:pt>
                <c:pt idx="5">
                  <c:v>45</c:v>
                </c:pt>
                <c:pt idx="6">
                  <c:v>659</c:v>
                </c:pt>
                <c:pt idx="7">
                  <c:v>12</c:v>
                </c:pt>
                <c:pt idx="8">
                  <c:v>533</c:v>
                </c:pt>
                <c:pt idx="9">
                  <c:v>11</c:v>
                </c:pt>
                <c:pt idx="10">
                  <c:v>39</c:v>
                </c:pt>
                <c:pt idx="11">
                  <c:v>0</c:v>
                </c:pt>
              </c:numCache>
            </c:numRef>
          </c:val>
          <c:extLst>
            <c:ext xmlns:c16="http://schemas.microsoft.com/office/drawing/2014/chart" uri="{C3380CC4-5D6E-409C-BE32-E72D297353CC}">
              <c16:uniqueId val="{0000000F-AF58-41F5-A8DC-4BCE96D58CCE}"/>
            </c:ext>
          </c:extLst>
        </c:ser>
        <c:dLbls>
          <c:dLblPos val="outEnd"/>
          <c:showLegendKey val="0"/>
          <c:showVal val="1"/>
          <c:showCatName val="0"/>
          <c:showSerName val="0"/>
          <c:showPercent val="0"/>
          <c:showBubbleSize val="0"/>
        </c:dLbls>
        <c:gapWidth val="170"/>
        <c:overlap val="-20"/>
        <c:axId val="106679712"/>
        <c:axId val="106680128"/>
      </c:barChart>
      <c:catAx>
        <c:axId val="106679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06680128"/>
        <c:crosses val="autoZero"/>
        <c:auto val="1"/>
        <c:lblAlgn val="ctr"/>
        <c:lblOffset val="100"/>
        <c:noMultiLvlLbl val="0"/>
      </c:catAx>
      <c:valAx>
        <c:axId val="106680128"/>
        <c:scaling>
          <c:orientation val="minMax"/>
        </c:scaling>
        <c:delete val="1"/>
        <c:axPos val="b"/>
        <c:numFmt formatCode="0" sourceLinked="1"/>
        <c:majorTickMark val="none"/>
        <c:minorTickMark val="none"/>
        <c:tickLblPos val="nextTo"/>
        <c:crossAx val="106679712"/>
        <c:crosses val="autoZero"/>
        <c:crossBetween val="between"/>
      </c:valAx>
      <c:spPr>
        <a:noFill/>
        <a:ln>
          <a:noFill/>
        </a:ln>
        <a:effectLst/>
      </c:spPr>
    </c:plotArea>
    <c:legend>
      <c:legendPos val="b"/>
      <c:layout>
        <c:manualLayout>
          <c:xMode val="edge"/>
          <c:yMode val="edge"/>
          <c:x val="0.41411752920197953"/>
          <c:y val="0.90870451863335766"/>
          <c:w val="0.18957664643064656"/>
          <c:h val="7.09133239393520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2"/>
              <c:layout>
                <c:manualLayout>
                  <c:x val="6.4308681672025723E-3"/>
                  <c:y val="9.103970973332732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6D4-445F-A228-4F58F1506F3A}"/>
                </c:ext>
              </c:extLst>
            </c:dLbl>
            <c:dLbl>
              <c:idx val="5"/>
              <c:layout>
                <c:manualLayout>
                  <c:x val="8.5744908896034297E-3"/>
                  <c:y val="-1.173428740401863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6D4-445F-A228-4F58F1506F3A}"/>
                </c:ext>
              </c:extLst>
            </c:dLbl>
            <c:dLbl>
              <c:idx val="6"/>
              <c:layout>
                <c:manualLayout>
                  <c:x val="8.5744908896034297E-3"/>
                  <c:y val="4.965859714463066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6D4-445F-A228-4F58F1506F3A}"/>
                </c:ext>
              </c:extLst>
            </c:dLbl>
            <c:dLbl>
              <c:idx val="7"/>
              <c:layout>
                <c:manualLayout>
                  <c:x val="-1.3418740663847888E-3"/>
                  <c:y val="5.620610272877901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6D4-445F-A228-4F58F1506F3A}"/>
                </c:ext>
              </c:extLst>
            </c:dLbl>
            <c:dLbl>
              <c:idx val="8"/>
              <c:layout>
                <c:manualLayout>
                  <c:x val="0"/>
                  <c:y val="4.965859714463112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6D4-445F-A228-4F58F1506F3A}"/>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8'!$B$3:$B$14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8'!$D$3:$D$14</c:f>
              <c:numCache>
                <c:formatCode>0</c:formatCode>
                <c:ptCount val="12"/>
                <c:pt idx="0">
                  <c:v>3.75</c:v>
                </c:pt>
                <c:pt idx="1">
                  <c:v>17.91</c:v>
                </c:pt>
                <c:pt idx="2">
                  <c:v>25.66</c:v>
                </c:pt>
                <c:pt idx="3">
                  <c:v>39</c:v>
                </c:pt>
                <c:pt idx="4">
                  <c:v>1128.58</c:v>
                </c:pt>
                <c:pt idx="5">
                  <c:v>15</c:v>
                </c:pt>
                <c:pt idx="6">
                  <c:v>17</c:v>
                </c:pt>
                <c:pt idx="7">
                  <c:v>35</c:v>
                </c:pt>
                <c:pt idx="8">
                  <c:v>30</c:v>
                </c:pt>
                <c:pt idx="9">
                  <c:v>31.25</c:v>
                </c:pt>
                <c:pt idx="10">
                  <c:v>3.75</c:v>
                </c:pt>
                <c:pt idx="11">
                  <c:v>17</c:v>
                </c:pt>
              </c:numCache>
            </c:numRef>
          </c:val>
          <c:extLst>
            <c:ext xmlns:c16="http://schemas.microsoft.com/office/drawing/2014/chart" uri="{C3380CC4-5D6E-409C-BE32-E72D297353CC}">
              <c16:uniqueId val="{00000005-96D4-445F-A228-4F58F1506F3A}"/>
            </c:ext>
          </c:extLst>
        </c:ser>
        <c:ser>
          <c:idx val="0"/>
          <c:order val="1"/>
          <c:tx>
            <c:v>2021</c:v>
          </c:tx>
          <c:spPr>
            <a:solidFill>
              <a:srgbClr val="558ED5"/>
            </a:solidFill>
            <a:ln>
              <a:noFill/>
            </a:ln>
            <a:effectLst>
              <a:outerShdw blurRad="50800" dist="38100" dir="2700000" algn="tl" rotWithShape="0">
                <a:prstClr val="black">
                  <a:alpha val="40000"/>
                </a:prstClr>
              </a:outerShdw>
            </a:effectLst>
          </c:spPr>
          <c:invertIfNegative val="0"/>
          <c:dLbls>
            <c:dLbl>
              <c:idx val="0"/>
              <c:layout>
                <c:manualLayout>
                  <c:x val="-3.9299295921862357E-17"/>
                  <c:y val="-4.965859714463066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6D4-445F-A228-4F58F1506F3A}"/>
                </c:ext>
              </c:extLst>
            </c:dLbl>
            <c:dLbl>
              <c:idx val="1"/>
              <c:layout>
                <c:manualLayout>
                  <c:x val="4.2872454448016758E-3"/>
                  <c:y val="-7.448789571694599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6D4-445F-A228-4F58F1506F3A}"/>
                </c:ext>
              </c:extLst>
            </c:dLbl>
            <c:dLbl>
              <c:idx val="2"/>
              <c:layout>
                <c:manualLayout>
                  <c:x val="0"/>
                  <c:y val="-4.706422870325657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6D4-445F-A228-4F58F1506F3A}"/>
                </c:ext>
              </c:extLst>
            </c:dLbl>
            <c:dLbl>
              <c:idx val="3"/>
              <c:layout>
                <c:manualLayout>
                  <c:x val="4.2872454448017148E-3"/>
                  <c:y val="-2.22349301309394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6D4-445F-A228-4F58F1506F3A}"/>
                </c:ext>
              </c:extLst>
            </c:dLbl>
            <c:dLbl>
              <c:idx val="4"/>
              <c:layout>
                <c:manualLayout>
                  <c:x val="-1.5719718368744943E-16"/>
                  <c:y val="-1.21552124420202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6D4-445F-A228-4F58F1506F3A}"/>
                </c:ext>
              </c:extLst>
            </c:dLbl>
            <c:dLbl>
              <c:idx val="5"/>
              <c:layout>
                <c:manualLayout>
                  <c:x val="1.5005359056806002E-2"/>
                  <c:y val="-9.931719428926132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6D4-445F-A228-4F58F1506F3A}"/>
                </c:ext>
              </c:extLst>
            </c:dLbl>
            <c:dLbl>
              <c:idx val="6"/>
              <c:layout>
                <c:manualLayout>
                  <c:x val="8.5744908896034297E-3"/>
                  <c:y val="-7.448789571694599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6D4-445F-A228-4F58F1506F3A}"/>
                </c:ext>
              </c:extLst>
            </c:dLbl>
            <c:dLbl>
              <c:idx val="7"/>
              <c:layout>
                <c:manualLayout>
                  <c:x val="6.4308681672025723E-3"/>
                  <c:y val="-4.965859714463021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6D4-445F-A228-4F58F1506F3A}"/>
                </c:ext>
              </c:extLst>
            </c:dLbl>
            <c:dLbl>
              <c:idx val="8"/>
              <c:layout>
                <c:manualLayout>
                  <c:x val="-6.4308681672025723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6D4-445F-A228-4F58F1506F3A}"/>
                </c:ext>
              </c:extLst>
            </c:dLbl>
            <c:dLbl>
              <c:idx val="9"/>
              <c:layout>
                <c:manualLayout>
                  <c:x val="2.1436227224008574E-3"/>
                  <c:y val="-4.965859714463066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6D4-445F-A228-4F58F1506F3A}"/>
                </c:ext>
              </c:extLst>
            </c:dLbl>
            <c:dLbl>
              <c:idx val="10"/>
              <c:layout>
                <c:manualLayout>
                  <c:x val="4.2872454448016758E-3"/>
                  <c:y val="-2.482929857231533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6D4-445F-A228-4F58F1506F3A}"/>
                </c:ext>
              </c:extLst>
            </c:dLbl>
            <c:dLbl>
              <c:idx val="11"/>
              <c:layout>
                <c:manualLayout>
                  <c:x val="0"/>
                  <c:y val="-4.965859714463066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6D4-445F-A228-4F58F1506F3A}"/>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8'!$B$3:$B$14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8'!$C$3:$C$14</c:f>
              <c:numCache>
                <c:formatCode>0</c:formatCode>
                <c:ptCount val="12"/>
                <c:pt idx="0">
                  <c:v>5</c:v>
                </c:pt>
                <c:pt idx="1">
                  <c:v>16</c:v>
                </c:pt>
                <c:pt idx="2">
                  <c:v>37</c:v>
                </c:pt>
                <c:pt idx="3">
                  <c:v>32</c:v>
                </c:pt>
                <c:pt idx="4">
                  <c:v>1114</c:v>
                </c:pt>
                <c:pt idx="5">
                  <c:v>12</c:v>
                </c:pt>
                <c:pt idx="6">
                  <c:v>23</c:v>
                </c:pt>
                <c:pt idx="7">
                  <c:v>26</c:v>
                </c:pt>
                <c:pt idx="8">
                  <c:v>41</c:v>
                </c:pt>
                <c:pt idx="9">
                  <c:v>25</c:v>
                </c:pt>
                <c:pt idx="10">
                  <c:v>10</c:v>
                </c:pt>
                <c:pt idx="11">
                  <c:v>21</c:v>
                </c:pt>
              </c:numCache>
            </c:numRef>
          </c:val>
          <c:extLst>
            <c:ext xmlns:c16="http://schemas.microsoft.com/office/drawing/2014/chart" uri="{C3380CC4-5D6E-409C-BE32-E72D297353CC}">
              <c16:uniqueId val="{00000012-96D4-445F-A228-4F58F1506F3A}"/>
            </c:ext>
          </c:extLst>
        </c:ser>
        <c:dLbls>
          <c:dLblPos val="outEnd"/>
          <c:showLegendKey val="0"/>
          <c:showVal val="1"/>
          <c:showCatName val="0"/>
          <c:showSerName val="0"/>
          <c:showPercent val="0"/>
          <c:showBubbleSize val="0"/>
        </c:dLbls>
        <c:gapWidth val="170"/>
        <c:overlap val="-20"/>
        <c:axId val="106679712"/>
        <c:axId val="106680128"/>
      </c:barChart>
      <c:catAx>
        <c:axId val="106679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06680128"/>
        <c:crosses val="autoZero"/>
        <c:auto val="1"/>
        <c:lblAlgn val="ctr"/>
        <c:lblOffset val="100"/>
        <c:noMultiLvlLbl val="0"/>
      </c:catAx>
      <c:valAx>
        <c:axId val="106680128"/>
        <c:scaling>
          <c:orientation val="minMax"/>
        </c:scaling>
        <c:delete val="1"/>
        <c:axPos val="b"/>
        <c:numFmt formatCode="0" sourceLinked="1"/>
        <c:majorTickMark val="none"/>
        <c:minorTickMark val="none"/>
        <c:tickLblPos val="nextTo"/>
        <c:crossAx val="106679712"/>
        <c:crosses val="autoZero"/>
        <c:crossBetween val="between"/>
      </c:valAx>
      <c:spPr>
        <a:noFill/>
        <a:ln>
          <a:noFill/>
        </a:ln>
        <a:effectLst/>
      </c:spPr>
    </c:plotArea>
    <c:legend>
      <c:legendPos val="b"/>
      <c:layout>
        <c:manualLayout>
          <c:xMode val="edge"/>
          <c:yMode val="edge"/>
          <c:x val="0.41411752920197953"/>
          <c:y val="0.90870451863335766"/>
          <c:w val="0.18957664643064656"/>
          <c:h val="7.09133239393520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v>2022</c:v>
          </c:tx>
          <c:spPr>
            <a:solidFill>
              <a:srgbClr val="99FF66"/>
            </a:solidFill>
            <a:ln>
              <a:noFill/>
            </a:ln>
            <a:effectLst>
              <a:outerShdw blurRad="50800" dist="38100" dir="2700000" algn="tl" rotWithShape="0">
                <a:prstClr val="black">
                  <a:alpha val="40000"/>
                </a:prstClr>
              </a:outerShdw>
            </a:effectLst>
          </c:spPr>
          <c:invertIfNegative val="0"/>
          <c:dLbls>
            <c:dLbl>
              <c:idx val="5"/>
              <c:layout>
                <c:manualLayout>
                  <c:x val="0"/>
                  <c:y val="-1.173428740401863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D90-4DAE-9F46-EEE836BFA33F}"/>
                </c:ext>
              </c:extLst>
            </c:dLbl>
            <c:dLbl>
              <c:idx val="7"/>
              <c:layout>
                <c:manualLayout>
                  <c:x val="5.0890585241730284E-3"/>
                  <c:y val="-6.794052475763421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D90-4DAE-9F46-EEE836BFA33F}"/>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9'!$B$3:$B$14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9'!$D$3:$D$14</c:f>
              <c:numCache>
                <c:formatCode>0</c:formatCode>
                <c:ptCount val="12"/>
                <c:pt idx="0">
                  <c:v>0.37</c:v>
                </c:pt>
                <c:pt idx="1">
                  <c:v>1.29</c:v>
                </c:pt>
                <c:pt idx="2">
                  <c:v>1.45</c:v>
                </c:pt>
                <c:pt idx="3">
                  <c:v>6</c:v>
                </c:pt>
                <c:pt idx="4">
                  <c:v>0.28999999999999998</c:v>
                </c:pt>
                <c:pt idx="5">
                  <c:v>1</c:v>
                </c:pt>
                <c:pt idx="6">
                  <c:v>1</c:v>
                </c:pt>
                <c:pt idx="7">
                  <c:v>1</c:v>
                </c:pt>
                <c:pt idx="8">
                  <c:v>0</c:v>
                </c:pt>
                <c:pt idx="9">
                  <c:v>1.41</c:v>
                </c:pt>
                <c:pt idx="10">
                  <c:v>0.375</c:v>
                </c:pt>
                <c:pt idx="11">
                  <c:v>1</c:v>
                </c:pt>
              </c:numCache>
            </c:numRef>
          </c:val>
          <c:extLst>
            <c:ext xmlns:c16="http://schemas.microsoft.com/office/drawing/2014/chart" uri="{C3380CC4-5D6E-409C-BE32-E72D297353CC}">
              <c16:uniqueId val="{00000002-7D90-4DAE-9F46-EEE836BFA33F}"/>
            </c:ext>
          </c:extLst>
        </c:ser>
        <c:ser>
          <c:idx val="1"/>
          <c:order val="1"/>
          <c:tx>
            <c:v>2021</c:v>
          </c:tx>
          <c:spPr>
            <a:solidFill>
              <a:srgbClr val="558ED5"/>
            </a:solidFill>
            <a:ln>
              <a:noFill/>
            </a:ln>
            <a:effectLst>
              <a:outerShdw blurRad="50800" dist="38100" dir="2700000" algn="tl" rotWithShape="0">
                <a:prstClr val="black">
                  <a:alpha val="40000"/>
                </a:prstClr>
              </a:outerShdw>
            </a:effectLst>
          </c:spPr>
          <c:invertIfNegative val="0"/>
          <c:dLbls>
            <c:dLbl>
              <c:idx val="2"/>
              <c:layout>
                <c:manualLayout>
                  <c:x val="0"/>
                  <c:y val="2.742366701369032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D90-4DAE-9F46-EEE836BFA33F}"/>
                </c:ext>
              </c:extLst>
            </c:dLbl>
            <c:dLbl>
              <c:idx val="3"/>
              <c:layout>
                <c:manualLayout>
                  <c:x val="2.1436227224008574E-3"/>
                  <c:y val="-2.223493013094033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D90-4DAE-9F46-EEE836BFA33F}"/>
                </c:ext>
              </c:extLst>
            </c:dLbl>
            <c:dLbl>
              <c:idx val="4"/>
              <c:layout>
                <c:manualLayout>
                  <c:x val="7.8598591843724714E-17"/>
                  <c:y val="-4.706422870325566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D90-4DAE-9F46-EEE836BFA33F}"/>
                </c:ext>
              </c:extLst>
            </c:dLbl>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9'!$B$3:$B$14</c:f>
              <c:strCache>
                <c:ptCount val="12"/>
                <c:pt idx="0">
                  <c:v>Goicoechea</c:v>
                </c:pt>
                <c:pt idx="1">
                  <c:v>Puntarenas</c:v>
                </c:pt>
                <c:pt idx="2">
                  <c:v>San Carlos</c:v>
                </c:pt>
                <c:pt idx="3">
                  <c:v>San Ramón</c:v>
                </c:pt>
                <c:pt idx="4">
                  <c:v>Santa Cruz</c:v>
                </c:pt>
                <c:pt idx="5">
                  <c:v>Corredores</c:v>
                </c:pt>
                <c:pt idx="6">
                  <c:v>Limón</c:v>
                </c:pt>
                <c:pt idx="7">
                  <c:v>Pérez Zeledón</c:v>
                </c:pt>
                <c:pt idx="8">
                  <c:v>Cartago</c:v>
                </c:pt>
                <c:pt idx="9">
                  <c:v>Liberia</c:v>
                </c:pt>
                <c:pt idx="10">
                  <c:v>Pococí</c:v>
                </c:pt>
                <c:pt idx="11">
                  <c:v>Alajuela</c:v>
                </c:pt>
              </c:strCache>
            </c:strRef>
          </c:cat>
          <c:val>
            <c:numRef>
              <c:f>'Gráfico 9'!$C$3:$C$14</c:f>
              <c:numCache>
                <c:formatCode>0</c:formatCode>
                <c:ptCount val="12"/>
                <c:pt idx="0">
                  <c:v>1</c:v>
                </c:pt>
                <c:pt idx="1">
                  <c:v>2</c:v>
                </c:pt>
                <c:pt idx="2">
                  <c:v>1</c:v>
                </c:pt>
                <c:pt idx="3">
                  <c:v>8</c:v>
                </c:pt>
                <c:pt idx="4">
                  <c:v>1</c:v>
                </c:pt>
                <c:pt idx="5">
                  <c:v>1</c:v>
                </c:pt>
                <c:pt idx="6">
                  <c:v>4</c:v>
                </c:pt>
                <c:pt idx="7">
                  <c:v>4</c:v>
                </c:pt>
                <c:pt idx="8">
                  <c:v>0</c:v>
                </c:pt>
                <c:pt idx="9">
                  <c:v>2</c:v>
                </c:pt>
                <c:pt idx="10">
                  <c:v>2</c:v>
                </c:pt>
                <c:pt idx="11">
                  <c:v>0</c:v>
                </c:pt>
              </c:numCache>
            </c:numRef>
          </c:val>
          <c:extLst>
            <c:ext xmlns:c16="http://schemas.microsoft.com/office/drawing/2014/chart" uri="{C3380CC4-5D6E-409C-BE32-E72D297353CC}">
              <c16:uniqueId val="{00000006-7D90-4DAE-9F46-EEE836BFA33F}"/>
            </c:ext>
          </c:extLst>
        </c:ser>
        <c:dLbls>
          <c:dLblPos val="outEnd"/>
          <c:showLegendKey val="0"/>
          <c:showVal val="1"/>
          <c:showCatName val="0"/>
          <c:showSerName val="0"/>
          <c:showPercent val="0"/>
          <c:showBubbleSize val="0"/>
        </c:dLbls>
        <c:gapWidth val="170"/>
        <c:overlap val="-20"/>
        <c:axId val="106679712"/>
        <c:axId val="106680128"/>
      </c:barChart>
      <c:catAx>
        <c:axId val="106679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crossAx val="106680128"/>
        <c:crosses val="autoZero"/>
        <c:auto val="1"/>
        <c:lblAlgn val="ctr"/>
        <c:lblOffset val="100"/>
        <c:noMultiLvlLbl val="0"/>
      </c:catAx>
      <c:valAx>
        <c:axId val="106680128"/>
        <c:scaling>
          <c:orientation val="minMax"/>
        </c:scaling>
        <c:delete val="1"/>
        <c:axPos val="b"/>
        <c:numFmt formatCode="0" sourceLinked="1"/>
        <c:majorTickMark val="none"/>
        <c:minorTickMark val="none"/>
        <c:tickLblPos val="nextTo"/>
        <c:crossAx val="106679712"/>
        <c:crosses val="autoZero"/>
        <c:crossBetween val="between"/>
      </c:valAx>
      <c:spPr>
        <a:noFill/>
        <a:ln>
          <a:noFill/>
        </a:ln>
        <a:effectLst/>
      </c:spPr>
    </c:plotArea>
    <c:legend>
      <c:legendPos val="b"/>
      <c:layout>
        <c:manualLayout>
          <c:xMode val="edge"/>
          <c:yMode val="edge"/>
          <c:x val="0.41411752920197953"/>
          <c:y val="0.90870451863335766"/>
          <c:w val="0.18957664643064656"/>
          <c:h val="7.09133239393520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7.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f11f53c3-5b6d-41fa-a99a-ead51ea5b11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F9932EC6A1EDE845860F12B736444434" ma:contentTypeVersion="16" ma:contentTypeDescription="Crear nuevo documento." ma:contentTypeScope="" ma:versionID="921494e895d5a78da1d962cbe1ffef83">
  <xsd:schema xmlns:xsd="http://www.w3.org/2001/XMLSchema" xmlns:xs="http://www.w3.org/2001/XMLSchema" xmlns:p="http://schemas.microsoft.com/office/2006/metadata/properties" xmlns:ns3="391a5545-3ce3-4bc6-af10-630a214d0989" xmlns:ns4="f11f53c3-5b6d-41fa-a99a-ead51ea5b11c" targetNamespace="http://schemas.microsoft.com/office/2006/metadata/properties" ma:root="true" ma:fieldsID="3f80f2693836e0290804611262312aaa" ns3:_="" ns4:_="">
    <xsd:import namespace="391a5545-3ce3-4bc6-af10-630a214d0989"/>
    <xsd:import namespace="f11f53c3-5b6d-41fa-a99a-ead51ea5b11c"/>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EventHashCode" minOccurs="0"/>
                <xsd:element ref="ns4:MediaServiceGenerationTime" minOccurs="0"/>
                <xsd:element ref="ns4:MediaServiceDateTaken" minOccurs="0"/>
                <xsd:element ref="ns4:MediaServiceAutoTags" minOccurs="0"/>
                <xsd:element ref="ns4:MediaServiceOCR" minOccurs="0"/>
                <xsd:element ref="ns4:MediaServiceLocation" minOccurs="0"/>
                <xsd:element ref="ns4:MediaServiceAutoKeyPoints" minOccurs="0"/>
                <xsd:element ref="ns4:MediaServiceKeyPoints" minOccurs="0"/>
                <xsd:element ref="ns4:MediaLengthInSeconds" minOccurs="0"/>
                <xsd:element ref="ns4:MediaServiceSearchProperties"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1a5545-3ce3-4bc6-af10-630a214d0989" elementFormDefault="qualified">
    <xsd:import namespace="http://schemas.microsoft.com/office/2006/documentManagement/types"/>
    <xsd:import namespace="http://schemas.microsoft.com/office/infopath/2007/PartnerControls"/>
    <xsd:element name="SharedWithUsers" ma:index="8"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description="" ma:internalName="SharedWithDetails" ma:readOnly="true">
      <xsd:simpleType>
        <xsd:restriction base="dms:Note">
          <xsd:maxLength value="255"/>
        </xsd:restriction>
      </xsd:simpleType>
    </xsd:element>
    <xsd:element name="SharingHintHash" ma:index="10" nillable="true" ma:displayName="Hash de la sugerencia para compartir"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11f53c3-5b6d-41fa-a99a-ead51ea5b11c"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_activity" ma:index="23"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A104C3E-994F-4EBE-A992-4ED97FAA2BC3}">
  <ds:schemaRefs>
    <ds:schemaRef ds:uri="http://schemas.openxmlformats.org/officeDocument/2006/bibliography"/>
  </ds:schemaRefs>
</ds:datastoreItem>
</file>

<file path=customXml/itemProps2.xml><?xml version="1.0" encoding="utf-8"?>
<ds:datastoreItem xmlns:ds="http://schemas.openxmlformats.org/officeDocument/2006/customXml" ds:itemID="{50BD93D1-2600-45E3-97E1-B21D9630C9B7}">
  <ds:schemaRefs>
    <ds:schemaRef ds:uri="http://schemas.microsoft.com/office/2006/metadata/properties"/>
    <ds:schemaRef ds:uri="http://schemas.microsoft.com/office/infopath/2007/PartnerControls"/>
    <ds:schemaRef ds:uri="f11f53c3-5b6d-41fa-a99a-ead51ea5b11c"/>
  </ds:schemaRefs>
</ds:datastoreItem>
</file>

<file path=customXml/itemProps3.xml><?xml version="1.0" encoding="utf-8"?>
<ds:datastoreItem xmlns:ds="http://schemas.openxmlformats.org/officeDocument/2006/customXml" ds:itemID="{BF6B563E-D35B-4548-9D20-B68E8951E5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1a5545-3ce3-4bc6-af10-630a214d0989"/>
    <ds:schemaRef ds:uri="f11f53c3-5b6d-41fa-a99a-ead51ea5b1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BBF07B9-2E71-4E4B-8D07-E483474775D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84</Pages>
  <Words>56095</Words>
  <Characters>308528</Characters>
  <Application>Microsoft Office Word</Application>
  <DocSecurity>0</DocSecurity>
  <Lines>2571</Lines>
  <Paragraphs>727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363896</CharactersWithSpaces>
  <SharedDoc>false</SharedDoc>
  <HLinks>
    <vt:vector size="450" baseType="variant">
      <vt:variant>
        <vt:i4>3342396</vt:i4>
      </vt:variant>
      <vt:variant>
        <vt:i4>462</vt:i4>
      </vt:variant>
      <vt:variant>
        <vt:i4>0</vt:i4>
      </vt:variant>
      <vt:variant>
        <vt:i4>5</vt:i4>
      </vt:variant>
      <vt:variant>
        <vt:lpwstr>http://intranet/gestionhumana/index.php/manual-perfiles</vt:lpwstr>
      </vt:variant>
      <vt:variant>
        <vt:lpwstr/>
      </vt:variant>
      <vt:variant>
        <vt:i4>1441851</vt:i4>
      </vt:variant>
      <vt:variant>
        <vt:i4>434</vt:i4>
      </vt:variant>
      <vt:variant>
        <vt:i4>0</vt:i4>
      </vt:variant>
      <vt:variant>
        <vt:i4>5</vt:i4>
      </vt:variant>
      <vt:variant>
        <vt:lpwstr/>
      </vt:variant>
      <vt:variant>
        <vt:lpwstr>_Toc94015074</vt:lpwstr>
      </vt:variant>
      <vt:variant>
        <vt:i4>1114171</vt:i4>
      </vt:variant>
      <vt:variant>
        <vt:i4>428</vt:i4>
      </vt:variant>
      <vt:variant>
        <vt:i4>0</vt:i4>
      </vt:variant>
      <vt:variant>
        <vt:i4>5</vt:i4>
      </vt:variant>
      <vt:variant>
        <vt:lpwstr/>
      </vt:variant>
      <vt:variant>
        <vt:lpwstr>_Toc94015073</vt:lpwstr>
      </vt:variant>
      <vt:variant>
        <vt:i4>1048635</vt:i4>
      </vt:variant>
      <vt:variant>
        <vt:i4>422</vt:i4>
      </vt:variant>
      <vt:variant>
        <vt:i4>0</vt:i4>
      </vt:variant>
      <vt:variant>
        <vt:i4>5</vt:i4>
      </vt:variant>
      <vt:variant>
        <vt:lpwstr/>
      </vt:variant>
      <vt:variant>
        <vt:lpwstr>_Toc94015072</vt:lpwstr>
      </vt:variant>
      <vt:variant>
        <vt:i4>1245243</vt:i4>
      </vt:variant>
      <vt:variant>
        <vt:i4>416</vt:i4>
      </vt:variant>
      <vt:variant>
        <vt:i4>0</vt:i4>
      </vt:variant>
      <vt:variant>
        <vt:i4>5</vt:i4>
      </vt:variant>
      <vt:variant>
        <vt:lpwstr/>
      </vt:variant>
      <vt:variant>
        <vt:lpwstr>_Toc94015071</vt:lpwstr>
      </vt:variant>
      <vt:variant>
        <vt:i4>1179707</vt:i4>
      </vt:variant>
      <vt:variant>
        <vt:i4>410</vt:i4>
      </vt:variant>
      <vt:variant>
        <vt:i4>0</vt:i4>
      </vt:variant>
      <vt:variant>
        <vt:i4>5</vt:i4>
      </vt:variant>
      <vt:variant>
        <vt:lpwstr/>
      </vt:variant>
      <vt:variant>
        <vt:lpwstr>_Toc94015070</vt:lpwstr>
      </vt:variant>
      <vt:variant>
        <vt:i4>1769530</vt:i4>
      </vt:variant>
      <vt:variant>
        <vt:i4>404</vt:i4>
      </vt:variant>
      <vt:variant>
        <vt:i4>0</vt:i4>
      </vt:variant>
      <vt:variant>
        <vt:i4>5</vt:i4>
      </vt:variant>
      <vt:variant>
        <vt:lpwstr/>
      </vt:variant>
      <vt:variant>
        <vt:lpwstr>_Toc94015069</vt:lpwstr>
      </vt:variant>
      <vt:variant>
        <vt:i4>1703994</vt:i4>
      </vt:variant>
      <vt:variant>
        <vt:i4>398</vt:i4>
      </vt:variant>
      <vt:variant>
        <vt:i4>0</vt:i4>
      </vt:variant>
      <vt:variant>
        <vt:i4>5</vt:i4>
      </vt:variant>
      <vt:variant>
        <vt:lpwstr/>
      </vt:variant>
      <vt:variant>
        <vt:lpwstr>_Toc94015068</vt:lpwstr>
      </vt:variant>
      <vt:variant>
        <vt:i4>1376314</vt:i4>
      </vt:variant>
      <vt:variant>
        <vt:i4>392</vt:i4>
      </vt:variant>
      <vt:variant>
        <vt:i4>0</vt:i4>
      </vt:variant>
      <vt:variant>
        <vt:i4>5</vt:i4>
      </vt:variant>
      <vt:variant>
        <vt:lpwstr/>
      </vt:variant>
      <vt:variant>
        <vt:lpwstr>_Toc94015067</vt:lpwstr>
      </vt:variant>
      <vt:variant>
        <vt:i4>1310778</vt:i4>
      </vt:variant>
      <vt:variant>
        <vt:i4>386</vt:i4>
      </vt:variant>
      <vt:variant>
        <vt:i4>0</vt:i4>
      </vt:variant>
      <vt:variant>
        <vt:i4>5</vt:i4>
      </vt:variant>
      <vt:variant>
        <vt:lpwstr/>
      </vt:variant>
      <vt:variant>
        <vt:lpwstr>_Toc94015066</vt:lpwstr>
      </vt:variant>
      <vt:variant>
        <vt:i4>1507386</vt:i4>
      </vt:variant>
      <vt:variant>
        <vt:i4>380</vt:i4>
      </vt:variant>
      <vt:variant>
        <vt:i4>0</vt:i4>
      </vt:variant>
      <vt:variant>
        <vt:i4>5</vt:i4>
      </vt:variant>
      <vt:variant>
        <vt:lpwstr/>
      </vt:variant>
      <vt:variant>
        <vt:lpwstr>_Toc94015065</vt:lpwstr>
      </vt:variant>
      <vt:variant>
        <vt:i4>1441850</vt:i4>
      </vt:variant>
      <vt:variant>
        <vt:i4>374</vt:i4>
      </vt:variant>
      <vt:variant>
        <vt:i4>0</vt:i4>
      </vt:variant>
      <vt:variant>
        <vt:i4>5</vt:i4>
      </vt:variant>
      <vt:variant>
        <vt:lpwstr/>
      </vt:variant>
      <vt:variant>
        <vt:lpwstr>_Toc94015064</vt:lpwstr>
      </vt:variant>
      <vt:variant>
        <vt:i4>1114170</vt:i4>
      </vt:variant>
      <vt:variant>
        <vt:i4>368</vt:i4>
      </vt:variant>
      <vt:variant>
        <vt:i4>0</vt:i4>
      </vt:variant>
      <vt:variant>
        <vt:i4>5</vt:i4>
      </vt:variant>
      <vt:variant>
        <vt:lpwstr/>
      </vt:variant>
      <vt:variant>
        <vt:lpwstr>_Toc94015063</vt:lpwstr>
      </vt:variant>
      <vt:variant>
        <vt:i4>1048634</vt:i4>
      </vt:variant>
      <vt:variant>
        <vt:i4>362</vt:i4>
      </vt:variant>
      <vt:variant>
        <vt:i4>0</vt:i4>
      </vt:variant>
      <vt:variant>
        <vt:i4>5</vt:i4>
      </vt:variant>
      <vt:variant>
        <vt:lpwstr/>
      </vt:variant>
      <vt:variant>
        <vt:lpwstr>_Toc94015062</vt:lpwstr>
      </vt:variant>
      <vt:variant>
        <vt:i4>1245242</vt:i4>
      </vt:variant>
      <vt:variant>
        <vt:i4>356</vt:i4>
      </vt:variant>
      <vt:variant>
        <vt:i4>0</vt:i4>
      </vt:variant>
      <vt:variant>
        <vt:i4>5</vt:i4>
      </vt:variant>
      <vt:variant>
        <vt:lpwstr/>
      </vt:variant>
      <vt:variant>
        <vt:lpwstr>_Toc94015061</vt:lpwstr>
      </vt:variant>
      <vt:variant>
        <vt:i4>1179706</vt:i4>
      </vt:variant>
      <vt:variant>
        <vt:i4>350</vt:i4>
      </vt:variant>
      <vt:variant>
        <vt:i4>0</vt:i4>
      </vt:variant>
      <vt:variant>
        <vt:i4>5</vt:i4>
      </vt:variant>
      <vt:variant>
        <vt:lpwstr/>
      </vt:variant>
      <vt:variant>
        <vt:lpwstr>_Toc94015060</vt:lpwstr>
      </vt:variant>
      <vt:variant>
        <vt:i4>1769529</vt:i4>
      </vt:variant>
      <vt:variant>
        <vt:i4>344</vt:i4>
      </vt:variant>
      <vt:variant>
        <vt:i4>0</vt:i4>
      </vt:variant>
      <vt:variant>
        <vt:i4>5</vt:i4>
      </vt:variant>
      <vt:variant>
        <vt:lpwstr/>
      </vt:variant>
      <vt:variant>
        <vt:lpwstr>_Toc94015059</vt:lpwstr>
      </vt:variant>
      <vt:variant>
        <vt:i4>1703993</vt:i4>
      </vt:variant>
      <vt:variant>
        <vt:i4>338</vt:i4>
      </vt:variant>
      <vt:variant>
        <vt:i4>0</vt:i4>
      </vt:variant>
      <vt:variant>
        <vt:i4>5</vt:i4>
      </vt:variant>
      <vt:variant>
        <vt:lpwstr/>
      </vt:variant>
      <vt:variant>
        <vt:lpwstr>_Toc94015058</vt:lpwstr>
      </vt:variant>
      <vt:variant>
        <vt:i4>1376313</vt:i4>
      </vt:variant>
      <vt:variant>
        <vt:i4>332</vt:i4>
      </vt:variant>
      <vt:variant>
        <vt:i4>0</vt:i4>
      </vt:variant>
      <vt:variant>
        <vt:i4>5</vt:i4>
      </vt:variant>
      <vt:variant>
        <vt:lpwstr/>
      </vt:variant>
      <vt:variant>
        <vt:lpwstr>_Toc94015057</vt:lpwstr>
      </vt:variant>
      <vt:variant>
        <vt:i4>1310777</vt:i4>
      </vt:variant>
      <vt:variant>
        <vt:i4>326</vt:i4>
      </vt:variant>
      <vt:variant>
        <vt:i4>0</vt:i4>
      </vt:variant>
      <vt:variant>
        <vt:i4>5</vt:i4>
      </vt:variant>
      <vt:variant>
        <vt:lpwstr/>
      </vt:variant>
      <vt:variant>
        <vt:lpwstr>_Toc94015056</vt:lpwstr>
      </vt:variant>
      <vt:variant>
        <vt:i4>1507385</vt:i4>
      </vt:variant>
      <vt:variant>
        <vt:i4>320</vt:i4>
      </vt:variant>
      <vt:variant>
        <vt:i4>0</vt:i4>
      </vt:variant>
      <vt:variant>
        <vt:i4>5</vt:i4>
      </vt:variant>
      <vt:variant>
        <vt:lpwstr/>
      </vt:variant>
      <vt:variant>
        <vt:lpwstr>_Toc94015055</vt:lpwstr>
      </vt:variant>
      <vt:variant>
        <vt:i4>1441849</vt:i4>
      </vt:variant>
      <vt:variant>
        <vt:i4>314</vt:i4>
      </vt:variant>
      <vt:variant>
        <vt:i4>0</vt:i4>
      </vt:variant>
      <vt:variant>
        <vt:i4>5</vt:i4>
      </vt:variant>
      <vt:variant>
        <vt:lpwstr/>
      </vt:variant>
      <vt:variant>
        <vt:lpwstr>_Toc94015054</vt:lpwstr>
      </vt:variant>
      <vt:variant>
        <vt:i4>1114169</vt:i4>
      </vt:variant>
      <vt:variant>
        <vt:i4>308</vt:i4>
      </vt:variant>
      <vt:variant>
        <vt:i4>0</vt:i4>
      </vt:variant>
      <vt:variant>
        <vt:i4>5</vt:i4>
      </vt:variant>
      <vt:variant>
        <vt:lpwstr/>
      </vt:variant>
      <vt:variant>
        <vt:lpwstr>_Toc94015053</vt:lpwstr>
      </vt:variant>
      <vt:variant>
        <vt:i4>1048633</vt:i4>
      </vt:variant>
      <vt:variant>
        <vt:i4>302</vt:i4>
      </vt:variant>
      <vt:variant>
        <vt:i4>0</vt:i4>
      </vt:variant>
      <vt:variant>
        <vt:i4>5</vt:i4>
      </vt:variant>
      <vt:variant>
        <vt:lpwstr/>
      </vt:variant>
      <vt:variant>
        <vt:lpwstr>_Toc94015052</vt:lpwstr>
      </vt:variant>
      <vt:variant>
        <vt:i4>1245241</vt:i4>
      </vt:variant>
      <vt:variant>
        <vt:i4>296</vt:i4>
      </vt:variant>
      <vt:variant>
        <vt:i4>0</vt:i4>
      </vt:variant>
      <vt:variant>
        <vt:i4>5</vt:i4>
      </vt:variant>
      <vt:variant>
        <vt:lpwstr/>
      </vt:variant>
      <vt:variant>
        <vt:lpwstr>_Toc94015051</vt:lpwstr>
      </vt:variant>
      <vt:variant>
        <vt:i4>1179705</vt:i4>
      </vt:variant>
      <vt:variant>
        <vt:i4>290</vt:i4>
      </vt:variant>
      <vt:variant>
        <vt:i4>0</vt:i4>
      </vt:variant>
      <vt:variant>
        <vt:i4>5</vt:i4>
      </vt:variant>
      <vt:variant>
        <vt:lpwstr/>
      </vt:variant>
      <vt:variant>
        <vt:lpwstr>_Toc94015050</vt:lpwstr>
      </vt:variant>
      <vt:variant>
        <vt:i4>1769528</vt:i4>
      </vt:variant>
      <vt:variant>
        <vt:i4>284</vt:i4>
      </vt:variant>
      <vt:variant>
        <vt:i4>0</vt:i4>
      </vt:variant>
      <vt:variant>
        <vt:i4>5</vt:i4>
      </vt:variant>
      <vt:variant>
        <vt:lpwstr/>
      </vt:variant>
      <vt:variant>
        <vt:lpwstr>_Toc94015049</vt:lpwstr>
      </vt:variant>
      <vt:variant>
        <vt:i4>1703992</vt:i4>
      </vt:variant>
      <vt:variant>
        <vt:i4>278</vt:i4>
      </vt:variant>
      <vt:variant>
        <vt:i4>0</vt:i4>
      </vt:variant>
      <vt:variant>
        <vt:i4>5</vt:i4>
      </vt:variant>
      <vt:variant>
        <vt:lpwstr/>
      </vt:variant>
      <vt:variant>
        <vt:lpwstr>_Toc94015048</vt:lpwstr>
      </vt:variant>
      <vt:variant>
        <vt:i4>1376312</vt:i4>
      </vt:variant>
      <vt:variant>
        <vt:i4>272</vt:i4>
      </vt:variant>
      <vt:variant>
        <vt:i4>0</vt:i4>
      </vt:variant>
      <vt:variant>
        <vt:i4>5</vt:i4>
      </vt:variant>
      <vt:variant>
        <vt:lpwstr/>
      </vt:variant>
      <vt:variant>
        <vt:lpwstr>_Toc94015047</vt:lpwstr>
      </vt:variant>
      <vt:variant>
        <vt:i4>1310776</vt:i4>
      </vt:variant>
      <vt:variant>
        <vt:i4>266</vt:i4>
      </vt:variant>
      <vt:variant>
        <vt:i4>0</vt:i4>
      </vt:variant>
      <vt:variant>
        <vt:i4>5</vt:i4>
      </vt:variant>
      <vt:variant>
        <vt:lpwstr/>
      </vt:variant>
      <vt:variant>
        <vt:lpwstr>_Toc94015046</vt:lpwstr>
      </vt:variant>
      <vt:variant>
        <vt:i4>1507384</vt:i4>
      </vt:variant>
      <vt:variant>
        <vt:i4>260</vt:i4>
      </vt:variant>
      <vt:variant>
        <vt:i4>0</vt:i4>
      </vt:variant>
      <vt:variant>
        <vt:i4>5</vt:i4>
      </vt:variant>
      <vt:variant>
        <vt:lpwstr/>
      </vt:variant>
      <vt:variant>
        <vt:lpwstr>_Toc94015045</vt:lpwstr>
      </vt:variant>
      <vt:variant>
        <vt:i4>1441848</vt:i4>
      </vt:variant>
      <vt:variant>
        <vt:i4>254</vt:i4>
      </vt:variant>
      <vt:variant>
        <vt:i4>0</vt:i4>
      </vt:variant>
      <vt:variant>
        <vt:i4>5</vt:i4>
      </vt:variant>
      <vt:variant>
        <vt:lpwstr/>
      </vt:variant>
      <vt:variant>
        <vt:lpwstr>_Toc94015044</vt:lpwstr>
      </vt:variant>
      <vt:variant>
        <vt:i4>1114168</vt:i4>
      </vt:variant>
      <vt:variant>
        <vt:i4>248</vt:i4>
      </vt:variant>
      <vt:variant>
        <vt:i4>0</vt:i4>
      </vt:variant>
      <vt:variant>
        <vt:i4>5</vt:i4>
      </vt:variant>
      <vt:variant>
        <vt:lpwstr/>
      </vt:variant>
      <vt:variant>
        <vt:lpwstr>_Toc94015043</vt:lpwstr>
      </vt:variant>
      <vt:variant>
        <vt:i4>1048632</vt:i4>
      </vt:variant>
      <vt:variant>
        <vt:i4>242</vt:i4>
      </vt:variant>
      <vt:variant>
        <vt:i4>0</vt:i4>
      </vt:variant>
      <vt:variant>
        <vt:i4>5</vt:i4>
      </vt:variant>
      <vt:variant>
        <vt:lpwstr/>
      </vt:variant>
      <vt:variant>
        <vt:lpwstr>_Toc94015042</vt:lpwstr>
      </vt:variant>
      <vt:variant>
        <vt:i4>1245240</vt:i4>
      </vt:variant>
      <vt:variant>
        <vt:i4>236</vt:i4>
      </vt:variant>
      <vt:variant>
        <vt:i4>0</vt:i4>
      </vt:variant>
      <vt:variant>
        <vt:i4>5</vt:i4>
      </vt:variant>
      <vt:variant>
        <vt:lpwstr/>
      </vt:variant>
      <vt:variant>
        <vt:lpwstr>_Toc94015041</vt:lpwstr>
      </vt:variant>
      <vt:variant>
        <vt:i4>1179704</vt:i4>
      </vt:variant>
      <vt:variant>
        <vt:i4>230</vt:i4>
      </vt:variant>
      <vt:variant>
        <vt:i4>0</vt:i4>
      </vt:variant>
      <vt:variant>
        <vt:i4>5</vt:i4>
      </vt:variant>
      <vt:variant>
        <vt:lpwstr/>
      </vt:variant>
      <vt:variant>
        <vt:lpwstr>_Toc94015040</vt:lpwstr>
      </vt:variant>
      <vt:variant>
        <vt:i4>1769535</vt:i4>
      </vt:variant>
      <vt:variant>
        <vt:i4>224</vt:i4>
      </vt:variant>
      <vt:variant>
        <vt:i4>0</vt:i4>
      </vt:variant>
      <vt:variant>
        <vt:i4>5</vt:i4>
      </vt:variant>
      <vt:variant>
        <vt:lpwstr/>
      </vt:variant>
      <vt:variant>
        <vt:lpwstr>_Toc94015039</vt:lpwstr>
      </vt:variant>
      <vt:variant>
        <vt:i4>1703999</vt:i4>
      </vt:variant>
      <vt:variant>
        <vt:i4>218</vt:i4>
      </vt:variant>
      <vt:variant>
        <vt:i4>0</vt:i4>
      </vt:variant>
      <vt:variant>
        <vt:i4>5</vt:i4>
      </vt:variant>
      <vt:variant>
        <vt:lpwstr/>
      </vt:variant>
      <vt:variant>
        <vt:lpwstr>_Toc94015038</vt:lpwstr>
      </vt:variant>
      <vt:variant>
        <vt:i4>1376319</vt:i4>
      </vt:variant>
      <vt:variant>
        <vt:i4>212</vt:i4>
      </vt:variant>
      <vt:variant>
        <vt:i4>0</vt:i4>
      </vt:variant>
      <vt:variant>
        <vt:i4>5</vt:i4>
      </vt:variant>
      <vt:variant>
        <vt:lpwstr/>
      </vt:variant>
      <vt:variant>
        <vt:lpwstr>_Toc94015037</vt:lpwstr>
      </vt:variant>
      <vt:variant>
        <vt:i4>1310783</vt:i4>
      </vt:variant>
      <vt:variant>
        <vt:i4>206</vt:i4>
      </vt:variant>
      <vt:variant>
        <vt:i4>0</vt:i4>
      </vt:variant>
      <vt:variant>
        <vt:i4>5</vt:i4>
      </vt:variant>
      <vt:variant>
        <vt:lpwstr/>
      </vt:variant>
      <vt:variant>
        <vt:lpwstr>_Toc94015036</vt:lpwstr>
      </vt:variant>
      <vt:variant>
        <vt:i4>1507391</vt:i4>
      </vt:variant>
      <vt:variant>
        <vt:i4>200</vt:i4>
      </vt:variant>
      <vt:variant>
        <vt:i4>0</vt:i4>
      </vt:variant>
      <vt:variant>
        <vt:i4>5</vt:i4>
      </vt:variant>
      <vt:variant>
        <vt:lpwstr/>
      </vt:variant>
      <vt:variant>
        <vt:lpwstr>_Toc94015035</vt:lpwstr>
      </vt:variant>
      <vt:variant>
        <vt:i4>1441855</vt:i4>
      </vt:variant>
      <vt:variant>
        <vt:i4>194</vt:i4>
      </vt:variant>
      <vt:variant>
        <vt:i4>0</vt:i4>
      </vt:variant>
      <vt:variant>
        <vt:i4>5</vt:i4>
      </vt:variant>
      <vt:variant>
        <vt:lpwstr/>
      </vt:variant>
      <vt:variant>
        <vt:lpwstr>_Toc94015034</vt:lpwstr>
      </vt:variant>
      <vt:variant>
        <vt:i4>1114175</vt:i4>
      </vt:variant>
      <vt:variant>
        <vt:i4>188</vt:i4>
      </vt:variant>
      <vt:variant>
        <vt:i4>0</vt:i4>
      </vt:variant>
      <vt:variant>
        <vt:i4>5</vt:i4>
      </vt:variant>
      <vt:variant>
        <vt:lpwstr/>
      </vt:variant>
      <vt:variant>
        <vt:lpwstr>_Toc94015033</vt:lpwstr>
      </vt:variant>
      <vt:variant>
        <vt:i4>1048639</vt:i4>
      </vt:variant>
      <vt:variant>
        <vt:i4>182</vt:i4>
      </vt:variant>
      <vt:variant>
        <vt:i4>0</vt:i4>
      </vt:variant>
      <vt:variant>
        <vt:i4>5</vt:i4>
      </vt:variant>
      <vt:variant>
        <vt:lpwstr/>
      </vt:variant>
      <vt:variant>
        <vt:lpwstr>_Toc94015032</vt:lpwstr>
      </vt:variant>
      <vt:variant>
        <vt:i4>1245247</vt:i4>
      </vt:variant>
      <vt:variant>
        <vt:i4>176</vt:i4>
      </vt:variant>
      <vt:variant>
        <vt:i4>0</vt:i4>
      </vt:variant>
      <vt:variant>
        <vt:i4>5</vt:i4>
      </vt:variant>
      <vt:variant>
        <vt:lpwstr/>
      </vt:variant>
      <vt:variant>
        <vt:lpwstr>_Toc94015031</vt:lpwstr>
      </vt:variant>
      <vt:variant>
        <vt:i4>1179711</vt:i4>
      </vt:variant>
      <vt:variant>
        <vt:i4>170</vt:i4>
      </vt:variant>
      <vt:variant>
        <vt:i4>0</vt:i4>
      </vt:variant>
      <vt:variant>
        <vt:i4>5</vt:i4>
      </vt:variant>
      <vt:variant>
        <vt:lpwstr/>
      </vt:variant>
      <vt:variant>
        <vt:lpwstr>_Toc94015030</vt:lpwstr>
      </vt:variant>
      <vt:variant>
        <vt:i4>1769534</vt:i4>
      </vt:variant>
      <vt:variant>
        <vt:i4>164</vt:i4>
      </vt:variant>
      <vt:variant>
        <vt:i4>0</vt:i4>
      </vt:variant>
      <vt:variant>
        <vt:i4>5</vt:i4>
      </vt:variant>
      <vt:variant>
        <vt:lpwstr/>
      </vt:variant>
      <vt:variant>
        <vt:lpwstr>_Toc94015029</vt:lpwstr>
      </vt:variant>
      <vt:variant>
        <vt:i4>1703998</vt:i4>
      </vt:variant>
      <vt:variant>
        <vt:i4>158</vt:i4>
      </vt:variant>
      <vt:variant>
        <vt:i4>0</vt:i4>
      </vt:variant>
      <vt:variant>
        <vt:i4>5</vt:i4>
      </vt:variant>
      <vt:variant>
        <vt:lpwstr/>
      </vt:variant>
      <vt:variant>
        <vt:lpwstr>_Toc94015028</vt:lpwstr>
      </vt:variant>
      <vt:variant>
        <vt:i4>1376318</vt:i4>
      </vt:variant>
      <vt:variant>
        <vt:i4>152</vt:i4>
      </vt:variant>
      <vt:variant>
        <vt:i4>0</vt:i4>
      </vt:variant>
      <vt:variant>
        <vt:i4>5</vt:i4>
      </vt:variant>
      <vt:variant>
        <vt:lpwstr/>
      </vt:variant>
      <vt:variant>
        <vt:lpwstr>_Toc94015027</vt:lpwstr>
      </vt:variant>
      <vt:variant>
        <vt:i4>1310782</vt:i4>
      </vt:variant>
      <vt:variant>
        <vt:i4>146</vt:i4>
      </vt:variant>
      <vt:variant>
        <vt:i4>0</vt:i4>
      </vt:variant>
      <vt:variant>
        <vt:i4>5</vt:i4>
      </vt:variant>
      <vt:variant>
        <vt:lpwstr/>
      </vt:variant>
      <vt:variant>
        <vt:lpwstr>_Toc94015026</vt:lpwstr>
      </vt:variant>
      <vt:variant>
        <vt:i4>1507390</vt:i4>
      </vt:variant>
      <vt:variant>
        <vt:i4>140</vt:i4>
      </vt:variant>
      <vt:variant>
        <vt:i4>0</vt:i4>
      </vt:variant>
      <vt:variant>
        <vt:i4>5</vt:i4>
      </vt:variant>
      <vt:variant>
        <vt:lpwstr/>
      </vt:variant>
      <vt:variant>
        <vt:lpwstr>_Toc94015025</vt:lpwstr>
      </vt:variant>
      <vt:variant>
        <vt:i4>1441854</vt:i4>
      </vt:variant>
      <vt:variant>
        <vt:i4>134</vt:i4>
      </vt:variant>
      <vt:variant>
        <vt:i4>0</vt:i4>
      </vt:variant>
      <vt:variant>
        <vt:i4>5</vt:i4>
      </vt:variant>
      <vt:variant>
        <vt:lpwstr/>
      </vt:variant>
      <vt:variant>
        <vt:lpwstr>_Toc94015024</vt:lpwstr>
      </vt:variant>
      <vt:variant>
        <vt:i4>1114174</vt:i4>
      </vt:variant>
      <vt:variant>
        <vt:i4>128</vt:i4>
      </vt:variant>
      <vt:variant>
        <vt:i4>0</vt:i4>
      </vt:variant>
      <vt:variant>
        <vt:i4>5</vt:i4>
      </vt:variant>
      <vt:variant>
        <vt:lpwstr/>
      </vt:variant>
      <vt:variant>
        <vt:lpwstr>_Toc94015023</vt:lpwstr>
      </vt:variant>
      <vt:variant>
        <vt:i4>1048638</vt:i4>
      </vt:variant>
      <vt:variant>
        <vt:i4>122</vt:i4>
      </vt:variant>
      <vt:variant>
        <vt:i4>0</vt:i4>
      </vt:variant>
      <vt:variant>
        <vt:i4>5</vt:i4>
      </vt:variant>
      <vt:variant>
        <vt:lpwstr/>
      </vt:variant>
      <vt:variant>
        <vt:lpwstr>_Toc94015022</vt:lpwstr>
      </vt:variant>
      <vt:variant>
        <vt:i4>1245246</vt:i4>
      </vt:variant>
      <vt:variant>
        <vt:i4>116</vt:i4>
      </vt:variant>
      <vt:variant>
        <vt:i4>0</vt:i4>
      </vt:variant>
      <vt:variant>
        <vt:i4>5</vt:i4>
      </vt:variant>
      <vt:variant>
        <vt:lpwstr/>
      </vt:variant>
      <vt:variant>
        <vt:lpwstr>_Toc94015021</vt:lpwstr>
      </vt:variant>
      <vt:variant>
        <vt:i4>1179710</vt:i4>
      </vt:variant>
      <vt:variant>
        <vt:i4>110</vt:i4>
      </vt:variant>
      <vt:variant>
        <vt:i4>0</vt:i4>
      </vt:variant>
      <vt:variant>
        <vt:i4>5</vt:i4>
      </vt:variant>
      <vt:variant>
        <vt:lpwstr/>
      </vt:variant>
      <vt:variant>
        <vt:lpwstr>_Toc94015020</vt:lpwstr>
      </vt:variant>
      <vt:variant>
        <vt:i4>1769533</vt:i4>
      </vt:variant>
      <vt:variant>
        <vt:i4>104</vt:i4>
      </vt:variant>
      <vt:variant>
        <vt:i4>0</vt:i4>
      </vt:variant>
      <vt:variant>
        <vt:i4>5</vt:i4>
      </vt:variant>
      <vt:variant>
        <vt:lpwstr/>
      </vt:variant>
      <vt:variant>
        <vt:lpwstr>_Toc94015019</vt:lpwstr>
      </vt:variant>
      <vt:variant>
        <vt:i4>1703997</vt:i4>
      </vt:variant>
      <vt:variant>
        <vt:i4>98</vt:i4>
      </vt:variant>
      <vt:variant>
        <vt:i4>0</vt:i4>
      </vt:variant>
      <vt:variant>
        <vt:i4>5</vt:i4>
      </vt:variant>
      <vt:variant>
        <vt:lpwstr/>
      </vt:variant>
      <vt:variant>
        <vt:lpwstr>_Toc94015018</vt:lpwstr>
      </vt:variant>
      <vt:variant>
        <vt:i4>1376317</vt:i4>
      </vt:variant>
      <vt:variant>
        <vt:i4>92</vt:i4>
      </vt:variant>
      <vt:variant>
        <vt:i4>0</vt:i4>
      </vt:variant>
      <vt:variant>
        <vt:i4>5</vt:i4>
      </vt:variant>
      <vt:variant>
        <vt:lpwstr/>
      </vt:variant>
      <vt:variant>
        <vt:lpwstr>_Toc94015017</vt:lpwstr>
      </vt:variant>
      <vt:variant>
        <vt:i4>1310781</vt:i4>
      </vt:variant>
      <vt:variant>
        <vt:i4>86</vt:i4>
      </vt:variant>
      <vt:variant>
        <vt:i4>0</vt:i4>
      </vt:variant>
      <vt:variant>
        <vt:i4>5</vt:i4>
      </vt:variant>
      <vt:variant>
        <vt:lpwstr/>
      </vt:variant>
      <vt:variant>
        <vt:lpwstr>_Toc94015016</vt:lpwstr>
      </vt:variant>
      <vt:variant>
        <vt:i4>1507389</vt:i4>
      </vt:variant>
      <vt:variant>
        <vt:i4>80</vt:i4>
      </vt:variant>
      <vt:variant>
        <vt:i4>0</vt:i4>
      </vt:variant>
      <vt:variant>
        <vt:i4>5</vt:i4>
      </vt:variant>
      <vt:variant>
        <vt:lpwstr/>
      </vt:variant>
      <vt:variant>
        <vt:lpwstr>_Toc94015015</vt:lpwstr>
      </vt:variant>
      <vt:variant>
        <vt:i4>1441853</vt:i4>
      </vt:variant>
      <vt:variant>
        <vt:i4>74</vt:i4>
      </vt:variant>
      <vt:variant>
        <vt:i4>0</vt:i4>
      </vt:variant>
      <vt:variant>
        <vt:i4>5</vt:i4>
      </vt:variant>
      <vt:variant>
        <vt:lpwstr/>
      </vt:variant>
      <vt:variant>
        <vt:lpwstr>_Toc94015014</vt:lpwstr>
      </vt:variant>
      <vt:variant>
        <vt:i4>1114173</vt:i4>
      </vt:variant>
      <vt:variant>
        <vt:i4>68</vt:i4>
      </vt:variant>
      <vt:variant>
        <vt:i4>0</vt:i4>
      </vt:variant>
      <vt:variant>
        <vt:i4>5</vt:i4>
      </vt:variant>
      <vt:variant>
        <vt:lpwstr/>
      </vt:variant>
      <vt:variant>
        <vt:lpwstr>_Toc94015013</vt:lpwstr>
      </vt:variant>
      <vt:variant>
        <vt:i4>1048637</vt:i4>
      </vt:variant>
      <vt:variant>
        <vt:i4>62</vt:i4>
      </vt:variant>
      <vt:variant>
        <vt:i4>0</vt:i4>
      </vt:variant>
      <vt:variant>
        <vt:i4>5</vt:i4>
      </vt:variant>
      <vt:variant>
        <vt:lpwstr/>
      </vt:variant>
      <vt:variant>
        <vt:lpwstr>_Toc94015012</vt:lpwstr>
      </vt:variant>
      <vt:variant>
        <vt:i4>1245245</vt:i4>
      </vt:variant>
      <vt:variant>
        <vt:i4>56</vt:i4>
      </vt:variant>
      <vt:variant>
        <vt:i4>0</vt:i4>
      </vt:variant>
      <vt:variant>
        <vt:i4>5</vt:i4>
      </vt:variant>
      <vt:variant>
        <vt:lpwstr/>
      </vt:variant>
      <vt:variant>
        <vt:lpwstr>_Toc94015011</vt:lpwstr>
      </vt:variant>
      <vt:variant>
        <vt:i4>1179709</vt:i4>
      </vt:variant>
      <vt:variant>
        <vt:i4>50</vt:i4>
      </vt:variant>
      <vt:variant>
        <vt:i4>0</vt:i4>
      </vt:variant>
      <vt:variant>
        <vt:i4>5</vt:i4>
      </vt:variant>
      <vt:variant>
        <vt:lpwstr/>
      </vt:variant>
      <vt:variant>
        <vt:lpwstr>_Toc94015010</vt:lpwstr>
      </vt:variant>
      <vt:variant>
        <vt:i4>1769532</vt:i4>
      </vt:variant>
      <vt:variant>
        <vt:i4>44</vt:i4>
      </vt:variant>
      <vt:variant>
        <vt:i4>0</vt:i4>
      </vt:variant>
      <vt:variant>
        <vt:i4>5</vt:i4>
      </vt:variant>
      <vt:variant>
        <vt:lpwstr/>
      </vt:variant>
      <vt:variant>
        <vt:lpwstr>_Toc94015009</vt:lpwstr>
      </vt:variant>
      <vt:variant>
        <vt:i4>1703996</vt:i4>
      </vt:variant>
      <vt:variant>
        <vt:i4>38</vt:i4>
      </vt:variant>
      <vt:variant>
        <vt:i4>0</vt:i4>
      </vt:variant>
      <vt:variant>
        <vt:i4>5</vt:i4>
      </vt:variant>
      <vt:variant>
        <vt:lpwstr/>
      </vt:variant>
      <vt:variant>
        <vt:lpwstr>_Toc94015008</vt:lpwstr>
      </vt:variant>
      <vt:variant>
        <vt:i4>1376316</vt:i4>
      </vt:variant>
      <vt:variant>
        <vt:i4>32</vt:i4>
      </vt:variant>
      <vt:variant>
        <vt:i4>0</vt:i4>
      </vt:variant>
      <vt:variant>
        <vt:i4>5</vt:i4>
      </vt:variant>
      <vt:variant>
        <vt:lpwstr/>
      </vt:variant>
      <vt:variant>
        <vt:lpwstr>_Toc94015007</vt:lpwstr>
      </vt:variant>
      <vt:variant>
        <vt:i4>1507388</vt:i4>
      </vt:variant>
      <vt:variant>
        <vt:i4>26</vt:i4>
      </vt:variant>
      <vt:variant>
        <vt:i4>0</vt:i4>
      </vt:variant>
      <vt:variant>
        <vt:i4>5</vt:i4>
      </vt:variant>
      <vt:variant>
        <vt:lpwstr/>
      </vt:variant>
      <vt:variant>
        <vt:lpwstr>_Toc94015005</vt:lpwstr>
      </vt:variant>
      <vt:variant>
        <vt:i4>1441852</vt:i4>
      </vt:variant>
      <vt:variant>
        <vt:i4>20</vt:i4>
      </vt:variant>
      <vt:variant>
        <vt:i4>0</vt:i4>
      </vt:variant>
      <vt:variant>
        <vt:i4>5</vt:i4>
      </vt:variant>
      <vt:variant>
        <vt:lpwstr/>
      </vt:variant>
      <vt:variant>
        <vt:lpwstr>_Toc94015004</vt:lpwstr>
      </vt:variant>
      <vt:variant>
        <vt:i4>1048636</vt:i4>
      </vt:variant>
      <vt:variant>
        <vt:i4>14</vt:i4>
      </vt:variant>
      <vt:variant>
        <vt:i4>0</vt:i4>
      </vt:variant>
      <vt:variant>
        <vt:i4>5</vt:i4>
      </vt:variant>
      <vt:variant>
        <vt:lpwstr/>
      </vt:variant>
      <vt:variant>
        <vt:lpwstr>_Toc94015002</vt:lpwstr>
      </vt:variant>
      <vt:variant>
        <vt:i4>1245244</vt:i4>
      </vt:variant>
      <vt:variant>
        <vt:i4>8</vt:i4>
      </vt:variant>
      <vt:variant>
        <vt:i4>0</vt:i4>
      </vt:variant>
      <vt:variant>
        <vt:i4>5</vt:i4>
      </vt:variant>
      <vt:variant>
        <vt:lpwstr/>
      </vt:variant>
      <vt:variant>
        <vt:lpwstr>_Toc94015001</vt:lpwstr>
      </vt:variant>
      <vt:variant>
        <vt:i4>1179708</vt:i4>
      </vt:variant>
      <vt:variant>
        <vt:i4>2</vt:i4>
      </vt:variant>
      <vt:variant>
        <vt:i4>0</vt:i4>
      </vt:variant>
      <vt:variant>
        <vt:i4>5</vt:i4>
      </vt:variant>
      <vt:variant>
        <vt:lpwstr/>
      </vt:variant>
      <vt:variant>
        <vt:lpwstr>_Toc94015000</vt:lpwstr>
      </vt: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Laura Sánchez Cordoba</cp:lastModifiedBy>
  <cp:revision>2</cp:revision>
  <cp:lastPrinted>2021-03-22T22:16:00Z</cp:lastPrinted>
  <dcterms:created xsi:type="dcterms:W3CDTF">2023-05-19T14:22:00Z</dcterms:created>
  <dcterms:modified xsi:type="dcterms:W3CDTF">2023-05-19T14:22:00Z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0x010100F9932EC6A1EDE845860F12B736444434</vt:lpwstr>
  </property>
</Properties>
</file>